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C920" w14:textId="77777777" w:rsidR="00552780" w:rsidRDefault="00552780" w:rsidP="00552780">
      <w:pPr>
        <w:widowControl w:val="0"/>
        <w:shd w:val="clear" w:color="auto" w:fill="FFFFFF" w:themeFill="background1"/>
        <w:spacing w:before="240" w:after="0" w:line="360" w:lineRule="auto"/>
        <w:contextualSpacing/>
        <w:jc w:val="both"/>
        <w:rPr>
          <w:rFonts w:asciiTheme="majorBidi" w:hAnsiTheme="majorBidi" w:cstheme="majorBidi"/>
          <w:color w:val="auto"/>
        </w:rPr>
      </w:pPr>
      <w:r w:rsidRPr="7BFF04B5">
        <w:rPr>
          <w:rFonts w:asciiTheme="majorBidi" w:hAnsiTheme="majorBidi" w:cstheme="majorBidi"/>
          <w:color w:val="auto"/>
        </w:rPr>
        <w:t>Appendix:</w:t>
      </w:r>
    </w:p>
    <w:p w14:paraId="6BEA687A" w14:textId="77777777" w:rsidR="00552780" w:rsidRPr="0034554E" w:rsidRDefault="00552780" w:rsidP="00552780">
      <w:pPr>
        <w:widowControl w:val="0"/>
        <w:shd w:val="clear" w:color="auto" w:fill="FFFFFF" w:themeFill="background1"/>
        <w:spacing w:before="240" w:after="0" w:line="360" w:lineRule="auto"/>
        <w:contextualSpacing/>
        <w:jc w:val="both"/>
        <w:rPr>
          <w:rFonts w:asciiTheme="majorBidi" w:hAnsiTheme="majorBidi" w:cstheme="majorBidi"/>
          <w:color w:val="auto"/>
        </w:rPr>
      </w:pPr>
    </w:p>
    <w:p w14:paraId="4E3DAF56" w14:textId="77777777" w:rsidR="00552780" w:rsidRDefault="00552780" w:rsidP="00552780">
      <w:pPr>
        <w:widowControl w:val="0"/>
        <w:spacing w:before="240" w:after="240" w:line="480" w:lineRule="auto"/>
        <w:contextualSpacing/>
        <w:rPr>
          <w:rFonts w:asciiTheme="majorBidi" w:hAnsiTheme="majorBidi" w:cstheme="majorBidi"/>
          <w:b/>
          <w:bCs/>
          <w:color w:val="auto"/>
          <w:sz w:val="22"/>
          <w:szCs w:val="22"/>
        </w:rPr>
      </w:pPr>
      <w:r w:rsidRPr="7FC4235D">
        <w:rPr>
          <w:rFonts w:asciiTheme="majorBidi" w:hAnsiTheme="majorBidi" w:cstheme="majorBidi"/>
          <w:color w:val="auto"/>
          <w:sz w:val="20"/>
          <w:szCs w:val="20"/>
          <w:highlight w:val="white"/>
        </w:rPr>
        <w:t xml:space="preserve">Table A.1: Complete search strategy for </w:t>
      </w:r>
      <w:r w:rsidRPr="7FC4235D">
        <w:rPr>
          <w:rFonts w:asciiTheme="majorBidi" w:hAnsiTheme="majorBidi" w:cstheme="majorBidi"/>
          <w:color w:val="auto"/>
          <w:sz w:val="20"/>
          <w:szCs w:val="20"/>
        </w:rPr>
        <w:t>identifying non-inferiority trials in dentistry</w:t>
      </w:r>
    </w:p>
    <w:tbl>
      <w:tblPr>
        <w:tblW w:w="8430" w:type="dxa"/>
        <w:tblBorders>
          <w:top w:val="nil"/>
          <w:left w:val="nil"/>
          <w:bottom w:val="nil"/>
          <w:right w:val="nil"/>
          <w:insideH w:val="nil"/>
          <w:insideV w:val="nil"/>
        </w:tblBorders>
        <w:tblLayout w:type="fixed"/>
        <w:tblLook w:val="0600" w:firstRow="0" w:lastRow="0" w:firstColumn="0" w:lastColumn="0" w:noHBand="1" w:noVBand="1"/>
      </w:tblPr>
      <w:tblGrid>
        <w:gridCol w:w="4260"/>
        <w:gridCol w:w="4170"/>
      </w:tblGrid>
      <w:tr w:rsidR="00552780" w:rsidRPr="0034554E" w14:paraId="3374E18A" w14:textId="77777777" w:rsidTr="00492111">
        <w:trPr>
          <w:trHeight w:val="285"/>
        </w:trPr>
        <w:tc>
          <w:tcPr>
            <w:tcW w:w="4260"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2F7C5780" w14:textId="77777777" w:rsidR="00552780" w:rsidRPr="00633CE7" w:rsidRDefault="00552780" w:rsidP="00492111">
            <w:pPr>
              <w:widowControl w:val="0"/>
              <w:spacing w:before="240" w:after="240" w:line="360" w:lineRule="auto"/>
              <w:contextualSpacing/>
              <w:rPr>
                <w:rFonts w:asciiTheme="majorBidi" w:hAnsiTheme="majorBidi" w:cstheme="majorBidi"/>
                <w:color w:val="auto"/>
              </w:rPr>
            </w:pPr>
            <w:r w:rsidRPr="00633CE7">
              <w:rPr>
                <w:rFonts w:asciiTheme="majorBidi" w:hAnsiTheme="majorBidi" w:cstheme="majorBidi"/>
                <w:color w:val="auto"/>
              </w:rPr>
              <w:t>Databases &lt;2015 to June 2024&gt;</w:t>
            </w:r>
          </w:p>
        </w:tc>
        <w:tc>
          <w:tcPr>
            <w:tcW w:w="4170" w:type="dxa"/>
            <w:tcBorders>
              <w:top w:val="single" w:sz="5" w:space="0" w:color="000000" w:themeColor="text1"/>
              <w:left w:val="nil"/>
              <w:bottom w:val="single" w:sz="5" w:space="0" w:color="000000" w:themeColor="text1"/>
              <w:right w:val="single" w:sz="5" w:space="0" w:color="000000" w:themeColor="text1"/>
            </w:tcBorders>
            <w:tcMar>
              <w:top w:w="0" w:type="dxa"/>
              <w:left w:w="100" w:type="dxa"/>
              <w:bottom w:w="0" w:type="dxa"/>
              <w:right w:w="100" w:type="dxa"/>
            </w:tcMar>
          </w:tcPr>
          <w:p w14:paraId="50359A7F" w14:textId="77777777" w:rsidR="00552780" w:rsidRPr="00633CE7" w:rsidRDefault="00552780" w:rsidP="00492111">
            <w:pPr>
              <w:widowControl w:val="0"/>
              <w:spacing w:before="240" w:after="240" w:line="360" w:lineRule="auto"/>
              <w:contextualSpacing/>
              <w:rPr>
                <w:rFonts w:asciiTheme="majorBidi" w:hAnsiTheme="majorBidi" w:cstheme="majorBidi"/>
                <w:color w:val="auto"/>
              </w:rPr>
            </w:pPr>
            <w:r w:rsidRPr="00633CE7">
              <w:rPr>
                <w:rFonts w:asciiTheme="majorBidi" w:hAnsiTheme="majorBidi" w:cstheme="majorBidi"/>
                <w:color w:val="auto"/>
              </w:rPr>
              <w:t>Search strategies</w:t>
            </w:r>
          </w:p>
        </w:tc>
      </w:tr>
      <w:tr w:rsidR="00552780" w:rsidRPr="0034554E" w14:paraId="15985594" w14:textId="77777777" w:rsidTr="00492111">
        <w:trPr>
          <w:trHeight w:val="4530"/>
        </w:trPr>
        <w:tc>
          <w:tcPr>
            <w:tcW w:w="426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25FD3816" w14:textId="77777777" w:rsidR="00552780" w:rsidRPr="00633CE7" w:rsidRDefault="00552780" w:rsidP="00492111">
            <w:pPr>
              <w:widowControl w:val="0"/>
              <w:spacing w:before="240" w:after="240" w:line="360" w:lineRule="auto"/>
              <w:contextualSpacing/>
              <w:rPr>
                <w:rFonts w:asciiTheme="majorBidi" w:hAnsiTheme="majorBidi" w:cstheme="majorBidi"/>
                <w:color w:val="auto"/>
              </w:rPr>
            </w:pPr>
            <w:r w:rsidRPr="00633CE7">
              <w:rPr>
                <w:rFonts w:asciiTheme="majorBidi" w:hAnsiTheme="majorBidi" w:cstheme="majorBidi"/>
                <w:color w:val="auto"/>
              </w:rPr>
              <w:t>PubMed (Medline)</w:t>
            </w:r>
          </w:p>
        </w:tc>
        <w:tc>
          <w:tcPr>
            <w:tcW w:w="4170" w:type="dxa"/>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3C514A33" w14:textId="01245B2D" w:rsidR="00552780" w:rsidRPr="00633CE7" w:rsidRDefault="004C3BB9" w:rsidP="00492111">
            <w:pPr>
              <w:widowControl w:val="0"/>
              <w:spacing w:before="240" w:after="240" w:line="360" w:lineRule="auto"/>
              <w:contextualSpacing/>
              <w:rPr>
                <w:rFonts w:asciiTheme="majorBidi" w:hAnsiTheme="majorBidi" w:cstheme="majorBidi"/>
                <w:color w:val="auto"/>
              </w:rPr>
            </w:pPr>
            <w:r w:rsidRPr="00633CE7">
              <w:rPr>
                <w:rFonts w:asciiTheme="majorBidi" w:hAnsiTheme="majorBidi" w:cstheme="majorBidi"/>
                <w:color w:val="auto"/>
              </w:rPr>
              <w:t xml:space="preserve">((Dentistry[Title/Abstract] OR Oral medicine[Title/Abstract] OR Dental[Title/Abstract] OR (Dental/ OR Dentistry)) AND (Noninferiority[Title/Abstract] OR Non-inferiority[Title/abstract] OR </w:t>
            </w:r>
            <w:proofErr w:type="spellStart"/>
            <w:r w:rsidRPr="00633CE7">
              <w:rPr>
                <w:rFonts w:asciiTheme="majorBidi" w:hAnsiTheme="majorBidi" w:cstheme="majorBidi"/>
                <w:color w:val="auto"/>
              </w:rPr>
              <w:t>Notinferiority</w:t>
            </w:r>
            <w:proofErr w:type="spellEnd"/>
            <w:r w:rsidRPr="00633CE7">
              <w:rPr>
                <w:rFonts w:asciiTheme="majorBidi" w:hAnsiTheme="majorBidi" w:cstheme="majorBidi"/>
                <w:color w:val="auto"/>
              </w:rPr>
              <w:t>[Title/Abstract] OR Not-inferiority[Title/Abstract] OR Inferiority[Title/Abstract]) NOT (Systematic[Title/Abstract] OR Case Report/OR Case Series[Title/Abstract] OR Systematic Review, Meta-Analysis[Title/Abstract] OR Review[Title/Abstract]))</w:t>
            </w:r>
            <w:r w:rsidR="00552780" w:rsidRPr="00633CE7">
              <w:rPr>
                <w:rFonts w:asciiTheme="majorBidi" w:hAnsiTheme="majorBidi" w:cstheme="majorBidi"/>
                <w:color w:val="auto"/>
              </w:rPr>
              <w:t xml:space="preserve"> </w:t>
            </w:r>
          </w:p>
        </w:tc>
      </w:tr>
      <w:tr w:rsidR="00552780" w:rsidRPr="0034554E" w14:paraId="5FA42E1D" w14:textId="77777777" w:rsidTr="00492111">
        <w:trPr>
          <w:trHeight w:val="5595"/>
        </w:trPr>
        <w:tc>
          <w:tcPr>
            <w:tcW w:w="426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1017DA72"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t>Embase</w:t>
            </w:r>
          </w:p>
        </w:tc>
        <w:tc>
          <w:tcPr>
            <w:tcW w:w="4170" w:type="dxa"/>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7E240C6B"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t xml:space="preserve">Dental. </w:t>
            </w:r>
            <w:proofErr w:type="spellStart"/>
            <w:r w:rsidRPr="7FC4235D">
              <w:rPr>
                <w:rFonts w:asciiTheme="majorBidi" w:hAnsiTheme="majorBidi" w:cstheme="majorBidi"/>
                <w:color w:val="auto"/>
                <w:highlight w:val="white"/>
              </w:rPr>
              <w:t>mp</w:t>
            </w:r>
            <w:proofErr w:type="spellEnd"/>
            <w:r w:rsidRPr="7FC4235D">
              <w:rPr>
                <w:rFonts w:asciiTheme="majorBidi" w:hAnsiTheme="majorBidi" w:cstheme="majorBidi"/>
                <w:color w:val="auto"/>
                <w:highlight w:val="white"/>
              </w:rPr>
              <w:t xml:space="preserve">. OR Dentistry. </w:t>
            </w:r>
            <w:proofErr w:type="spellStart"/>
            <w:r w:rsidRPr="7FC4235D">
              <w:rPr>
                <w:rFonts w:asciiTheme="majorBidi" w:hAnsiTheme="majorBidi" w:cstheme="majorBidi"/>
                <w:color w:val="auto"/>
                <w:highlight w:val="white"/>
              </w:rPr>
              <w:t>mp</w:t>
            </w:r>
            <w:proofErr w:type="spellEnd"/>
            <w:r w:rsidRPr="7FC4235D">
              <w:rPr>
                <w:rFonts w:asciiTheme="majorBidi" w:hAnsiTheme="majorBidi" w:cstheme="majorBidi"/>
                <w:color w:val="auto"/>
                <w:highlight w:val="white"/>
              </w:rPr>
              <w:t>. OR Oral medicine.mp. OR  (Dental/ OR Dentistry).</w:t>
            </w:r>
            <w:proofErr w:type="spellStart"/>
            <w:r w:rsidRPr="7FC4235D">
              <w:rPr>
                <w:rFonts w:asciiTheme="majorBidi" w:hAnsiTheme="majorBidi" w:cstheme="majorBidi"/>
                <w:color w:val="auto"/>
                <w:highlight w:val="white"/>
              </w:rPr>
              <w:t>af</w:t>
            </w:r>
            <w:proofErr w:type="spellEnd"/>
            <w:r w:rsidRPr="7FC4235D">
              <w:rPr>
                <w:rFonts w:asciiTheme="majorBidi" w:hAnsiTheme="majorBidi" w:cstheme="majorBidi"/>
                <w:color w:val="auto"/>
                <w:highlight w:val="white"/>
              </w:rPr>
              <w:t>.</w:t>
            </w:r>
          </w:p>
          <w:p w14:paraId="47FD703D"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t>AND</w:t>
            </w:r>
          </w:p>
          <w:p w14:paraId="60C7A84E" w14:textId="7D15F8BA"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t xml:space="preserve">Noninferior. </w:t>
            </w:r>
            <w:proofErr w:type="spellStart"/>
            <w:r w:rsidRPr="7FC4235D">
              <w:rPr>
                <w:rFonts w:asciiTheme="majorBidi" w:hAnsiTheme="majorBidi" w:cstheme="majorBidi"/>
                <w:color w:val="auto"/>
                <w:highlight w:val="white"/>
              </w:rPr>
              <w:t>mp</w:t>
            </w:r>
            <w:proofErr w:type="spellEnd"/>
            <w:r w:rsidRPr="7FC4235D">
              <w:rPr>
                <w:rFonts w:asciiTheme="majorBidi" w:hAnsiTheme="majorBidi" w:cstheme="majorBidi"/>
                <w:color w:val="auto"/>
                <w:highlight w:val="white"/>
              </w:rPr>
              <w:t xml:space="preserve"> OR noninferiority. </w:t>
            </w:r>
            <w:proofErr w:type="spellStart"/>
            <w:r w:rsidRPr="7FC4235D">
              <w:rPr>
                <w:rFonts w:asciiTheme="majorBidi" w:hAnsiTheme="majorBidi" w:cstheme="majorBidi"/>
                <w:color w:val="auto"/>
                <w:highlight w:val="white"/>
              </w:rPr>
              <w:t>mp</w:t>
            </w:r>
            <w:proofErr w:type="spellEnd"/>
            <w:r w:rsidRPr="7FC4235D">
              <w:rPr>
                <w:rFonts w:asciiTheme="majorBidi" w:hAnsiTheme="majorBidi" w:cstheme="majorBidi"/>
                <w:color w:val="auto"/>
                <w:highlight w:val="white"/>
              </w:rPr>
              <w:t xml:space="preserve"> OR </w:t>
            </w:r>
            <w:proofErr w:type="spellStart"/>
            <w:r w:rsidRPr="7FC4235D">
              <w:rPr>
                <w:rFonts w:asciiTheme="majorBidi" w:hAnsiTheme="majorBidi" w:cstheme="majorBidi"/>
                <w:color w:val="auto"/>
                <w:highlight w:val="white"/>
              </w:rPr>
              <w:t>notinferiority</w:t>
            </w:r>
            <w:proofErr w:type="spellEnd"/>
            <w:r w:rsidR="00AA1133">
              <w:rPr>
                <w:rFonts w:asciiTheme="majorBidi" w:hAnsiTheme="majorBidi" w:cstheme="majorBidi"/>
                <w:color w:val="auto"/>
                <w:highlight w:val="white"/>
              </w:rPr>
              <w:t xml:space="preserve">. </w:t>
            </w:r>
            <w:proofErr w:type="spellStart"/>
            <w:r w:rsidR="00AA1133">
              <w:rPr>
                <w:rFonts w:asciiTheme="majorBidi" w:hAnsiTheme="majorBidi" w:cstheme="majorBidi"/>
                <w:color w:val="auto"/>
                <w:highlight w:val="white"/>
              </w:rPr>
              <w:t>mp</w:t>
            </w:r>
            <w:proofErr w:type="spellEnd"/>
            <w:r w:rsidR="00AA1133">
              <w:rPr>
                <w:rFonts w:asciiTheme="majorBidi" w:hAnsiTheme="majorBidi" w:cstheme="majorBidi"/>
                <w:color w:val="auto"/>
                <w:highlight w:val="white"/>
              </w:rPr>
              <w:t>.</w:t>
            </w:r>
            <w:r w:rsidRPr="7FC4235D">
              <w:rPr>
                <w:rFonts w:asciiTheme="majorBidi" w:hAnsiTheme="majorBidi" w:cstheme="majorBidi"/>
                <w:color w:val="auto"/>
                <w:highlight w:val="white"/>
              </w:rPr>
              <w:t xml:space="preserve"> OR </w:t>
            </w:r>
            <w:proofErr w:type="spellStart"/>
            <w:r w:rsidRPr="7FC4235D">
              <w:rPr>
                <w:rFonts w:asciiTheme="majorBidi" w:hAnsiTheme="majorBidi" w:cstheme="majorBidi"/>
                <w:color w:val="auto"/>
                <w:highlight w:val="white"/>
              </w:rPr>
              <w:t>notinferior</w:t>
            </w:r>
            <w:proofErr w:type="spellEnd"/>
            <w:r w:rsidRPr="7FC4235D">
              <w:rPr>
                <w:rFonts w:asciiTheme="majorBidi" w:hAnsiTheme="majorBidi" w:cstheme="majorBidi"/>
                <w:color w:val="auto"/>
                <w:highlight w:val="white"/>
              </w:rPr>
              <w:t xml:space="preserve">. </w:t>
            </w:r>
            <w:proofErr w:type="spellStart"/>
            <w:r w:rsidRPr="7FC4235D">
              <w:rPr>
                <w:rFonts w:asciiTheme="majorBidi" w:hAnsiTheme="majorBidi" w:cstheme="majorBidi"/>
                <w:color w:val="auto"/>
                <w:highlight w:val="white"/>
              </w:rPr>
              <w:t>mp</w:t>
            </w:r>
            <w:proofErr w:type="spellEnd"/>
            <w:r w:rsidRPr="7FC4235D">
              <w:rPr>
                <w:rFonts w:asciiTheme="majorBidi" w:hAnsiTheme="majorBidi" w:cstheme="majorBidi"/>
                <w:color w:val="auto"/>
                <w:highlight w:val="white"/>
              </w:rPr>
              <w:t>. OR non-inferiority.mp. OR inferiority.mp.</w:t>
            </w:r>
          </w:p>
          <w:p w14:paraId="66909180"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t>NOT</w:t>
            </w:r>
          </w:p>
          <w:p w14:paraId="532ABB2F"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t xml:space="preserve"> Systematic. </w:t>
            </w:r>
            <w:proofErr w:type="spellStart"/>
            <w:r w:rsidRPr="7FC4235D">
              <w:rPr>
                <w:rFonts w:asciiTheme="majorBidi" w:hAnsiTheme="majorBidi" w:cstheme="majorBidi"/>
                <w:color w:val="auto"/>
                <w:highlight w:val="white"/>
              </w:rPr>
              <w:t>mp</w:t>
            </w:r>
            <w:proofErr w:type="spellEnd"/>
            <w:r w:rsidRPr="7FC4235D">
              <w:rPr>
                <w:rFonts w:asciiTheme="majorBidi" w:hAnsiTheme="majorBidi" w:cstheme="majorBidi"/>
                <w:color w:val="auto"/>
                <w:highlight w:val="white"/>
              </w:rPr>
              <w:t xml:space="preserve">. OR Review. </w:t>
            </w:r>
            <w:proofErr w:type="spellStart"/>
            <w:r w:rsidRPr="7FC4235D">
              <w:rPr>
                <w:rFonts w:asciiTheme="majorBidi" w:hAnsiTheme="majorBidi" w:cstheme="majorBidi"/>
                <w:color w:val="auto"/>
                <w:highlight w:val="white"/>
              </w:rPr>
              <w:t>mp</w:t>
            </w:r>
            <w:proofErr w:type="spellEnd"/>
            <w:r w:rsidRPr="7FC4235D">
              <w:rPr>
                <w:rFonts w:asciiTheme="majorBidi" w:hAnsiTheme="majorBidi" w:cstheme="majorBidi"/>
                <w:color w:val="auto"/>
                <w:highlight w:val="white"/>
              </w:rPr>
              <w:t xml:space="preserve">. OR Editorial.mp. OR Case Report. </w:t>
            </w:r>
            <w:proofErr w:type="spellStart"/>
            <w:r w:rsidRPr="7FC4235D">
              <w:rPr>
                <w:rFonts w:asciiTheme="majorBidi" w:hAnsiTheme="majorBidi" w:cstheme="majorBidi"/>
                <w:color w:val="auto"/>
                <w:highlight w:val="white"/>
              </w:rPr>
              <w:t>mp</w:t>
            </w:r>
            <w:proofErr w:type="spellEnd"/>
            <w:r w:rsidRPr="7FC4235D">
              <w:rPr>
                <w:rFonts w:asciiTheme="majorBidi" w:hAnsiTheme="majorBidi" w:cstheme="majorBidi"/>
                <w:color w:val="auto"/>
                <w:highlight w:val="white"/>
              </w:rPr>
              <w:t xml:space="preserve">, OR Case Series. </w:t>
            </w:r>
            <w:proofErr w:type="spellStart"/>
            <w:r w:rsidRPr="7FC4235D">
              <w:rPr>
                <w:rFonts w:asciiTheme="majorBidi" w:hAnsiTheme="majorBidi" w:cstheme="majorBidi"/>
                <w:color w:val="auto"/>
                <w:highlight w:val="white"/>
              </w:rPr>
              <w:t>mp</w:t>
            </w:r>
            <w:proofErr w:type="spellEnd"/>
            <w:r w:rsidRPr="7FC4235D">
              <w:rPr>
                <w:rFonts w:asciiTheme="majorBidi" w:hAnsiTheme="majorBidi" w:cstheme="majorBidi"/>
                <w:color w:val="auto"/>
                <w:highlight w:val="white"/>
              </w:rPr>
              <w:t xml:space="preserve">. OR Meta-analysis. </w:t>
            </w:r>
            <w:proofErr w:type="spellStart"/>
            <w:r w:rsidRPr="7FC4235D">
              <w:rPr>
                <w:rFonts w:asciiTheme="majorBidi" w:hAnsiTheme="majorBidi" w:cstheme="majorBidi"/>
                <w:color w:val="auto"/>
                <w:highlight w:val="white"/>
              </w:rPr>
              <w:t>mp</w:t>
            </w:r>
            <w:proofErr w:type="spellEnd"/>
            <w:r w:rsidRPr="7FC4235D">
              <w:rPr>
                <w:rFonts w:asciiTheme="majorBidi" w:hAnsiTheme="majorBidi" w:cstheme="majorBidi"/>
                <w:color w:val="auto"/>
                <w:highlight w:val="white"/>
              </w:rPr>
              <w:t xml:space="preserve">. OR Editorial Trial. </w:t>
            </w:r>
            <w:proofErr w:type="spellStart"/>
            <w:r w:rsidRPr="7FC4235D">
              <w:rPr>
                <w:rFonts w:asciiTheme="majorBidi" w:hAnsiTheme="majorBidi" w:cstheme="majorBidi"/>
                <w:color w:val="auto"/>
                <w:highlight w:val="white"/>
              </w:rPr>
              <w:t>mp</w:t>
            </w:r>
            <w:proofErr w:type="spellEnd"/>
            <w:r w:rsidRPr="7FC4235D">
              <w:rPr>
                <w:rFonts w:asciiTheme="majorBidi" w:hAnsiTheme="majorBidi" w:cstheme="majorBidi"/>
                <w:color w:val="auto"/>
                <w:highlight w:val="white"/>
              </w:rPr>
              <w:t xml:space="preserve">. OR Systematic Review. </w:t>
            </w:r>
            <w:proofErr w:type="spellStart"/>
            <w:r w:rsidRPr="7FC4235D">
              <w:rPr>
                <w:rFonts w:asciiTheme="majorBidi" w:hAnsiTheme="majorBidi" w:cstheme="majorBidi"/>
                <w:color w:val="auto"/>
                <w:highlight w:val="white"/>
              </w:rPr>
              <w:t>mp</w:t>
            </w:r>
            <w:proofErr w:type="spellEnd"/>
            <w:r w:rsidRPr="7FC4235D">
              <w:rPr>
                <w:rFonts w:asciiTheme="majorBidi" w:hAnsiTheme="majorBidi" w:cstheme="majorBidi"/>
                <w:color w:val="auto"/>
                <w:highlight w:val="white"/>
              </w:rPr>
              <w:t>.</w:t>
            </w:r>
          </w:p>
          <w:p w14:paraId="295BD231"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lastRenderedPageBreak/>
              <w:t xml:space="preserve"> </w:t>
            </w:r>
          </w:p>
          <w:p w14:paraId="429B6CA8"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t xml:space="preserve"> </w:t>
            </w:r>
          </w:p>
        </w:tc>
      </w:tr>
      <w:tr w:rsidR="00552780" w:rsidRPr="0034554E" w14:paraId="10C754AD" w14:textId="77777777" w:rsidTr="00492111">
        <w:trPr>
          <w:trHeight w:val="7785"/>
        </w:trPr>
        <w:tc>
          <w:tcPr>
            <w:tcW w:w="4260" w:type="dxa"/>
            <w:tcBorders>
              <w:top w:val="nil"/>
              <w:left w:val="single" w:sz="5" w:space="0" w:color="000000" w:themeColor="text1"/>
              <w:bottom w:val="single" w:sz="5" w:space="0" w:color="000000" w:themeColor="text1"/>
              <w:right w:val="single" w:sz="5" w:space="0" w:color="000000" w:themeColor="text1"/>
            </w:tcBorders>
            <w:tcMar>
              <w:top w:w="0" w:type="dxa"/>
              <w:left w:w="100" w:type="dxa"/>
              <w:bottom w:w="0" w:type="dxa"/>
              <w:right w:w="100" w:type="dxa"/>
            </w:tcMar>
          </w:tcPr>
          <w:p w14:paraId="3889FA82"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lastRenderedPageBreak/>
              <w:t>Web of Science</w:t>
            </w:r>
          </w:p>
        </w:tc>
        <w:tc>
          <w:tcPr>
            <w:tcW w:w="4170" w:type="dxa"/>
            <w:tcBorders>
              <w:top w:val="nil"/>
              <w:left w:val="nil"/>
              <w:bottom w:val="single" w:sz="5" w:space="0" w:color="000000" w:themeColor="text1"/>
              <w:right w:val="single" w:sz="5" w:space="0" w:color="000000" w:themeColor="text1"/>
            </w:tcBorders>
            <w:tcMar>
              <w:top w:w="0" w:type="dxa"/>
              <w:left w:w="100" w:type="dxa"/>
              <w:bottom w:w="0" w:type="dxa"/>
              <w:right w:w="100" w:type="dxa"/>
            </w:tcMar>
          </w:tcPr>
          <w:p w14:paraId="205C1D41"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t xml:space="preserve">(TI= noninferiority OR </w:t>
            </w:r>
            <w:proofErr w:type="spellStart"/>
            <w:r w:rsidRPr="7FC4235D">
              <w:rPr>
                <w:rFonts w:asciiTheme="majorBidi" w:hAnsiTheme="majorBidi" w:cstheme="majorBidi"/>
                <w:color w:val="auto"/>
                <w:highlight w:val="white"/>
              </w:rPr>
              <w:t>notinferiority</w:t>
            </w:r>
            <w:proofErr w:type="spellEnd"/>
            <w:r w:rsidRPr="7FC4235D">
              <w:rPr>
                <w:rFonts w:asciiTheme="majorBidi" w:hAnsiTheme="majorBidi" w:cstheme="majorBidi"/>
                <w:color w:val="auto"/>
                <w:highlight w:val="white"/>
              </w:rPr>
              <w:t xml:space="preserve"> OR  noninferior OR </w:t>
            </w:r>
            <w:proofErr w:type="spellStart"/>
            <w:r w:rsidRPr="7FC4235D">
              <w:rPr>
                <w:rFonts w:asciiTheme="majorBidi" w:hAnsiTheme="majorBidi" w:cstheme="majorBidi"/>
                <w:color w:val="auto"/>
                <w:highlight w:val="white"/>
              </w:rPr>
              <w:t>notinferior</w:t>
            </w:r>
            <w:proofErr w:type="spellEnd"/>
            <w:r w:rsidRPr="7FC4235D">
              <w:rPr>
                <w:rFonts w:asciiTheme="majorBidi" w:hAnsiTheme="majorBidi" w:cstheme="majorBidi"/>
                <w:color w:val="auto"/>
                <w:highlight w:val="white"/>
              </w:rPr>
              <w:t xml:space="preserve">) OR (AB= noninferiority OR </w:t>
            </w:r>
            <w:bookmarkStart w:id="0" w:name="_Int_nx5uc8JV"/>
            <w:proofErr w:type="spellStart"/>
            <w:r w:rsidRPr="7FC4235D">
              <w:rPr>
                <w:rFonts w:asciiTheme="majorBidi" w:hAnsiTheme="majorBidi" w:cstheme="majorBidi"/>
                <w:color w:val="auto"/>
                <w:highlight w:val="white"/>
              </w:rPr>
              <w:t>notinferiority</w:t>
            </w:r>
            <w:bookmarkEnd w:id="0"/>
            <w:proofErr w:type="spellEnd"/>
            <w:r w:rsidRPr="7FC4235D">
              <w:rPr>
                <w:rFonts w:asciiTheme="majorBidi" w:hAnsiTheme="majorBidi" w:cstheme="majorBidi"/>
                <w:color w:val="auto"/>
                <w:highlight w:val="white"/>
              </w:rPr>
              <w:t xml:space="preserve"> OR  noninferior OR </w:t>
            </w:r>
            <w:proofErr w:type="spellStart"/>
            <w:r w:rsidRPr="7FC4235D">
              <w:rPr>
                <w:rFonts w:asciiTheme="majorBidi" w:hAnsiTheme="majorBidi" w:cstheme="majorBidi"/>
                <w:color w:val="auto"/>
                <w:highlight w:val="white"/>
              </w:rPr>
              <w:t>notinferior</w:t>
            </w:r>
            <w:proofErr w:type="spellEnd"/>
            <w:r w:rsidRPr="7FC4235D">
              <w:rPr>
                <w:rFonts w:asciiTheme="majorBidi" w:hAnsiTheme="majorBidi" w:cstheme="majorBidi"/>
                <w:color w:val="auto"/>
                <w:highlight w:val="white"/>
              </w:rPr>
              <w:t>)</w:t>
            </w:r>
          </w:p>
          <w:p w14:paraId="08DAF9CB"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t>AND</w:t>
            </w:r>
          </w:p>
          <w:p w14:paraId="53AD968B"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t>(TI= dental OR dentistry OR oral medicine) OR (AB= dental OR dentistry OR oral medicine)</w:t>
            </w:r>
          </w:p>
          <w:p w14:paraId="45753C5F"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t>NOT</w:t>
            </w:r>
          </w:p>
          <w:p w14:paraId="3D99D53D"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r w:rsidRPr="7FC4235D">
              <w:rPr>
                <w:rFonts w:asciiTheme="majorBidi" w:hAnsiTheme="majorBidi" w:cstheme="majorBidi"/>
                <w:color w:val="auto"/>
                <w:highlight w:val="white"/>
              </w:rPr>
              <w:t>(TI= systematic OR review OR editorial OR case report OR case series) OR (AB= systematic OR review OR editorial OR case report OR case series)</w:t>
            </w:r>
          </w:p>
          <w:p w14:paraId="51965F00" w14:textId="77777777" w:rsidR="00552780" w:rsidRPr="0034554E" w:rsidRDefault="00552780" w:rsidP="00492111">
            <w:pPr>
              <w:widowControl w:val="0"/>
              <w:spacing w:before="240" w:after="240" w:line="360" w:lineRule="auto"/>
              <w:contextualSpacing/>
              <w:rPr>
                <w:rFonts w:asciiTheme="majorBidi" w:hAnsiTheme="majorBidi" w:cstheme="majorBidi"/>
                <w:color w:val="auto"/>
                <w:highlight w:val="white"/>
              </w:rPr>
            </w:pPr>
          </w:p>
        </w:tc>
      </w:tr>
    </w:tbl>
    <w:p w14:paraId="4A0823E0" w14:textId="77777777" w:rsidR="00552780" w:rsidRPr="0034554E" w:rsidRDefault="00552780" w:rsidP="00552780">
      <w:pPr>
        <w:widowControl w:val="0"/>
        <w:spacing w:before="240" w:after="240" w:line="360" w:lineRule="auto"/>
        <w:contextualSpacing/>
        <w:rPr>
          <w:rFonts w:asciiTheme="majorBidi" w:hAnsiTheme="majorBidi" w:cstheme="majorBidi"/>
          <w:color w:val="auto"/>
          <w:sz w:val="20"/>
          <w:szCs w:val="20"/>
        </w:rPr>
      </w:pPr>
      <w:r w:rsidRPr="7FC4235D">
        <w:rPr>
          <w:rFonts w:asciiTheme="majorBidi" w:hAnsiTheme="majorBidi" w:cstheme="majorBidi"/>
          <w:color w:val="auto"/>
          <w:highlight w:val="white"/>
        </w:rPr>
        <w:t>‌</w:t>
      </w:r>
    </w:p>
    <w:p w14:paraId="3555169A" w14:textId="77777777" w:rsidR="00552780" w:rsidRPr="0034554E" w:rsidRDefault="00552780" w:rsidP="00552780">
      <w:pPr>
        <w:widowControl w:val="0"/>
        <w:spacing w:line="480" w:lineRule="auto"/>
        <w:contextualSpacing/>
        <w:rPr>
          <w:rFonts w:asciiTheme="majorBidi" w:hAnsiTheme="majorBidi" w:cstheme="majorBidi"/>
          <w:color w:val="auto"/>
        </w:rPr>
      </w:pPr>
    </w:p>
    <w:p w14:paraId="1C50DDB3" w14:textId="77777777" w:rsidR="00552780" w:rsidRDefault="00552780" w:rsidP="00552780">
      <w:pPr>
        <w:widowControl w:val="0"/>
        <w:spacing w:line="360" w:lineRule="auto"/>
        <w:contextualSpacing/>
        <w:rPr>
          <w:rFonts w:ascii="Times New Roman" w:hAnsi="Times New Roman" w:cs="Times New Roman"/>
          <w:color w:val="auto"/>
          <w:sz w:val="20"/>
          <w:szCs w:val="20"/>
          <w:highlight w:val="white"/>
        </w:rPr>
      </w:pPr>
      <w:r w:rsidRPr="7FC4235D">
        <w:rPr>
          <w:rFonts w:ascii="Times New Roman" w:hAnsi="Times New Roman" w:cs="Times New Roman"/>
          <w:color w:val="auto"/>
          <w:sz w:val="20"/>
          <w:szCs w:val="20"/>
          <w:highlight w:val="white"/>
        </w:rPr>
        <w:t xml:space="preserve"> Table A.2a: CONSORT-NI checklist, Reporting checklist adapted from the CONSORT 2010 extension for non-inferiority trials, used to assess trial reporting adequacy in the present study.</w:t>
      </w:r>
    </w:p>
    <w:tbl>
      <w:tblPr>
        <w:tblStyle w:val="TableGrid"/>
        <w:tblW w:w="0" w:type="auto"/>
        <w:tblLayout w:type="fixed"/>
        <w:tblLook w:val="06A0" w:firstRow="1" w:lastRow="0" w:firstColumn="1" w:lastColumn="0" w:noHBand="1" w:noVBand="1"/>
      </w:tblPr>
      <w:tblGrid>
        <w:gridCol w:w="1785"/>
        <w:gridCol w:w="7230"/>
      </w:tblGrid>
      <w:tr w:rsidR="00552780" w14:paraId="7296F867" w14:textId="77777777" w:rsidTr="00492111">
        <w:trPr>
          <w:trHeight w:val="300"/>
        </w:trPr>
        <w:tc>
          <w:tcPr>
            <w:tcW w:w="1785" w:type="dxa"/>
          </w:tcPr>
          <w:p w14:paraId="6555E801"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Corresponding item number in CONSORT 2010</w:t>
            </w:r>
          </w:p>
        </w:tc>
        <w:tc>
          <w:tcPr>
            <w:tcW w:w="7230" w:type="dxa"/>
          </w:tcPr>
          <w:p w14:paraId="2BB24F3F"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CONSORT-NI checklist items for trial</w:t>
            </w:r>
          </w:p>
        </w:tc>
      </w:tr>
      <w:tr w:rsidR="00552780" w14:paraId="778021B4" w14:textId="77777777" w:rsidTr="00492111">
        <w:trPr>
          <w:trHeight w:val="300"/>
        </w:trPr>
        <w:tc>
          <w:tcPr>
            <w:tcW w:w="1785" w:type="dxa"/>
          </w:tcPr>
          <w:p w14:paraId="24C4836D"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1a</w:t>
            </w:r>
          </w:p>
        </w:tc>
        <w:tc>
          <w:tcPr>
            <w:tcW w:w="7230" w:type="dxa"/>
          </w:tcPr>
          <w:p w14:paraId="21F2B7C1" w14:textId="77777777" w:rsidR="00552780" w:rsidRDefault="00552780" w:rsidP="00492111">
            <w:pPr>
              <w:rPr>
                <w:rFonts w:ascii="Times New Roman" w:eastAsia="Times New Roman" w:hAnsi="Times New Roman" w:cs="Times New Roman"/>
                <w:sz w:val="28"/>
                <w:szCs w:val="28"/>
                <w:highlight w:val="white"/>
              </w:rPr>
            </w:pPr>
            <w:r w:rsidRPr="7FC4235D">
              <w:rPr>
                <w:rFonts w:ascii="Times New Roman" w:eastAsia="Times New Roman" w:hAnsi="Times New Roman" w:cs="Times New Roman"/>
                <w:highlight w:val="white"/>
              </w:rPr>
              <w:t>Identification as a noninferiority randomized trial in the title</w:t>
            </w:r>
          </w:p>
        </w:tc>
      </w:tr>
      <w:tr w:rsidR="00552780" w14:paraId="783D5BAE" w14:textId="77777777" w:rsidTr="00492111">
        <w:trPr>
          <w:trHeight w:val="300"/>
        </w:trPr>
        <w:tc>
          <w:tcPr>
            <w:tcW w:w="1785" w:type="dxa"/>
          </w:tcPr>
          <w:p w14:paraId="0999F83F"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2a</w:t>
            </w:r>
          </w:p>
        </w:tc>
        <w:tc>
          <w:tcPr>
            <w:tcW w:w="7230" w:type="dxa"/>
          </w:tcPr>
          <w:p w14:paraId="72D5341E" w14:textId="77777777" w:rsidR="00552780" w:rsidRDefault="00552780" w:rsidP="00492111">
            <w:pPr>
              <w:rPr>
                <w:rFonts w:ascii="Times New Roman" w:eastAsia="Times New Roman" w:hAnsi="Times New Roman" w:cs="Times New Roman"/>
                <w:sz w:val="28"/>
                <w:szCs w:val="28"/>
                <w:highlight w:val="white"/>
              </w:rPr>
            </w:pPr>
            <w:r w:rsidRPr="7FC4235D">
              <w:rPr>
                <w:rFonts w:ascii="Times New Roman" w:eastAsia="Times New Roman" w:hAnsi="Times New Roman" w:cs="Times New Roman"/>
                <w:highlight w:val="white"/>
              </w:rPr>
              <w:t>Rationale for using a non-inferiority or equivalence design</w:t>
            </w:r>
          </w:p>
        </w:tc>
      </w:tr>
      <w:tr w:rsidR="00552780" w14:paraId="44BA56E8" w14:textId="77777777" w:rsidTr="00492111">
        <w:trPr>
          <w:trHeight w:val="300"/>
        </w:trPr>
        <w:tc>
          <w:tcPr>
            <w:tcW w:w="1785" w:type="dxa"/>
          </w:tcPr>
          <w:p w14:paraId="64F31AEB"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2b</w:t>
            </w:r>
          </w:p>
        </w:tc>
        <w:tc>
          <w:tcPr>
            <w:tcW w:w="7230" w:type="dxa"/>
          </w:tcPr>
          <w:p w14:paraId="5D5C9B30" w14:textId="77777777" w:rsidR="00552780" w:rsidRDefault="00552780" w:rsidP="00492111">
            <w:pPr>
              <w:rPr>
                <w:rFonts w:ascii="Times New Roman" w:eastAsia="Times New Roman" w:hAnsi="Times New Roman" w:cs="Times New Roman"/>
                <w:sz w:val="28"/>
                <w:szCs w:val="28"/>
                <w:highlight w:val="white"/>
              </w:rPr>
            </w:pPr>
            <w:r w:rsidRPr="7FC4235D">
              <w:rPr>
                <w:rFonts w:ascii="Times New Roman" w:eastAsia="Times New Roman" w:hAnsi="Times New Roman" w:cs="Times New Roman"/>
                <w:highlight w:val="white"/>
              </w:rPr>
              <w:t>Hypotheses concerning noninferiority, specifying the noninferiority margin with the rationale for its choice</w:t>
            </w:r>
          </w:p>
        </w:tc>
      </w:tr>
      <w:tr w:rsidR="00552780" w14:paraId="6C735DDC" w14:textId="77777777" w:rsidTr="00492111">
        <w:trPr>
          <w:trHeight w:val="300"/>
        </w:trPr>
        <w:tc>
          <w:tcPr>
            <w:tcW w:w="1785" w:type="dxa"/>
          </w:tcPr>
          <w:p w14:paraId="3BA4CD49"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4a</w:t>
            </w:r>
          </w:p>
        </w:tc>
        <w:tc>
          <w:tcPr>
            <w:tcW w:w="7230" w:type="dxa"/>
          </w:tcPr>
          <w:p w14:paraId="3C643C8A" w14:textId="77777777" w:rsidR="00552780" w:rsidRDefault="00552780" w:rsidP="00492111">
            <w:pPr>
              <w:rPr>
                <w:rFonts w:ascii="Times New Roman" w:eastAsia="Times New Roman" w:hAnsi="Times New Roman" w:cs="Times New Roman"/>
                <w:sz w:val="28"/>
                <w:szCs w:val="28"/>
                <w:highlight w:val="white"/>
              </w:rPr>
            </w:pPr>
            <w:r w:rsidRPr="7FC4235D">
              <w:rPr>
                <w:rFonts w:ascii="Times New Roman" w:eastAsia="Times New Roman" w:hAnsi="Times New Roman" w:cs="Times New Roman"/>
                <w:highlight w:val="white"/>
              </w:rPr>
              <w:t>Whether participants in the noninferiority trial are similar to those in any trial(s) that established efficacy of the reference treatment</w:t>
            </w:r>
          </w:p>
        </w:tc>
      </w:tr>
      <w:tr w:rsidR="00552780" w14:paraId="23A281F9" w14:textId="77777777" w:rsidTr="00492111">
        <w:trPr>
          <w:trHeight w:val="480"/>
        </w:trPr>
        <w:tc>
          <w:tcPr>
            <w:tcW w:w="1785" w:type="dxa"/>
          </w:tcPr>
          <w:p w14:paraId="20E4B80F"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5</w:t>
            </w:r>
          </w:p>
        </w:tc>
        <w:tc>
          <w:tcPr>
            <w:tcW w:w="7230" w:type="dxa"/>
          </w:tcPr>
          <w:p w14:paraId="0175EA19"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Whether the reference treatment in the noninferiority trial is identical (or very similar) to that in any trial(s) that established efficacy of the reference treatment</w:t>
            </w:r>
          </w:p>
        </w:tc>
      </w:tr>
      <w:tr w:rsidR="00552780" w14:paraId="095B8AD7" w14:textId="77777777" w:rsidTr="00492111">
        <w:trPr>
          <w:trHeight w:val="300"/>
        </w:trPr>
        <w:tc>
          <w:tcPr>
            <w:tcW w:w="1785" w:type="dxa"/>
          </w:tcPr>
          <w:p w14:paraId="2C60EC79"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6a</w:t>
            </w:r>
          </w:p>
        </w:tc>
        <w:tc>
          <w:tcPr>
            <w:tcW w:w="7230" w:type="dxa"/>
          </w:tcPr>
          <w:p w14:paraId="1D5CBA15"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Specify the noninferiority outcome(s) and whether hypotheses for main and secondary outcome(s) are noninferiority or superiority. Whether the outcomes in the noninferiority trial are identical (or very similar) to those in any trial(s) that established efficacy of the reference treatment</w:t>
            </w:r>
          </w:p>
        </w:tc>
      </w:tr>
      <w:tr w:rsidR="00552780" w14:paraId="30A31900" w14:textId="77777777" w:rsidTr="00492111">
        <w:trPr>
          <w:trHeight w:val="300"/>
        </w:trPr>
        <w:tc>
          <w:tcPr>
            <w:tcW w:w="1785" w:type="dxa"/>
          </w:tcPr>
          <w:p w14:paraId="17EA15B7"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lastRenderedPageBreak/>
              <w:t>7a</w:t>
            </w:r>
          </w:p>
        </w:tc>
        <w:tc>
          <w:tcPr>
            <w:tcW w:w="7230" w:type="dxa"/>
          </w:tcPr>
          <w:p w14:paraId="0A4FC0C6" w14:textId="77777777" w:rsidR="00552780" w:rsidRDefault="00552780" w:rsidP="00492111">
            <w:pPr>
              <w:rPr>
                <w:rFonts w:ascii="Times New Roman" w:eastAsia="Times New Roman" w:hAnsi="Times New Roman" w:cs="Times New Roman"/>
                <w:sz w:val="28"/>
                <w:szCs w:val="28"/>
                <w:highlight w:val="white"/>
              </w:rPr>
            </w:pPr>
            <w:r w:rsidRPr="7FC4235D">
              <w:rPr>
                <w:rFonts w:ascii="Times New Roman" w:eastAsia="Times New Roman" w:hAnsi="Times New Roman" w:cs="Times New Roman"/>
                <w:highlight w:val="white"/>
              </w:rPr>
              <w:t>How sample size was determined/Whether the sample size was calculated using a noninferiority criterion and, if so, what the noninferiority margin was</w:t>
            </w:r>
          </w:p>
        </w:tc>
      </w:tr>
      <w:tr w:rsidR="00552780" w14:paraId="22A14F56" w14:textId="77777777" w:rsidTr="00492111">
        <w:trPr>
          <w:trHeight w:val="300"/>
        </w:trPr>
        <w:tc>
          <w:tcPr>
            <w:tcW w:w="1785" w:type="dxa"/>
          </w:tcPr>
          <w:p w14:paraId="7C02E582"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7b</w:t>
            </w:r>
          </w:p>
        </w:tc>
        <w:tc>
          <w:tcPr>
            <w:tcW w:w="7230" w:type="dxa"/>
          </w:tcPr>
          <w:p w14:paraId="162B9FE2" w14:textId="77777777" w:rsidR="00552780" w:rsidRDefault="00552780" w:rsidP="00492111">
            <w:pPr>
              <w:rPr>
                <w:rFonts w:ascii="Times New Roman" w:eastAsia="Times New Roman" w:hAnsi="Times New Roman" w:cs="Times New Roman"/>
                <w:sz w:val="28"/>
                <w:szCs w:val="28"/>
                <w:highlight w:val="white"/>
              </w:rPr>
            </w:pPr>
            <w:r w:rsidRPr="7FC4235D">
              <w:rPr>
                <w:rFonts w:ascii="Times New Roman" w:eastAsia="Times New Roman" w:hAnsi="Times New Roman" w:cs="Times New Roman"/>
                <w:highlight w:val="white"/>
              </w:rPr>
              <w:t>When applicable, explanation of any interim analyses and stopping guidelines/To which outcome(s) they apply and whether related to a noninferiority hypothesis</w:t>
            </w:r>
          </w:p>
        </w:tc>
      </w:tr>
      <w:tr w:rsidR="00552780" w14:paraId="4C85944C" w14:textId="77777777" w:rsidTr="00492111">
        <w:trPr>
          <w:trHeight w:val="300"/>
        </w:trPr>
        <w:tc>
          <w:tcPr>
            <w:tcW w:w="1785" w:type="dxa"/>
          </w:tcPr>
          <w:p w14:paraId="216D4C7E"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12a</w:t>
            </w:r>
          </w:p>
        </w:tc>
        <w:tc>
          <w:tcPr>
            <w:tcW w:w="7230" w:type="dxa"/>
          </w:tcPr>
          <w:p w14:paraId="791C44BA" w14:textId="77777777" w:rsidR="00552780" w:rsidRDefault="00552780" w:rsidP="00492111">
            <w:pPr>
              <w:rPr>
                <w:rFonts w:ascii="Times New Roman" w:eastAsia="Times New Roman" w:hAnsi="Times New Roman" w:cs="Times New Roman"/>
                <w:sz w:val="28"/>
                <w:szCs w:val="28"/>
                <w:highlight w:val="white"/>
              </w:rPr>
            </w:pPr>
            <w:r w:rsidRPr="7FC4235D">
              <w:rPr>
                <w:rFonts w:ascii="Times New Roman" w:eastAsia="Times New Roman" w:hAnsi="Times New Roman" w:cs="Times New Roman"/>
                <w:highlight w:val="white"/>
              </w:rPr>
              <w:t>Statistical methods used to compare groups for primary and secondary outcomes/Whether a 1- or 2-sided confidence interval approach was used</w:t>
            </w:r>
          </w:p>
        </w:tc>
      </w:tr>
      <w:tr w:rsidR="00552780" w14:paraId="3810D3AB" w14:textId="77777777" w:rsidTr="00492111">
        <w:trPr>
          <w:trHeight w:val="300"/>
        </w:trPr>
        <w:tc>
          <w:tcPr>
            <w:tcW w:w="1785" w:type="dxa"/>
          </w:tcPr>
          <w:p w14:paraId="3B9703D9"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17a</w:t>
            </w:r>
          </w:p>
        </w:tc>
        <w:tc>
          <w:tcPr>
            <w:tcW w:w="7230" w:type="dxa"/>
          </w:tcPr>
          <w:p w14:paraId="2B7B6650" w14:textId="77777777" w:rsidR="00552780" w:rsidRDefault="00552780" w:rsidP="00492111">
            <w:pPr>
              <w:rPr>
                <w:rFonts w:ascii="Times New Roman" w:eastAsia="Times New Roman" w:hAnsi="Times New Roman" w:cs="Times New Roman"/>
                <w:sz w:val="28"/>
                <w:szCs w:val="28"/>
                <w:highlight w:val="white"/>
              </w:rPr>
            </w:pPr>
            <w:r w:rsidRPr="7FC4235D">
              <w:rPr>
                <w:rFonts w:ascii="Times New Roman" w:eastAsia="Times New Roman" w:hAnsi="Times New Roman" w:cs="Times New Roman"/>
                <w:highlight w:val="white"/>
              </w:rPr>
              <w:t>For the outcome(s) for which noninferiority was hypothesized, a figure showing confidence intervals and the noninferiority margin may be useful</w:t>
            </w:r>
          </w:p>
        </w:tc>
      </w:tr>
      <w:tr w:rsidR="00552780" w14:paraId="292B1D8D" w14:textId="77777777" w:rsidTr="00492111">
        <w:trPr>
          <w:trHeight w:val="300"/>
        </w:trPr>
        <w:tc>
          <w:tcPr>
            <w:tcW w:w="1785" w:type="dxa"/>
          </w:tcPr>
          <w:p w14:paraId="78952155"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22</w:t>
            </w:r>
          </w:p>
        </w:tc>
        <w:tc>
          <w:tcPr>
            <w:tcW w:w="7230" w:type="dxa"/>
          </w:tcPr>
          <w:p w14:paraId="0C2CAE65"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Interpret results in relation to the noninferiority hypothesis. If a superiority conclusion is drawn for outcome(s) for which noninferiority was hypothesized, provide justification for switching</w:t>
            </w:r>
          </w:p>
        </w:tc>
      </w:tr>
    </w:tbl>
    <w:p w14:paraId="714DF5A7" w14:textId="77777777" w:rsidR="00552780" w:rsidRDefault="00552780" w:rsidP="00552780">
      <w:pPr>
        <w:widowControl w:val="0"/>
        <w:spacing w:line="360" w:lineRule="auto"/>
        <w:contextualSpacing/>
        <w:rPr>
          <w:rFonts w:ascii="Times New Roman" w:eastAsia="Times New Roman" w:hAnsi="Times New Roman" w:cs="Times New Roman"/>
          <w:color w:val="auto"/>
          <w:sz w:val="20"/>
          <w:szCs w:val="20"/>
        </w:rPr>
      </w:pPr>
    </w:p>
    <w:p w14:paraId="76198149" w14:textId="400DED1B" w:rsidR="00552780" w:rsidRDefault="00552780" w:rsidP="00552780">
      <w:pPr>
        <w:widowControl w:val="0"/>
        <w:spacing w:line="360" w:lineRule="auto"/>
        <w:contextualSpacing/>
        <w:rPr>
          <w:rFonts w:ascii="Times New Roman" w:hAnsi="Times New Roman" w:cs="Times New Roman"/>
          <w:color w:val="auto"/>
          <w:sz w:val="20"/>
          <w:szCs w:val="20"/>
          <w:highlight w:val="white"/>
        </w:rPr>
      </w:pPr>
      <w:r w:rsidRPr="7FC4235D">
        <w:rPr>
          <w:rFonts w:ascii="Times New Roman" w:eastAsia="Times New Roman" w:hAnsi="Times New Roman" w:cs="Times New Roman"/>
          <w:color w:val="auto"/>
          <w:sz w:val="20"/>
          <w:szCs w:val="20"/>
        </w:rPr>
        <w:t xml:space="preserve">Table A.2b: CONSORT-NI checklist, Reporting checklist adapted from the CONSORT 2010 extension for non-inferiority trials, used to assess abstract </w:t>
      </w:r>
      <w:r w:rsidRPr="7FC4235D">
        <w:rPr>
          <w:rFonts w:ascii="Times New Roman" w:hAnsi="Times New Roman" w:cs="Times New Roman"/>
          <w:color w:val="auto"/>
          <w:sz w:val="20"/>
          <w:szCs w:val="20"/>
          <w:highlight w:val="white"/>
        </w:rPr>
        <w:t>reporting adequacy in the present study.</w:t>
      </w:r>
    </w:p>
    <w:tbl>
      <w:tblPr>
        <w:tblStyle w:val="TableGrid"/>
        <w:tblW w:w="0" w:type="auto"/>
        <w:tblLayout w:type="fixed"/>
        <w:tblLook w:val="06A0" w:firstRow="1" w:lastRow="0" w:firstColumn="1" w:lastColumn="0" w:noHBand="1" w:noVBand="1"/>
      </w:tblPr>
      <w:tblGrid>
        <w:gridCol w:w="1785"/>
        <w:gridCol w:w="7230"/>
      </w:tblGrid>
      <w:tr w:rsidR="00552780" w14:paraId="4F5B9C7B" w14:textId="77777777" w:rsidTr="00492111">
        <w:trPr>
          <w:trHeight w:val="300"/>
        </w:trPr>
        <w:tc>
          <w:tcPr>
            <w:tcW w:w="1785" w:type="dxa"/>
          </w:tcPr>
          <w:p w14:paraId="4B81D045"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Corresponding item name in CONSORT 2010</w:t>
            </w:r>
          </w:p>
          <w:p w14:paraId="4E1FBF8E" w14:textId="77777777" w:rsidR="00552780" w:rsidRDefault="00552780" w:rsidP="00492111">
            <w:pPr>
              <w:rPr>
                <w:rFonts w:ascii="Times New Roman" w:eastAsia="Times New Roman" w:hAnsi="Times New Roman" w:cs="Times New Roman"/>
              </w:rPr>
            </w:pPr>
          </w:p>
        </w:tc>
        <w:tc>
          <w:tcPr>
            <w:tcW w:w="7230" w:type="dxa"/>
          </w:tcPr>
          <w:p w14:paraId="33049848" w14:textId="77777777" w:rsidR="00552780" w:rsidRDefault="00552780" w:rsidP="00492111">
            <w:pPr>
              <w:rPr>
                <w:rFonts w:ascii="Times New Roman" w:eastAsia="Times New Roman" w:hAnsi="Times New Roman" w:cs="Times New Roman"/>
                <w:highlight w:val="white"/>
              </w:rPr>
            </w:pPr>
            <w:r w:rsidRPr="7FC4235D">
              <w:rPr>
                <w:rFonts w:ascii="Times New Roman" w:eastAsia="Times New Roman" w:hAnsi="Times New Roman" w:cs="Times New Roman"/>
                <w:highlight w:val="white"/>
              </w:rPr>
              <w:t>CONSORT-NI checklist items for abstract</w:t>
            </w:r>
          </w:p>
          <w:p w14:paraId="5252D8FF" w14:textId="77777777" w:rsidR="00552780" w:rsidRDefault="00552780" w:rsidP="00492111">
            <w:pPr>
              <w:rPr>
                <w:rFonts w:ascii="Times New Roman" w:eastAsia="Times New Roman" w:hAnsi="Times New Roman" w:cs="Times New Roman"/>
              </w:rPr>
            </w:pPr>
          </w:p>
        </w:tc>
      </w:tr>
      <w:tr w:rsidR="00552780" w14:paraId="0ABBDC20" w14:textId="77777777" w:rsidTr="00492111">
        <w:trPr>
          <w:trHeight w:val="300"/>
        </w:trPr>
        <w:tc>
          <w:tcPr>
            <w:tcW w:w="1785" w:type="dxa"/>
          </w:tcPr>
          <w:p w14:paraId="088EFF77" w14:textId="77777777" w:rsidR="00552780" w:rsidRDefault="00552780" w:rsidP="00492111">
            <w:pPr>
              <w:rPr>
                <w:rFonts w:ascii="Times New Roman" w:eastAsia="Times New Roman" w:hAnsi="Times New Roman" w:cs="Times New Roman"/>
              </w:rPr>
            </w:pPr>
            <w:r w:rsidRPr="7FC4235D">
              <w:rPr>
                <w:rFonts w:ascii="Times New Roman" w:eastAsia="Times New Roman" w:hAnsi="Times New Roman" w:cs="Times New Roman"/>
              </w:rPr>
              <w:lastRenderedPageBreak/>
              <w:t>Title</w:t>
            </w:r>
          </w:p>
        </w:tc>
        <w:tc>
          <w:tcPr>
            <w:tcW w:w="7230" w:type="dxa"/>
          </w:tcPr>
          <w:p w14:paraId="70EB3778" w14:textId="77777777" w:rsidR="00552780" w:rsidRDefault="00552780" w:rsidP="00492111">
            <w:pPr>
              <w:rPr>
                <w:rFonts w:ascii="Times New Roman" w:eastAsia="Times New Roman" w:hAnsi="Times New Roman" w:cs="Times New Roman"/>
              </w:rPr>
            </w:pPr>
            <w:r w:rsidRPr="7FC4235D">
              <w:rPr>
                <w:rFonts w:ascii="Times New Roman" w:eastAsia="Times New Roman" w:hAnsi="Times New Roman" w:cs="Times New Roman"/>
              </w:rPr>
              <w:t>Identification of study as noninferiority trial</w:t>
            </w:r>
          </w:p>
        </w:tc>
      </w:tr>
      <w:tr w:rsidR="00552780" w14:paraId="36F34F4B" w14:textId="77777777" w:rsidTr="00492111">
        <w:trPr>
          <w:trHeight w:val="300"/>
        </w:trPr>
        <w:tc>
          <w:tcPr>
            <w:tcW w:w="1785" w:type="dxa"/>
          </w:tcPr>
          <w:p w14:paraId="63F86FE5" w14:textId="77777777" w:rsidR="00552780" w:rsidRDefault="00552780" w:rsidP="00492111">
            <w:pPr>
              <w:rPr>
                <w:rFonts w:ascii="Times New Roman" w:eastAsia="Times New Roman" w:hAnsi="Times New Roman" w:cs="Times New Roman"/>
              </w:rPr>
            </w:pPr>
            <w:r w:rsidRPr="7FC4235D">
              <w:rPr>
                <w:rFonts w:ascii="Times New Roman" w:eastAsia="Times New Roman" w:hAnsi="Times New Roman" w:cs="Times New Roman"/>
              </w:rPr>
              <w:t>Objective</w:t>
            </w:r>
          </w:p>
        </w:tc>
        <w:tc>
          <w:tcPr>
            <w:tcW w:w="7230" w:type="dxa"/>
          </w:tcPr>
          <w:p w14:paraId="4CE98DD7" w14:textId="77777777" w:rsidR="00552780" w:rsidRDefault="00552780" w:rsidP="00492111">
            <w:pPr>
              <w:rPr>
                <w:rFonts w:ascii="Times New Roman" w:eastAsia="Times New Roman" w:hAnsi="Times New Roman" w:cs="Times New Roman"/>
              </w:rPr>
            </w:pPr>
            <w:r w:rsidRPr="7FC4235D">
              <w:rPr>
                <w:rFonts w:ascii="Times New Roman" w:eastAsia="Times New Roman" w:hAnsi="Times New Roman" w:cs="Times New Roman"/>
              </w:rPr>
              <w:t>Specific hypothesis concerning noninferiority, including noninferiority margin</w:t>
            </w:r>
          </w:p>
        </w:tc>
      </w:tr>
      <w:tr w:rsidR="00552780" w14:paraId="583AEE16" w14:textId="77777777" w:rsidTr="00492111">
        <w:trPr>
          <w:trHeight w:val="300"/>
        </w:trPr>
        <w:tc>
          <w:tcPr>
            <w:tcW w:w="1785" w:type="dxa"/>
          </w:tcPr>
          <w:p w14:paraId="2F35B016" w14:textId="77777777" w:rsidR="00552780" w:rsidRDefault="00552780" w:rsidP="00492111">
            <w:pPr>
              <w:rPr>
                <w:rFonts w:ascii="Times New Roman" w:eastAsia="Times New Roman" w:hAnsi="Times New Roman" w:cs="Times New Roman"/>
              </w:rPr>
            </w:pPr>
            <w:r w:rsidRPr="7FC4235D">
              <w:rPr>
                <w:rFonts w:ascii="Times New Roman" w:eastAsia="Times New Roman" w:hAnsi="Times New Roman" w:cs="Times New Roman"/>
              </w:rPr>
              <w:t>Method-Outcome</w:t>
            </w:r>
          </w:p>
        </w:tc>
        <w:tc>
          <w:tcPr>
            <w:tcW w:w="7230" w:type="dxa"/>
          </w:tcPr>
          <w:p w14:paraId="39B10C8A" w14:textId="77777777" w:rsidR="00552780" w:rsidRDefault="00552780" w:rsidP="00492111">
            <w:pPr>
              <w:rPr>
                <w:rFonts w:ascii="Times New Roman" w:eastAsia="Times New Roman" w:hAnsi="Times New Roman" w:cs="Times New Roman"/>
              </w:rPr>
            </w:pPr>
            <w:r w:rsidRPr="7FC4235D">
              <w:rPr>
                <w:rFonts w:ascii="Times New Roman" w:eastAsia="Times New Roman" w:hAnsi="Times New Roman" w:cs="Times New Roman"/>
              </w:rPr>
              <w:t>Clarify for all reported outcomes whether noninferiority or superiority</w:t>
            </w:r>
          </w:p>
        </w:tc>
      </w:tr>
      <w:tr w:rsidR="00552780" w14:paraId="60E782D6" w14:textId="77777777" w:rsidTr="00492111">
        <w:trPr>
          <w:trHeight w:val="300"/>
        </w:trPr>
        <w:tc>
          <w:tcPr>
            <w:tcW w:w="1785" w:type="dxa"/>
          </w:tcPr>
          <w:p w14:paraId="67CCA7AB" w14:textId="77777777" w:rsidR="00552780" w:rsidRDefault="00552780" w:rsidP="00492111">
            <w:pPr>
              <w:rPr>
                <w:rFonts w:ascii="Times New Roman" w:eastAsia="Times New Roman" w:hAnsi="Times New Roman" w:cs="Times New Roman"/>
              </w:rPr>
            </w:pPr>
            <w:r w:rsidRPr="7FC4235D">
              <w:rPr>
                <w:rFonts w:ascii="Times New Roman" w:eastAsia="Times New Roman" w:hAnsi="Times New Roman" w:cs="Times New Roman"/>
              </w:rPr>
              <w:t>Result-Outcome</w:t>
            </w:r>
          </w:p>
        </w:tc>
        <w:tc>
          <w:tcPr>
            <w:tcW w:w="7230" w:type="dxa"/>
          </w:tcPr>
          <w:p w14:paraId="3149379E" w14:textId="77777777" w:rsidR="00552780" w:rsidRDefault="00552780" w:rsidP="00492111">
            <w:pPr>
              <w:rPr>
                <w:rFonts w:ascii="Times New Roman" w:eastAsia="Times New Roman" w:hAnsi="Times New Roman" w:cs="Times New Roman"/>
              </w:rPr>
            </w:pPr>
            <w:r w:rsidRPr="7FC4235D">
              <w:rPr>
                <w:rFonts w:ascii="Times New Roman" w:eastAsia="Times New Roman" w:hAnsi="Times New Roman" w:cs="Times New Roman"/>
              </w:rPr>
              <w:t>For the primary noninferiority outcome, result in relation to noninferiority margin</w:t>
            </w:r>
          </w:p>
        </w:tc>
      </w:tr>
      <w:tr w:rsidR="00552780" w14:paraId="671BF069" w14:textId="77777777" w:rsidTr="00492111">
        <w:trPr>
          <w:trHeight w:val="300"/>
        </w:trPr>
        <w:tc>
          <w:tcPr>
            <w:tcW w:w="1785" w:type="dxa"/>
          </w:tcPr>
          <w:p w14:paraId="2C932ECD" w14:textId="77777777" w:rsidR="00552780" w:rsidRDefault="00552780" w:rsidP="00492111">
            <w:pPr>
              <w:rPr>
                <w:rFonts w:ascii="Times New Roman" w:eastAsia="Times New Roman" w:hAnsi="Times New Roman" w:cs="Times New Roman"/>
              </w:rPr>
            </w:pPr>
            <w:r w:rsidRPr="7FC4235D">
              <w:rPr>
                <w:rFonts w:ascii="Times New Roman" w:eastAsia="Times New Roman" w:hAnsi="Times New Roman" w:cs="Times New Roman"/>
              </w:rPr>
              <w:t>Conclusions</w:t>
            </w:r>
          </w:p>
        </w:tc>
        <w:tc>
          <w:tcPr>
            <w:tcW w:w="7230" w:type="dxa"/>
          </w:tcPr>
          <w:p w14:paraId="257726E5" w14:textId="77777777" w:rsidR="00552780" w:rsidRDefault="00552780" w:rsidP="00492111">
            <w:pPr>
              <w:rPr>
                <w:rFonts w:ascii="Times New Roman" w:eastAsia="Times New Roman" w:hAnsi="Times New Roman" w:cs="Times New Roman"/>
              </w:rPr>
            </w:pPr>
            <w:r w:rsidRPr="7FC4235D">
              <w:rPr>
                <w:rFonts w:ascii="Times New Roman" w:eastAsia="Times New Roman" w:hAnsi="Times New Roman" w:cs="Times New Roman"/>
              </w:rPr>
              <w:t>Interpretation taking into account the noninferiority hypotheses and any superiority hypotheses</w:t>
            </w:r>
          </w:p>
        </w:tc>
      </w:tr>
    </w:tbl>
    <w:p w14:paraId="7B5DDDDF" w14:textId="77777777" w:rsidR="00552780" w:rsidRDefault="00552780" w:rsidP="00552780">
      <w:pPr>
        <w:widowControl w:val="0"/>
        <w:spacing w:line="480" w:lineRule="auto"/>
        <w:contextualSpacing/>
        <w:jc w:val="center"/>
      </w:pPr>
    </w:p>
    <w:p w14:paraId="3C0C89A0" w14:textId="77777777" w:rsidR="00552780" w:rsidRDefault="00552780" w:rsidP="00552780">
      <w:pPr>
        <w:widowControl w:val="0"/>
        <w:spacing w:line="480" w:lineRule="auto"/>
        <w:contextualSpacing/>
        <w:jc w:val="center"/>
      </w:pPr>
    </w:p>
    <w:p w14:paraId="0BE418C9" w14:textId="77777777" w:rsidR="00552780" w:rsidRDefault="00552780" w:rsidP="00552780">
      <w:pPr>
        <w:widowControl w:val="0"/>
        <w:spacing w:line="480" w:lineRule="auto"/>
        <w:contextualSpacing/>
        <w:jc w:val="center"/>
      </w:pPr>
    </w:p>
    <w:p w14:paraId="7B329E94" w14:textId="77777777" w:rsidR="00552780" w:rsidRDefault="00552780" w:rsidP="00552780">
      <w:pPr>
        <w:widowControl w:val="0"/>
        <w:spacing w:line="480" w:lineRule="auto"/>
        <w:contextualSpacing/>
        <w:jc w:val="center"/>
      </w:pPr>
    </w:p>
    <w:p w14:paraId="6EBA8856" w14:textId="77777777" w:rsidR="00552780" w:rsidRDefault="00552780" w:rsidP="00552780">
      <w:pPr>
        <w:widowControl w:val="0"/>
        <w:spacing w:line="240" w:lineRule="auto"/>
        <w:contextualSpacing/>
        <w:jc w:val="both"/>
        <w:rPr>
          <w:rFonts w:asciiTheme="majorBidi" w:hAnsiTheme="majorBidi" w:cstheme="majorBidi"/>
          <w:sz w:val="20"/>
          <w:szCs w:val="20"/>
        </w:rPr>
      </w:pPr>
    </w:p>
    <w:p w14:paraId="050D44C8" w14:textId="77777777" w:rsidR="00552780" w:rsidRPr="0034554E" w:rsidRDefault="00552780" w:rsidP="00552780">
      <w:pPr>
        <w:widowControl w:val="0"/>
        <w:spacing w:before="280" w:after="280" w:line="480" w:lineRule="auto"/>
        <w:contextualSpacing/>
        <w:jc w:val="both"/>
        <w:rPr>
          <w:rFonts w:asciiTheme="majorBidi" w:hAnsiTheme="majorBidi" w:cstheme="majorBidi"/>
          <w:sz w:val="22"/>
          <w:szCs w:val="22"/>
        </w:rPr>
      </w:pPr>
    </w:p>
    <w:p w14:paraId="691451BE" w14:textId="77777777" w:rsidR="00552780" w:rsidRPr="0034554E" w:rsidRDefault="00552780" w:rsidP="00552780">
      <w:pPr>
        <w:widowControl w:val="0"/>
        <w:spacing w:before="280" w:after="280" w:line="480" w:lineRule="auto"/>
        <w:contextualSpacing/>
        <w:jc w:val="both"/>
        <w:rPr>
          <w:rFonts w:asciiTheme="majorBidi" w:hAnsiTheme="majorBidi" w:cstheme="majorBidi"/>
          <w:color w:val="000000"/>
          <w:sz w:val="22"/>
          <w:szCs w:val="22"/>
        </w:rPr>
      </w:pPr>
      <w:r w:rsidRPr="7FC4235D">
        <w:rPr>
          <w:rFonts w:asciiTheme="majorBidi" w:hAnsiTheme="majorBidi" w:cstheme="majorBidi"/>
          <w:color w:val="000000" w:themeColor="text1"/>
          <w:sz w:val="22"/>
          <w:szCs w:val="22"/>
        </w:rPr>
        <w:t xml:space="preserve"> </w:t>
      </w:r>
    </w:p>
    <w:p w14:paraId="4B90E2DB" w14:textId="77777777" w:rsidR="00552780" w:rsidRPr="0034554E" w:rsidRDefault="00552780" w:rsidP="00552780">
      <w:pPr>
        <w:widowControl w:val="0"/>
        <w:spacing w:before="280" w:after="280" w:line="480" w:lineRule="auto"/>
        <w:contextualSpacing/>
        <w:jc w:val="both"/>
        <w:rPr>
          <w:rFonts w:asciiTheme="majorBidi" w:hAnsiTheme="majorBidi" w:cstheme="majorBidi"/>
          <w:color w:val="000000"/>
          <w:sz w:val="22"/>
          <w:szCs w:val="22"/>
        </w:rPr>
      </w:pPr>
      <w:r w:rsidRPr="7FC4235D">
        <w:rPr>
          <w:rFonts w:asciiTheme="majorBidi" w:hAnsiTheme="majorBidi" w:cstheme="majorBidi"/>
          <w:color w:val="000000" w:themeColor="text1"/>
          <w:sz w:val="22"/>
          <w:szCs w:val="22"/>
        </w:rPr>
        <w:t xml:space="preserve"> </w:t>
      </w:r>
    </w:p>
    <w:p w14:paraId="105BB691" w14:textId="77777777" w:rsidR="00552780" w:rsidRPr="0034554E" w:rsidRDefault="00552780" w:rsidP="00552780">
      <w:pPr>
        <w:widowControl w:val="0"/>
        <w:spacing w:before="280" w:after="280" w:line="480" w:lineRule="auto"/>
        <w:contextualSpacing/>
        <w:jc w:val="both"/>
        <w:rPr>
          <w:rFonts w:asciiTheme="majorBidi" w:hAnsiTheme="majorBidi" w:cstheme="majorBidi"/>
          <w:color w:val="000000"/>
          <w:sz w:val="22"/>
          <w:szCs w:val="22"/>
        </w:rPr>
      </w:pPr>
      <w:r w:rsidRPr="7FC4235D">
        <w:rPr>
          <w:rFonts w:asciiTheme="majorBidi" w:hAnsiTheme="majorBidi" w:cstheme="majorBidi"/>
          <w:color w:val="000000" w:themeColor="text1"/>
          <w:sz w:val="22"/>
          <w:szCs w:val="22"/>
        </w:rPr>
        <w:t xml:space="preserve"> </w:t>
      </w:r>
    </w:p>
    <w:p w14:paraId="29778556" w14:textId="77777777" w:rsidR="00552780" w:rsidRPr="0034554E" w:rsidRDefault="00552780" w:rsidP="00552780">
      <w:pPr>
        <w:widowControl w:val="0"/>
        <w:spacing w:before="280" w:after="280" w:line="480" w:lineRule="auto"/>
        <w:contextualSpacing/>
        <w:jc w:val="both"/>
        <w:rPr>
          <w:rFonts w:asciiTheme="majorBidi" w:hAnsiTheme="majorBidi" w:cstheme="majorBidi"/>
          <w:color w:val="000000"/>
          <w:sz w:val="22"/>
          <w:szCs w:val="22"/>
        </w:rPr>
      </w:pPr>
      <w:r w:rsidRPr="7FC4235D">
        <w:rPr>
          <w:rFonts w:asciiTheme="majorBidi" w:hAnsiTheme="majorBidi" w:cstheme="majorBidi"/>
          <w:color w:val="000000" w:themeColor="text1"/>
          <w:sz w:val="22"/>
          <w:szCs w:val="22"/>
        </w:rPr>
        <w:t xml:space="preserve"> </w:t>
      </w:r>
    </w:p>
    <w:p w14:paraId="6942F19B" w14:textId="77777777" w:rsidR="00552780" w:rsidRPr="0034554E" w:rsidRDefault="00552780" w:rsidP="00552780">
      <w:pPr>
        <w:widowControl w:val="0"/>
        <w:spacing w:before="280" w:after="280" w:line="240" w:lineRule="auto"/>
        <w:jc w:val="both"/>
        <w:rPr>
          <w:rFonts w:asciiTheme="majorBidi" w:hAnsiTheme="majorBidi" w:cstheme="majorBidi"/>
          <w:color w:val="000000"/>
          <w:sz w:val="22"/>
          <w:szCs w:val="22"/>
        </w:rPr>
      </w:pPr>
      <w:r w:rsidRPr="7FC4235D">
        <w:rPr>
          <w:rFonts w:asciiTheme="majorBidi" w:hAnsiTheme="majorBidi" w:cstheme="majorBidi"/>
          <w:color w:val="000000" w:themeColor="text1"/>
          <w:sz w:val="22"/>
          <w:szCs w:val="22"/>
        </w:rPr>
        <w:t xml:space="preserve"> </w:t>
      </w:r>
    </w:p>
    <w:p w14:paraId="483BBE72" w14:textId="77777777" w:rsidR="00552780" w:rsidRPr="0034554E" w:rsidRDefault="00552780" w:rsidP="00552780">
      <w:pPr>
        <w:widowControl w:val="0"/>
        <w:spacing w:before="280" w:after="280" w:line="240" w:lineRule="auto"/>
        <w:jc w:val="both"/>
        <w:rPr>
          <w:rFonts w:asciiTheme="majorBidi" w:hAnsiTheme="majorBidi" w:cstheme="majorBidi"/>
          <w:color w:val="000000"/>
          <w:sz w:val="22"/>
          <w:szCs w:val="22"/>
        </w:rPr>
      </w:pPr>
      <w:r w:rsidRPr="7FC4235D">
        <w:rPr>
          <w:rFonts w:asciiTheme="majorBidi" w:hAnsiTheme="majorBidi" w:cstheme="majorBidi"/>
          <w:color w:val="000000" w:themeColor="text1"/>
          <w:sz w:val="22"/>
          <w:szCs w:val="22"/>
        </w:rPr>
        <w:t xml:space="preserve"> </w:t>
      </w:r>
    </w:p>
    <w:p w14:paraId="3705EDE9" w14:textId="77777777" w:rsidR="00552780" w:rsidRPr="0034554E" w:rsidRDefault="00552780" w:rsidP="00552780">
      <w:pPr>
        <w:widowControl w:val="0"/>
        <w:spacing w:before="280" w:after="280" w:line="240" w:lineRule="auto"/>
        <w:jc w:val="both"/>
        <w:rPr>
          <w:rFonts w:asciiTheme="majorBidi" w:hAnsiTheme="majorBidi" w:cstheme="majorBidi"/>
          <w:color w:val="000000"/>
          <w:sz w:val="22"/>
          <w:szCs w:val="22"/>
        </w:rPr>
      </w:pPr>
      <w:r w:rsidRPr="7FC4235D">
        <w:rPr>
          <w:rFonts w:asciiTheme="majorBidi" w:hAnsiTheme="majorBidi" w:cstheme="majorBidi"/>
          <w:color w:val="000000" w:themeColor="text1"/>
          <w:sz w:val="22"/>
          <w:szCs w:val="22"/>
        </w:rPr>
        <w:t xml:space="preserve"> </w:t>
      </w:r>
    </w:p>
    <w:p w14:paraId="7984DCF5" w14:textId="77777777" w:rsidR="00552780" w:rsidRPr="0034554E" w:rsidRDefault="00552780" w:rsidP="00552780">
      <w:pPr>
        <w:widowControl w:val="0"/>
        <w:spacing w:before="280" w:after="280" w:line="240" w:lineRule="auto"/>
        <w:jc w:val="both"/>
        <w:rPr>
          <w:rFonts w:asciiTheme="majorBidi" w:hAnsiTheme="majorBidi" w:cstheme="majorBidi"/>
          <w:color w:val="000000"/>
          <w:sz w:val="22"/>
          <w:szCs w:val="22"/>
        </w:rPr>
      </w:pPr>
      <w:r w:rsidRPr="7FC4235D">
        <w:rPr>
          <w:rFonts w:asciiTheme="majorBidi" w:hAnsiTheme="majorBidi" w:cstheme="majorBidi"/>
          <w:color w:val="000000" w:themeColor="text1"/>
          <w:sz w:val="22"/>
          <w:szCs w:val="22"/>
        </w:rPr>
        <w:t xml:space="preserve"> </w:t>
      </w:r>
    </w:p>
    <w:p w14:paraId="791D909F" w14:textId="77777777" w:rsidR="00552780" w:rsidRPr="0034554E" w:rsidRDefault="00552780" w:rsidP="00552780">
      <w:pPr>
        <w:widowControl w:val="0"/>
        <w:spacing w:before="280" w:after="280" w:line="240" w:lineRule="auto"/>
        <w:jc w:val="both"/>
        <w:rPr>
          <w:rFonts w:asciiTheme="majorBidi" w:hAnsiTheme="majorBidi" w:cstheme="majorBidi"/>
          <w:color w:val="000000"/>
          <w:sz w:val="22"/>
          <w:szCs w:val="22"/>
        </w:rPr>
      </w:pPr>
      <w:r w:rsidRPr="7FC4235D">
        <w:rPr>
          <w:rFonts w:asciiTheme="majorBidi" w:hAnsiTheme="majorBidi" w:cstheme="majorBidi"/>
          <w:color w:val="000000" w:themeColor="text1"/>
          <w:sz w:val="22"/>
          <w:szCs w:val="22"/>
        </w:rPr>
        <w:lastRenderedPageBreak/>
        <w:t xml:space="preserve"> </w:t>
      </w:r>
    </w:p>
    <w:p w14:paraId="7E421A12" w14:textId="77777777" w:rsidR="00552780" w:rsidRPr="0034554E" w:rsidRDefault="00552780" w:rsidP="00552780">
      <w:pPr>
        <w:widowControl w:val="0"/>
        <w:spacing w:before="280" w:after="280" w:line="240" w:lineRule="auto"/>
        <w:jc w:val="both"/>
        <w:rPr>
          <w:rFonts w:asciiTheme="majorBidi" w:hAnsiTheme="majorBidi" w:cstheme="majorBidi"/>
          <w:b/>
          <w:bCs/>
          <w:color w:val="000000"/>
        </w:rPr>
      </w:pPr>
      <w:r w:rsidRPr="7FC4235D">
        <w:rPr>
          <w:rFonts w:asciiTheme="majorBidi" w:hAnsiTheme="majorBidi" w:cstheme="majorBidi"/>
          <w:color w:val="000000" w:themeColor="text1"/>
          <w:sz w:val="22"/>
          <w:szCs w:val="22"/>
        </w:rPr>
        <w:t xml:space="preserve"> </w:t>
      </w:r>
    </w:p>
    <w:p w14:paraId="15561642" w14:textId="77777777" w:rsidR="00681741" w:rsidRPr="00552780" w:rsidRDefault="00681741" w:rsidP="00552780"/>
    <w:sectPr w:rsidR="00681741" w:rsidRPr="00552780" w:rsidSect="00552780">
      <w:headerReference w:type="default" r:id="rId6"/>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8C04C" w14:textId="77777777" w:rsidR="00AF0331" w:rsidRDefault="00AF0331">
      <w:pPr>
        <w:spacing w:before="0" w:after="0" w:line="240" w:lineRule="auto"/>
      </w:pPr>
      <w:r>
        <w:separator/>
      </w:r>
    </w:p>
  </w:endnote>
  <w:endnote w:type="continuationSeparator" w:id="0">
    <w:p w14:paraId="5BD46B87" w14:textId="77777777" w:rsidR="00AF0331" w:rsidRDefault="00AF03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552780" w14:paraId="31D6A470" w14:textId="77777777" w:rsidTr="7FC4235D">
      <w:trPr>
        <w:trHeight w:val="300"/>
      </w:trPr>
      <w:tc>
        <w:tcPr>
          <w:tcW w:w="3005" w:type="dxa"/>
        </w:tcPr>
        <w:p w14:paraId="0DA5D7D3" w14:textId="77777777" w:rsidR="00552780" w:rsidRDefault="00552780" w:rsidP="3195CB24">
          <w:pPr>
            <w:pStyle w:val="Header"/>
            <w:ind w:left="-115"/>
          </w:pPr>
        </w:p>
      </w:tc>
      <w:tc>
        <w:tcPr>
          <w:tcW w:w="3005" w:type="dxa"/>
        </w:tcPr>
        <w:p w14:paraId="2E5567E2" w14:textId="77777777" w:rsidR="00552780" w:rsidRDefault="00552780" w:rsidP="3195CB24">
          <w:pPr>
            <w:pStyle w:val="Header"/>
            <w:jc w:val="center"/>
          </w:pPr>
        </w:p>
      </w:tc>
      <w:tc>
        <w:tcPr>
          <w:tcW w:w="3005" w:type="dxa"/>
        </w:tcPr>
        <w:p w14:paraId="1D7F25B7" w14:textId="77777777" w:rsidR="00552780" w:rsidRDefault="00552780" w:rsidP="3195CB24">
          <w:pPr>
            <w:pStyle w:val="Header"/>
            <w:ind w:right="-115"/>
            <w:jc w:val="right"/>
          </w:pPr>
        </w:p>
      </w:tc>
    </w:tr>
  </w:tbl>
  <w:p w14:paraId="126F370E" w14:textId="77777777" w:rsidR="00552780" w:rsidRDefault="00552780" w:rsidP="3195CB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55D30" w14:textId="77777777" w:rsidR="00AF0331" w:rsidRDefault="00AF0331">
      <w:pPr>
        <w:spacing w:before="0" w:after="0" w:line="240" w:lineRule="auto"/>
      </w:pPr>
      <w:r>
        <w:separator/>
      </w:r>
    </w:p>
  </w:footnote>
  <w:footnote w:type="continuationSeparator" w:id="0">
    <w:p w14:paraId="13FF725B" w14:textId="77777777" w:rsidR="00AF0331" w:rsidRDefault="00AF03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552780" w14:paraId="192B2134" w14:textId="77777777" w:rsidTr="7FC4235D">
      <w:trPr>
        <w:trHeight w:val="300"/>
      </w:trPr>
      <w:tc>
        <w:tcPr>
          <w:tcW w:w="3005" w:type="dxa"/>
        </w:tcPr>
        <w:p w14:paraId="6D15D66B" w14:textId="77777777" w:rsidR="00552780" w:rsidRDefault="00552780" w:rsidP="3195CB24">
          <w:pPr>
            <w:pStyle w:val="Header"/>
            <w:ind w:left="-115"/>
          </w:pPr>
        </w:p>
      </w:tc>
      <w:tc>
        <w:tcPr>
          <w:tcW w:w="3005" w:type="dxa"/>
        </w:tcPr>
        <w:p w14:paraId="79CFB9BC" w14:textId="77777777" w:rsidR="00552780" w:rsidRDefault="00552780" w:rsidP="3195CB24">
          <w:pPr>
            <w:pStyle w:val="Header"/>
            <w:jc w:val="center"/>
          </w:pPr>
        </w:p>
      </w:tc>
      <w:tc>
        <w:tcPr>
          <w:tcW w:w="3005" w:type="dxa"/>
        </w:tcPr>
        <w:p w14:paraId="31154CAC" w14:textId="77777777" w:rsidR="00552780" w:rsidRDefault="00552780" w:rsidP="3195CB24">
          <w:pPr>
            <w:pStyle w:val="Header"/>
            <w:ind w:right="-115"/>
            <w:jc w:val="right"/>
          </w:pPr>
        </w:p>
      </w:tc>
    </w:tr>
  </w:tbl>
  <w:p w14:paraId="26A57CA4" w14:textId="77777777" w:rsidR="00552780" w:rsidRDefault="00552780" w:rsidP="3195C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780"/>
    <w:rsid w:val="00114CBF"/>
    <w:rsid w:val="0013410F"/>
    <w:rsid w:val="0042362C"/>
    <w:rsid w:val="004C3BB9"/>
    <w:rsid w:val="00526550"/>
    <w:rsid w:val="00552780"/>
    <w:rsid w:val="00633CE7"/>
    <w:rsid w:val="00681741"/>
    <w:rsid w:val="006C6FE4"/>
    <w:rsid w:val="00780838"/>
    <w:rsid w:val="007A134C"/>
    <w:rsid w:val="00830622"/>
    <w:rsid w:val="008F02B0"/>
    <w:rsid w:val="009C027C"/>
    <w:rsid w:val="00A45DF3"/>
    <w:rsid w:val="00A92306"/>
    <w:rsid w:val="00AA1133"/>
    <w:rsid w:val="00AF0331"/>
    <w:rsid w:val="00B938E7"/>
    <w:rsid w:val="00C17131"/>
    <w:rsid w:val="00C40A94"/>
    <w:rsid w:val="00D604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475D6"/>
  <w15:chartTrackingRefBased/>
  <w15:docId w15:val="{26DABA62-4056-4E69-A3F5-051ABBBAF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780"/>
    <w:pPr>
      <w:shd w:val="clear" w:color="auto" w:fill="FFFFFF"/>
      <w:spacing w:before="200" w:after="200" w:line="428" w:lineRule="auto"/>
    </w:pPr>
    <w:rPr>
      <w:rFonts w:ascii="Calibri" w:eastAsia="Calibri" w:hAnsi="Calibri" w:cs="Calibri"/>
      <w:color w:val="404040"/>
      <w:kern w:val="0"/>
      <w:lang w:eastAsia="en-CA"/>
      <w14:ligatures w14:val="none"/>
    </w:rPr>
  </w:style>
  <w:style w:type="paragraph" w:styleId="Heading1">
    <w:name w:val="heading 1"/>
    <w:basedOn w:val="Normal"/>
    <w:next w:val="Normal"/>
    <w:link w:val="Heading1Char"/>
    <w:uiPriority w:val="9"/>
    <w:qFormat/>
    <w:rsid w:val="005527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7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7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7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7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7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7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7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7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7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27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27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27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27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27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7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7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780"/>
    <w:rPr>
      <w:rFonts w:eastAsiaTheme="majorEastAsia" w:cstheme="majorBidi"/>
      <w:color w:val="272727" w:themeColor="text1" w:themeTint="D8"/>
    </w:rPr>
  </w:style>
  <w:style w:type="paragraph" w:styleId="Title">
    <w:name w:val="Title"/>
    <w:basedOn w:val="Normal"/>
    <w:next w:val="Normal"/>
    <w:link w:val="TitleChar"/>
    <w:uiPriority w:val="10"/>
    <w:qFormat/>
    <w:rsid w:val="005527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7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7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7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780"/>
    <w:pPr>
      <w:spacing w:before="160"/>
      <w:jc w:val="center"/>
    </w:pPr>
    <w:rPr>
      <w:i/>
      <w:iCs/>
      <w:color w:val="404040" w:themeColor="text1" w:themeTint="BF"/>
    </w:rPr>
  </w:style>
  <w:style w:type="character" w:customStyle="1" w:styleId="QuoteChar">
    <w:name w:val="Quote Char"/>
    <w:basedOn w:val="DefaultParagraphFont"/>
    <w:link w:val="Quote"/>
    <w:uiPriority w:val="29"/>
    <w:rsid w:val="00552780"/>
    <w:rPr>
      <w:i/>
      <w:iCs/>
      <w:color w:val="404040" w:themeColor="text1" w:themeTint="BF"/>
    </w:rPr>
  </w:style>
  <w:style w:type="paragraph" w:styleId="ListParagraph">
    <w:name w:val="List Paragraph"/>
    <w:basedOn w:val="Normal"/>
    <w:uiPriority w:val="34"/>
    <w:qFormat/>
    <w:rsid w:val="00552780"/>
    <w:pPr>
      <w:ind w:left="720"/>
      <w:contextualSpacing/>
    </w:pPr>
  </w:style>
  <w:style w:type="character" w:styleId="IntenseEmphasis">
    <w:name w:val="Intense Emphasis"/>
    <w:basedOn w:val="DefaultParagraphFont"/>
    <w:uiPriority w:val="21"/>
    <w:qFormat/>
    <w:rsid w:val="00552780"/>
    <w:rPr>
      <w:i/>
      <w:iCs/>
      <w:color w:val="0F4761" w:themeColor="accent1" w:themeShade="BF"/>
    </w:rPr>
  </w:style>
  <w:style w:type="paragraph" w:styleId="IntenseQuote">
    <w:name w:val="Intense Quote"/>
    <w:basedOn w:val="Normal"/>
    <w:next w:val="Normal"/>
    <w:link w:val="IntenseQuoteChar"/>
    <w:uiPriority w:val="30"/>
    <w:qFormat/>
    <w:rsid w:val="005527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780"/>
    <w:rPr>
      <w:i/>
      <w:iCs/>
      <w:color w:val="0F4761" w:themeColor="accent1" w:themeShade="BF"/>
    </w:rPr>
  </w:style>
  <w:style w:type="character" w:styleId="IntenseReference">
    <w:name w:val="Intense Reference"/>
    <w:basedOn w:val="DefaultParagraphFont"/>
    <w:uiPriority w:val="32"/>
    <w:qFormat/>
    <w:rsid w:val="00552780"/>
    <w:rPr>
      <w:b/>
      <w:bCs/>
      <w:smallCaps/>
      <w:color w:val="0F4761" w:themeColor="accent1" w:themeShade="BF"/>
      <w:spacing w:val="5"/>
    </w:rPr>
  </w:style>
  <w:style w:type="paragraph" w:styleId="Header">
    <w:name w:val="header"/>
    <w:basedOn w:val="Normal"/>
    <w:link w:val="HeaderChar"/>
    <w:uiPriority w:val="99"/>
    <w:unhideWhenUsed/>
    <w:rsid w:val="0055278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52780"/>
    <w:rPr>
      <w:rFonts w:ascii="Calibri" w:eastAsia="Calibri" w:hAnsi="Calibri" w:cs="Calibri"/>
      <w:color w:val="404040"/>
      <w:kern w:val="0"/>
      <w:shd w:val="clear" w:color="auto" w:fill="FFFFFF"/>
      <w:lang w:eastAsia="en-CA"/>
      <w14:ligatures w14:val="none"/>
    </w:rPr>
  </w:style>
  <w:style w:type="paragraph" w:styleId="Footer">
    <w:name w:val="footer"/>
    <w:basedOn w:val="Normal"/>
    <w:link w:val="FooterChar"/>
    <w:uiPriority w:val="99"/>
    <w:unhideWhenUsed/>
    <w:rsid w:val="0055278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552780"/>
    <w:rPr>
      <w:rFonts w:ascii="Calibri" w:eastAsia="Calibri" w:hAnsi="Calibri" w:cs="Calibri"/>
      <w:color w:val="404040"/>
      <w:kern w:val="0"/>
      <w:shd w:val="clear" w:color="auto" w:fill="FFFFFF"/>
      <w:lang w:eastAsia="en-CA"/>
      <w14:ligatures w14:val="none"/>
    </w:rPr>
  </w:style>
  <w:style w:type="table" w:styleId="TableGrid">
    <w:name w:val="Table Grid"/>
    <w:basedOn w:val="TableNormal"/>
    <w:uiPriority w:val="39"/>
    <w:rsid w:val="005527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607</Words>
  <Characters>3461</Characters>
  <Application>Microsoft Office Word</Application>
  <DocSecurity>0</DocSecurity>
  <Lines>28</Lines>
  <Paragraphs>8</Paragraphs>
  <ScaleCrop>false</ScaleCrop>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Kasra Seyyed Abbas Zadeh</dc:creator>
  <cp:keywords/>
  <dc:description/>
  <cp:lastModifiedBy>Kasra Seyyed Abbas Zadeh</cp:lastModifiedBy>
  <cp:revision>8</cp:revision>
  <dcterms:created xsi:type="dcterms:W3CDTF">2025-11-07T18:06:00Z</dcterms:created>
  <dcterms:modified xsi:type="dcterms:W3CDTF">2026-05-29T19:40:00Z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f6188256-9510-489c-b384-156507f2759c</vt:lpwstr>
  </property>
</Properties>
</file>