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5E27" w:rsidRPr="001477FD" w:rsidRDefault="00D95E27" w:rsidP="00D95E27">
      <w:pPr>
        <w:spacing w:line="480" w:lineRule="auto"/>
        <w:jc w:val="both"/>
        <w:rPr>
          <w:rFonts w:ascii="Times New Roman" w:hAnsi="Times New Roman" w:cs="Times New Roman"/>
          <w:b/>
          <w:bCs/>
          <w:szCs w:val="24"/>
        </w:rPr>
      </w:pPr>
      <w:r w:rsidRPr="001477FD">
        <w:rPr>
          <w:rFonts w:ascii="Times New Roman" w:hAnsi="Times New Roman" w:cs="Times New Roman"/>
          <w:b/>
          <w:bCs/>
          <w:szCs w:val="24"/>
        </w:rPr>
        <w:t>Figure S1</w:t>
      </w:r>
    </w:p>
    <w:p w:rsidR="00D95E27" w:rsidRPr="001477FD" w:rsidRDefault="00D95E27" w:rsidP="00D95E27">
      <w:pPr>
        <w:spacing w:line="480" w:lineRule="auto"/>
        <w:jc w:val="both"/>
        <w:rPr>
          <w:rFonts w:ascii="Times New Roman" w:hAnsi="Times New Roman" w:cs="Times New Roman"/>
          <w:szCs w:val="24"/>
        </w:rPr>
      </w:pPr>
      <w:r w:rsidRPr="001477FD">
        <w:rPr>
          <w:rFonts w:ascii="Times New Roman" w:hAnsi="Times New Roman" w:cs="Times New Roman"/>
          <w:noProof/>
          <w:szCs w:val="24"/>
          <w:lang w:eastAsia="en-US"/>
        </w:rPr>
        <w:drawing>
          <wp:inline distT="0" distB="0" distL="0" distR="0" wp14:anchorId="63740F78" wp14:editId="7682601B">
            <wp:extent cx="5274310" cy="2967990"/>
            <wp:effectExtent l="0" t="0" r="2540" b="3810"/>
            <wp:docPr id="1137306550"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2967990"/>
                    </a:xfrm>
                    <a:prstGeom prst="rect">
                      <a:avLst/>
                    </a:prstGeom>
                    <a:noFill/>
                    <a:ln>
                      <a:noFill/>
                    </a:ln>
                  </pic:spPr>
                </pic:pic>
              </a:graphicData>
            </a:graphic>
          </wp:inline>
        </w:drawing>
      </w:r>
    </w:p>
    <w:p w:rsidR="00D95E27" w:rsidRPr="001477FD" w:rsidRDefault="00D95E27" w:rsidP="00D95E27">
      <w:pPr>
        <w:spacing w:line="480" w:lineRule="auto"/>
        <w:jc w:val="both"/>
        <w:rPr>
          <w:rFonts w:ascii="Times New Roman" w:hAnsi="Times New Roman" w:cs="Times New Roman"/>
          <w:szCs w:val="24"/>
        </w:rPr>
      </w:pPr>
      <w:r w:rsidRPr="001477FD">
        <w:rPr>
          <w:rFonts w:ascii="Times New Roman" w:hAnsi="Times New Roman" w:cs="Times New Roman"/>
          <w:b/>
          <w:bCs/>
          <w:szCs w:val="24"/>
        </w:rPr>
        <w:t xml:space="preserve">Figure S1. Schematic diagram of the experimental protocol for the DPSC–THP-1 </w:t>
      </w:r>
      <w:proofErr w:type="spellStart"/>
      <w:r w:rsidRPr="001477FD">
        <w:rPr>
          <w:rFonts w:ascii="Times New Roman" w:hAnsi="Times New Roman" w:cs="Times New Roman"/>
          <w:b/>
          <w:bCs/>
          <w:szCs w:val="24"/>
        </w:rPr>
        <w:t>coculture</w:t>
      </w:r>
      <w:proofErr w:type="spellEnd"/>
      <w:r w:rsidRPr="001477FD">
        <w:rPr>
          <w:rFonts w:ascii="Times New Roman" w:hAnsi="Times New Roman" w:cs="Times New Roman"/>
          <w:b/>
          <w:bCs/>
          <w:szCs w:val="24"/>
        </w:rPr>
        <w:t xml:space="preserve"> model.</w:t>
      </w:r>
      <w:r w:rsidRPr="001477FD">
        <w:rPr>
          <w:rFonts w:ascii="Times New Roman" w:hAnsi="Times New Roman" w:cs="Times New Roman"/>
          <w:szCs w:val="24"/>
        </w:rPr>
        <w:t xml:space="preserve"> DPSCs (2.5 x 10⁴ cells/well) were seeded in a 12-well plate overnight and stimulated with LPS (0.1 </w:t>
      </w:r>
      <w:proofErr w:type="spellStart"/>
      <w:r w:rsidRPr="001477FD">
        <w:rPr>
          <w:rFonts w:ascii="Times New Roman" w:hAnsi="Times New Roman" w:cs="Times New Roman"/>
          <w:szCs w:val="24"/>
        </w:rPr>
        <w:t>μg</w:t>
      </w:r>
      <w:proofErr w:type="spellEnd"/>
      <w:r w:rsidRPr="001477FD">
        <w:rPr>
          <w:rFonts w:ascii="Times New Roman" w:hAnsi="Times New Roman" w:cs="Times New Roman"/>
          <w:szCs w:val="24"/>
        </w:rPr>
        <w:t xml:space="preserve">/mL) for 1 hour. THP-1 cells (2.5 x 10³ cells) were pretreated with PMA (100 ng/mL) for 30 minutes and </w:t>
      </w:r>
      <w:proofErr w:type="spellStart"/>
      <w:r w:rsidRPr="001477FD">
        <w:rPr>
          <w:rFonts w:ascii="Times New Roman" w:hAnsi="Times New Roman" w:cs="Times New Roman"/>
          <w:szCs w:val="24"/>
        </w:rPr>
        <w:t>cocultured</w:t>
      </w:r>
      <w:proofErr w:type="spellEnd"/>
      <w:r w:rsidRPr="001477FD">
        <w:rPr>
          <w:rFonts w:ascii="Times New Roman" w:hAnsi="Times New Roman" w:cs="Times New Roman"/>
          <w:szCs w:val="24"/>
        </w:rPr>
        <w:t xml:space="preserve"> with DPSCs at a 1:10 ratio for 24 hours. The medium was then replaced with fresh medium containing LPS (0.1 </w:t>
      </w:r>
      <w:proofErr w:type="spellStart"/>
      <w:r w:rsidRPr="001477FD">
        <w:rPr>
          <w:rFonts w:ascii="Times New Roman" w:hAnsi="Times New Roman" w:cs="Times New Roman"/>
          <w:szCs w:val="24"/>
        </w:rPr>
        <w:t>μg</w:t>
      </w:r>
      <w:proofErr w:type="spellEnd"/>
      <w:r w:rsidRPr="001477FD">
        <w:rPr>
          <w:rFonts w:ascii="Times New Roman" w:hAnsi="Times New Roman" w:cs="Times New Roman"/>
          <w:szCs w:val="24"/>
        </w:rPr>
        <w:t xml:space="preserve">/mL) and either </w:t>
      </w:r>
      <w:proofErr w:type="spellStart"/>
      <w:r w:rsidRPr="001477FD">
        <w:rPr>
          <w:rFonts w:ascii="Times New Roman" w:hAnsi="Times New Roman" w:cs="Times New Roman"/>
          <w:szCs w:val="24"/>
        </w:rPr>
        <w:t>Biodentine</w:t>
      </w:r>
      <w:proofErr w:type="spellEnd"/>
      <w:r w:rsidRPr="001477FD">
        <w:rPr>
          <w:rFonts w:ascii="Times New Roman" w:hAnsi="Times New Roman" w:cs="Times New Roman"/>
          <w:szCs w:val="24"/>
        </w:rPr>
        <w:t xml:space="preserve"> (0.14 mg/mL) or MTA (0.13 mg/mL), and refreshed every 2 days. Analysis was performed at D2 and D28. Negative control consisted of DPSCs treated with PMA alone without THP-1 cells. Control consisted of DPSCs with PMA-treated THP-1 cells and LPS, without </w:t>
      </w:r>
      <w:proofErr w:type="spellStart"/>
      <w:r w:rsidRPr="001477FD">
        <w:rPr>
          <w:rFonts w:ascii="Times New Roman" w:hAnsi="Times New Roman" w:cs="Times New Roman"/>
          <w:szCs w:val="24"/>
        </w:rPr>
        <w:t>Biodentine</w:t>
      </w:r>
      <w:proofErr w:type="spellEnd"/>
      <w:r w:rsidRPr="001477FD">
        <w:rPr>
          <w:rFonts w:ascii="Times New Roman" w:hAnsi="Times New Roman" w:cs="Times New Roman"/>
          <w:szCs w:val="24"/>
        </w:rPr>
        <w:t xml:space="preserve"> nor MTA. All cultures were maintained at 37 °C, 5% CO₂ under serum-containing conditions.</w:t>
      </w:r>
    </w:p>
    <w:p w:rsidR="00D95E27" w:rsidRPr="001477FD" w:rsidRDefault="00D95E27" w:rsidP="00D95E27">
      <w:pPr>
        <w:spacing w:line="480" w:lineRule="auto"/>
        <w:jc w:val="both"/>
        <w:rPr>
          <w:rFonts w:ascii="Times New Roman" w:hAnsi="Times New Roman" w:cs="Times New Roman"/>
          <w:szCs w:val="24"/>
        </w:rPr>
      </w:pPr>
    </w:p>
    <w:p w:rsidR="00D95E27" w:rsidRPr="001477FD" w:rsidRDefault="00D95E27" w:rsidP="00D95E27">
      <w:pPr>
        <w:spacing w:line="480" w:lineRule="auto"/>
        <w:jc w:val="both"/>
        <w:rPr>
          <w:rFonts w:ascii="Times New Roman" w:hAnsi="Times New Roman" w:cs="Times New Roman"/>
          <w:szCs w:val="24"/>
        </w:rPr>
      </w:pPr>
    </w:p>
    <w:p w:rsidR="00D95E27" w:rsidRPr="001477FD" w:rsidRDefault="00D95E27" w:rsidP="00D95E27">
      <w:pPr>
        <w:spacing w:line="480" w:lineRule="auto"/>
        <w:jc w:val="both"/>
        <w:rPr>
          <w:rFonts w:ascii="Times New Roman" w:hAnsi="Times New Roman" w:cs="Times New Roman"/>
          <w:b/>
          <w:bCs/>
          <w:szCs w:val="24"/>
        </w:rPr>
      </w:pPr>
      <w:r w:rsidRPr="001477FD">
        <w:rPr>
          <w:rFonts w:ascii="Times New Roman" w:hAnsi="Times New Roman" w:cs="Times New Roman"/>
          <w:b/>
          <w:bCs/>
          <w:szCs w:val="24"/>
        </w:rPr>
        <w:t>Figure S2</w:t>
      </w:r>
    </w:p>
    <w:p w:rsidR="00D95E27" w:rsidRPr="001477FD" w:rsidRDefault="00D95E27" w:rsidP="00D95E27">
      <w:pPr>
        <w:spacing w:line="480" w:lineRule="auto"/>
        <w:jc w:val="both"/>
        <w:rPr>
          <w:rFonts w:ascii="Times New Roman" w:hAnsi="Times New Roman" w:cs="Times New Roman"/>
          <w:szCs w:val="24"/>
        </w:rPr>
      </w:pPr>
      <w:r w:rsidRPr="001477FD">
        <w:rPr>
          <w:rFonts w:ascii="Times New Roman" w:hAnsi="Times New Roman" w:cs="Times New Roman"/>
          <w:noProof/>
          <w:szCs w:val="24"/>
          <w:lang w:eastAsia="en-US"/>
        </w:rPr>
        <w:lastRenderedPageBreak/>
        <w:drawing>
          <wp:inline distT="0" distB="0" distL="0" distR="0" wp14:anchorId="02ADF322" wp14:editId="665514A0">
            <wp:extent cx="5274310" cy="2967990"/>
            <wp:effectExtent l="0" t="0" r="2540" b="3810"/>
            <wp:docPr id="1386412260"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4310" cy="2967990"/>
                    </a:xfrm>
                    <a:prstGeom prst="rect">
                      <a:avLst/>
                    </a:prstGeom>
                    <a:noFill/>
                    <a:ln>
                      <a:noFill/>
                    </a:ln>
                  </pic:spPr>
                </pic:pic>
              </a:graphicData>
            </a:graphic>
          </wp:inline>
        </w:drawing>
      </w:r>
    </w:p>
    <w:p w:rsidR="00D95E27" w:rsidRPr="001477FD" w:rsidRDefault="00D95E27" w:rsidP="00D95E27">
      <w:pPr>
        <w:spacing w:line="480" w:lineRule="auto"/>
        <w:jc w:val="both"/>
        <w:rPr>
          <w:rFonts w:ascii="Times New Roman" w:hAnsi="Times New Roman" w:cs="Times New Roman"/>
          <w:szCs w:val="24"/>
        </w:rPr>
      </w:pPr>
      <w:r w:rsidRPr="001477FD">
        <w:rPr>
          <w:rFonts w:ascii="Times New Roman" w:hAnsi="Times New Roman" w:cs="Times New Roman"/>
          <w:b/>
          <w:bCs/>
          <w:szCs w:val="24"/>
        </w:rPr>
        <w:t xml:space="preserve">Figure S2. Representative microscopy images of the DPSC–THP-1 </w:t>
      </w:r>
      <w:proofErr w:type="spellStart"/>
      <w:r w:rsidRPr="001477FD">
        <w:rPr>
          <w:rFonts w:ascii="Times New Roman" w:hAnsi="Times New Roman" w:cs="Times New Roman"/>
          <w:b/>
          <w:bCs/>
          <w:szCs w:val="24"/>
        </w:rPr>
        <w:t>coculture</w:t>
      </w:r>
      <w:proofErr w:type="spellEnd"/>
      <w:r w:rsidRPr="001477FD">
        <w:rPr>
          <w:rFonts w:ascii="Times New Roman" w:hAnsi="Times New Roman" w:cs="Times New Roman"/>
          <w:b/>
          <w:bCs/>
          <w:szCs w:val="24"/>
        </w:rPr>
        <w:t xml:space="preserve"> model at Day 28. </w:t>
      </w:r>
      <w:r w:rsidRPr="001477FD">
        <w:rPr>
          <w:rFonts w:ascii="Times New Roman" w:hAnsi="Times New Roman" w:cs="Times New Roman"/>
          <w:szCs w:val="24"/>
        </w:rPr>
        <w:t xml:space="preserve">Bright-field microscopy images showing the morphology of DPSCs and THP-1 cells following 28 days of </w:t>
      </w:r>
      <w:proofErr w:type="spellStart"/>
      <w:r w:rsidRPr="001477FD">
        <w:rPr>
          <w:rFonts w:ascii="Times New Roman" w:hAnsi="Times New Roman" w:cs="Times New Roman"/>
          <w:szCs w:val="24"/>
        </w:rPr>
        <w:t>coculture</w:t>
      </w:r>
      <w:proofErr w:type="spellEnd"/>
      <w:r w:rsidRPr="001477FD">
        <w:rPr>
          <w:rFonts w:ascii="Times New Roman" w:hAnsi="Times New Roman" w:cs="Times New Roman"/>
          <w:szCs w:val="24"/>
        </w:rPr>
        <w:t xml:space="preserve"> in DPSC-specific medium supplemented with LPS (0.1 </w:t>
      </w:r>
      <w:proofErr w:type="spellStart"/>
      <w:r w:rsidRPr="001477FD">
        <w:rPr>
          <w:rFonts w:ascii="Times New Roman" w:hAnsi="Times New Roman" w:cs="Times New Roman"/>
          <w:szCs w:val="24"/>
        </w:rPr>
        <w:t>μg</w:t>
      </w:r>
      <w:proofErr w:type="spellEnd"/>
      <w:r w:rsidRPr="001477FD">
        <w:rPr>
          <w:rFonts w:ascii="Times New Roman" w:hAnsi="Times New Roman" w:cs="Times New Roman"/>
          <w:szCs w:val="24"/>
        </w:rPr>
        <w:t xml:space="preserve">/mL) and either </w:t>
      </w:r>
      <w:proofErr w:type="spellStart"/>
      <w:r w:rsidRPr="001477FD">
        <w:rPr>
          <w:rFonts w:ascii="Times New Roman" w:hAnsi="Times New Roman" w:cs="Times New Roman"/>
          <w:szCs w:val="24"/>
        </w:rPr>
        <w:t>Biodentine</w:t>
      </w:r>
      <w:proofErr w:type="spellEnd"/>
      <w:r w:rsidRPr="001477FD">
        <w:rPr>
          <w:rFonts w:ascii="Times New Roman" w:hAnsi="Times New Roman" w:cs="Times New Roman"/>
          <w:szCs w:val="24"/>
        </w:rPr>
        <w:t xml:space="preserve"> (0.14 mg/mL) or MTA (0.13 mg/mL). Both DPSCs and THP-1 cells remained viable throughout the culture period.</w:t>
      </w:r>
    </w:p>
    <w:p w:rsidR="00D95E27" w:rsidRPr="001477FD" w:rsidRDefault="00D95E27" w:rsidP="00D95E27">
      <w:pPr>
        <w:widowControl/>
        <w:jc w:val="both"/>
        <w:rPr>
          <w:rFonts w:ascii="Times New Roman" w:hAnsi="Times New Roman" w:cs="Times New Roman"/>
          <w:szCs w:val="24"/>
        </w:rPr>
      </w:pPr>
      <w:r w:rsidRPr="001477FD">
        <w:rPr>
          <w:rFonts w:ascii="Times New Roman" w:hAnsi="Times New Roman" w:cs="Times New Roman"/>
          <w:szCs w:val="24"/>
        </w:rPr>
        <w:br w:type="page"/>
      </w:r>
    </w:p>
    <w:p w:rsidR="00D95E27" w:rsidRPr="001477FD" w:rsidRDefault="00D95E27" w:rsidP="00D95E27">
      <w:pPr>
        <w:spacing w:line="480" w:lineRule="auto"/>
        <w:jc w:val="both"/>
        <w:rPr>
          <w:rFonts w:ascii="Times New Roman" w:hAnsi="Times New Roman" w:cs="Times New Roman"/>
          <w:b/>
          <w:bCs/>
          <w:szCs w:val="24"/>
        </w:rPr>
      </w:pPr>
      <w:r w:rsidRPr="001477FD">
        <w:rPr>
          <w:rFonts w:ascii="Times New Roman" w:hAnsi="Times New Roman" w:cs="Times New Roman"/>
          <w:b/>
          <w:bCs/>
          <w:szCs w:val="24"/>
        </w:rPr>
        <w:lastRenderedPageBreak/>
        <w:t>Figure S3</w:t>
      </w:r>
    </w:p>
    <w:p w:rsidR="00D95E27" w:rsidRPr="001477FD" w:rsidRDefault="00D95E27" w:rsidP="00D95E27">
      <w:pPr>
        <w:spacing w:line="480" w:lineRule="auto"/>
        <w:jc w:val="both"/>
        <w:rPr>
          <w:rFonts w:ascii="Times New Roman" w:hAnsi="Times New Roman" w:cs="Times New Roman"/>
          <w:szCs w:val="24"/>
        </w:rPr>
      </w:pPr>
      <w:r w:rsidRPr="001477FD">
        <w:rPr>
          <w:rFonts w:ascii="Times New Roman" w:hAnsi="Times New Roman" w:cs="Times New Roman"/>
          <w:noProof/>
          <w:szCs w:val="24"/>
          <w:lang w:eastAsia="en-US"/>
        </w:rPr>
        <w:drawing>
          <wp:inline distT="0" distB="0" distL="0" distR="0" wp14:anchorId="69051D95" wp14:editId="044CDDB6">
            <wp:extent cx="5274310" cy="2967990"/>
            <wp:effectExtent l="0" t="0" r="2540" b="3810"/>
            <wp:docPr id="644212486"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2967990"/>
                    </a:xfrm>
                    <a:prstGeom prst="rect">
                      <a:avLst/>
                    </a:prstGeom>
                    <a:noFill/>
                    <a:ln>
                      <a:noFill/>
                    </a:ln>
                  </pic:spPr>
                </pic:pic>
              </a:graphicData>
            </a:graphic>
          </wp:inline>
        </w:drawing>
      </w:r>
    </w:p>
    <w:p w:rsidR="0097462B" w:rsidRDefault="00D95E27" w:rsidP="00D95E27">
      <w:r w:rsidRPr="001477FD">
        <w:rPr>
          <w:rFonts w:ascii="Times New Roman" w:hAnsi="Times New Roman" w:cs="Times New Roman"/>
          <w:b/>
          <w:bCs/>
          <w:szCs w:val="24"/>
        </w:rPr>
        <w:t xml:space="preserve">Figure S3. Effects of </w:t>
      </w:r>
      <w:proofErr w:type="spellStart"/>
      <w:r w:rsidRPr="001477FD">
        <w:rPr>
          <w:rFonts w:ascii="Times New Roman" w:hAnsi="Times New Roman" w:cs="Times New Roman"/>
          <w:b/>
          <w:bCs/>
          <w:szCs w:val="24"/>
        </w:rPr>
        <w:t>Biodentine</w:t>
      </w:r>
      <w:proofErr w:type="spellEnd"/>
      <w:r w:rsidRPr="001477FD">
        <w:rPr>
          <w:rFonts w:ascii="Times New Roman" w:hAnsi="Times New Roman" w:cs="Times New Roman"/>
          <w:b/>
          <w:bCs/>
          <w:szCs w:val="24"/>
        </w:rPr>
        <w:t xml:space="preserve"> and MTA on DPSC migration under inflammatory conditions, as assessed by the wound-healing assay. </w:t>
      </w:r>
      <w:r w:rsidRPr="001477FD">
        <w:rPr>
          <w:rFonts w:ascii="Times New Roman" w:hAnsi="Times New Roman" w:cs="Times New Roman"/>
          <w:szCs w:val="24"/>
        </w:rPr>
        <w:t>The cell borders were often irregular rather than straight, particularly after 31 hours of culture in all experimental groups. Therefore, ImageJ automatically identified multiple cell-free regions within each image and calculated their combined area in pixels. During this process, ImageJ first detected the boundaries automatically, after which the margins were manually adjusted when necessary to ensure accurate area measurements</w:t>
      </w:r>
      <w:bookmarkStart w:id="0" w:name="_GoBack"/>
      <w:bookmarkEnd w:id="0"/>
    </w:p>
    <w:sectPr w:rsidR="009746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E27"/>
    <w:rsid w:val="00330540"/>
    <w:rsid w:val="00550B03"/>
    <w:rsid w:val="00D95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2B71B7-4F02-4ED4-9424-38E3F4080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5E27"/>
    <w:pPr>
      <w:widowControl w:val="0"/>
      <w:spacing w:after="0" w:line="240" w:lineRule="auto"/>
    </w:pPr>
    <w:rPr>
      <w:rFonts w:eastAsiaTheme="minorEastAsia"/>
      <w:kern w:val="2"/>
      <w:sz w:val="24"/>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tiff"/><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267</Words>
  <Characters>1523</Characters>
  <Application>Microsoft Office Word</Application>
  <DocSecurity>0</DocSecurity>
  <Lines>12</Lines>
  <Paragraphs>3</Paragraphs>
  <ScaleCrop>false</ScaleCrop>
  <Company/>
  <LinksUpToDate>false</LinksUpToDate>
  <CharactersWithSpaces>1787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Kaye Marie Ferras</dc:creator>
  <cp:keywords/>
  <dc:description/>
  <cp:lastModifiedBy>Kaye Marie Ferras</cp:lastModifiedBy>
  <cp:revision>1</cp:revision>
  <dcterms:created xsi:type="dcterms:W3CDTF">2026-08-13T02:44:00Z</dcterms:created>
  <dcterms:modified xsi:type="dcterms:W3CDTF">2026-08-13T02:45:00Z</dcterms:modified>
</cp:coreProperties>
</file>