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26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Additional file 1. STROBE Statement — checklist of items for reports of cross-sectional studies</w:t>
      </w:r>
    </w:p>
    <w:p>
      <w:pPr>
        <w:spacing w:after="200" w:line="2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Manuscript: Familial clustering of clinically measured oral health in co-resident three-generation families: a family-linkage study using KNHANES data.</w:t>
      </w:r>
    </w:p>
    <w:tbl>
      <w:tblPr>
        <w:tblW w:type="dxa" w:w="9300"/>
        <w:tblBorders>
          <w:top w:val="single" w:color="999999" w:sz="2"/>
          <w:left w:val="none"/>
          <w:bottom w:val="single" w:color="999999" w:sz="2"/>
          <w:right w:val="none"/>
          <w:insideH w:val="single" w:color="CCCCCC" w:sz="2"/>
          <w:insideV w:val="none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7"/>
                <w:szCs w:val="17"/>
              </w:rPr>
              <w:t xml:space="preserve">Item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7"/>
                <w:szCs w:val="17"/>
              </w:rPr>
              <w:t xml:space="preserve">Recommendation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7"/>
                <w:szCs w:val="17"/>
              </w:rPr>
              <w:t xml:space="preserve">Reported in</w:t>
            </w:r>
          </w:p>
        </w:tc>
      </w:tr>
      <w:tr>
        <w:tc>
          <w:tcPr>
            <w:gridSpan w:val="3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7"/>
                <w:szCs w:val="17"/>
              </w:rPr>
              <w:t xml:space="preserve">Title and abstract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 (a)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Indicate the study's design with a commonly used term in the title or abstract.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Title (“family-linkage study”); Abstract – Methods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 (b)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Provide in the abstract an informative and balanced summary of what was done and what was found.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Abstract (Background, Methods, Results, Conclusions)</w:t>
            </w:r>
          </w:p>
        </w:tc>
      </w:tr>
      <w:tr>
        <w:tc>
          <w:tcPr>
            <w:gridSpan w:val="3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7"/>
                <w:szCs w:val="17"/>
              </w:rPr>
              <w:t xml:space="preserve">Introduction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Explain the scientific background and rationale for the investigation being reported.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Background, paragraphs 1–4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State specific objectives, including any prespecified hypotheses.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Background, paragraph 5</w:t>
            </w:r>
          </w:p>
        </w:tc>
      </w:tr>
      <w:tr>
        <w:tc>
          <w:tcPr>
            <w:gridSpan w:val="3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7"/>
                <w:szCs w:val="17"/>
              </w:rPr>
              <w:t xml:space="preserve">Methods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4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Present key elements of study design early in the paper.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Methods – Study design and aim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5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Describe the setting, locations, and relevant dates, including periods of recruitment, exposure, follow-up, and data collection.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Methods – Data source and population (KNHANES 2007–2018); Additional file 3: Table S1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6 (a)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Give the eligibility criteria, and the sources and methods of selection of participants.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Methods – Family linkage and generation definition; Oral-health measures; Fig. 1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7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Clearly define all outcomes, exposures, predictors, potential confounders, and effect modifiers. Give diagnostic criteria, if applicable.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Methods – Oral-health measures; Exposure, covariates and their roles (estimand defined as dyadic concordance); Additional file 2: Figure S1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8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For each variable of interest, give sources of data and details of methods of assessment (measurement). Describe comparability of assessment methods if there is more than one group.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Methods – Data source and population (protocol comparability across cycles); Oral-health measures; Exposure, covariates and their roles (harmonisation of the physician-diagnosis items across cycles)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9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Describe any efforts to address potential sources of bias.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Methods – Exposure, covariates and their roles (adjustment strategy; Additional file 2: Figure S1); Statistical analysis (family clustering; complete-case analysis; multiple imputation; weighted and clustering-unit sensitivity analyses); Results – Comparison of linked and unlinked households (Table 2); Additional file 3: Table S4 (scorability of the index and a composite outcome)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10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Explain how the study size was arrived at.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Methods – Family linkage and generation definition; Results – Study sample; Fig. 1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11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Explain how quantitative variables were handled in the analyses. If applicable, describe which groupings were chosen and why.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Methods – Oral-health measures (DMFT count 0–32, including third molars; CPI ≥3 binary; offspring ≥12 years); Exposure, covariates and their roles (income quartiles; education categories)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12 (a)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Describe all statistical methods, including those used to control for confounding.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Methods – Statistical analysis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12 (b)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Describe any methods used to examine subgroups and interactions.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Methods – Statistical analysis (educational mobility as effect-measure modifier; income-stratified analyses)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12 (c)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Explain how missing data were addressed.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Methods – Statistical analysis (complete-case analysis; missingness by variable; multiple imputation by chained equations)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12 (d)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If applicable, describe analytical methods taking account of sampling strategy.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Methods – Statistical analysis (rationale for unweighted primary analyses; weighted sensitivity analysis; family-level clustering; clustering-unit sensitivity analysis)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12 (e)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Describe any sensitivity analyses.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Methods – Statistical analysis; Additional file 3: Tables S2–S10</w:t>
            </w:r>
          </w:p>
        </w:tc>
      </w:tr>
      <w:tr>
        <w:tc>
          <w:tcPr>
            <w:gridSpan w:val="3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7"/>
                <w:szCs w:val="17"/>
              </w:rPr>
              <w:t xml:space="preserve">Results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13 (a)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Report numbers of individuals at each stage of the study.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Results – Study sample; Fig. 1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13 (b)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Give reasons for non-participation at each stage.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Results – Study sample; Fig. 1 (reasons for non-linkage; covariate missingness)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13 (c)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Consider use of a flow diagram.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Fig. 1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14 (a)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Give characteristics of study participants and information on exposures and potential confounders.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Results – Study sample; Table 1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14 (b)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Indicate number of participants with missing data for each variable of interest.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Methods – Statistical analysis (missingness by variable); Table 1 (denominators); Fig. 1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15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Report numbers of outcome events or summary measures.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Table 1 (periodontitis prevalence; DMFT distribution); Additional file 3: Table S9 (composition of the DMFT index)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16 (a)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Give unadjusted estimates and, if applicable, confounder-adjusted estimates and their precision. Make clear which confounders were adjusted for and why.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Results – Periodontitis in the grandparent–parent dyad; Caries experience across successive generations; Role of the measured socioeconomic indicators; Tables 3 and 4, which report the unadjusted, main, income-unadjusted and total-association specifications with covariates given in the footnotes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16 (b)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Report category boundaries when continuous variables were categorized.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Methods – Exposure, covariates and their roles (income quartiles; education ≤middle school / high school / ≥college)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16 (c)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If relevant, consider translating estimates of relative risk into absolute risk for a meaningful time period.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Results – Periodontitis (adjusted prevalence ratio; adjusted predicted prevalence and prevalence difference obtained by marginal standardisation); Caries experience (count ratio per 10 teeth; predicted DMFT)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17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Report other analyses done—e.g. analyses of subgroups and interactions, and sensitivity analyses.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Results – Family-level clustering; Role of the measured socioeconomic indicators; Educational mobility; Additional file 3: Tables S2–S10</w:t>
            </w:r>
          </w:p>
        </w:tc>
      </w:tr>
      <w:tr>
        <w:tc>
          <w:tcPr>
            <w:gridSpan w:val="3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7"/>
                <w:szCs w:val="17"/>
              </w:rPr>
              <w:t xml:space="preserve">Discussion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18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Summarise key results with reference to study objectives.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Discussion, paragraph 1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19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Discuss limitations of the study, taking into account sources of potential bias or imprecision. Discuss both direction and magnitude of any potential bias.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Discussion, paragraphs 10–13 (cross-sectional design and its consequences; selection into co-residence, with the expected direction of the resulting bias stated; correlated examiner error; differential measurement error between dyad members)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20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Give a cautious overall interpretation of results considering objectives, limitations, multiplicity of analyses, results from similar studies, and other relevant evidence.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Discussion, paragraphs 2–8 and 14 (including E-values for unmeasured shared factors); Conclusions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21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Discuss the generalisability (external validity) of the study results.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Discussion, paragraph 10 (co-resident, socially selected sample; not population-representative)</w:t>
            </w:r>
          </w:p>
        </w:tc>
      </w:tr>
      <w:tr>
        <w:tc>
          <w:tcPr>
            <w:gridSpan w:val="3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7"/>
                <w:szCs w:val="17"/>
              </w:rPr>
              <w:t xml:space="preserve">Other information</w:t>
            </w:r>
          </w:p>
        </w:tc>
      </w:tr>
      <w:tr>
        <w:tc>
          <w:tcPr>
            <w:tcW w:type="dxa" w:w="9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22</w:t>
            </w:r>
          </w:p>
        </w:tc>
        <w:tc>
          <w:tcPr>
            <w:tcW w:type="dxa" w:w="44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Give the source of funding and the role of the funders for the present study and, if applicable, for the original study on which the present article is based.</w:t>
            </w:r>
          </w:p>
        </w:tc>
        <w:tc>
          <w:tcPr>
            <w:tcW w:type="dxa" w:w="4000"/>
            <w:gridSpan w:val="1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0"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Declarations – Funding</w:t>
            </w:r>
          </w:p>
        </w:tc>
      </w:tr>
    </w:tbl>
    <w:p>
      <w:pPr>
        <w:spacing w:after="0" w:line="2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7"/>
          <w:szCs w:val="17"/>
        </w:rPr>
        <w:t xml:space="preserve">Item recommendations are reproduced from the STROBE Statement for cross-sectional studies. “Reported in” locations refer to the revised manuscript.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2026-08-26T06:10:05.334Z</dcterms:created>
  <dcterms:modified xsi:type="dcterms:W3CDTF">2026-08-26T06:10:05.348Z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