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Times New Roman" w:cs="Times New Roman" w:eastAsia="Times New Roman" w:hAnsi="Times New Roman"/>
          <w:b/>
          <w:bCs/>
          <w:sz w:val="26"/>
          <w:szCs w:val="26"/>
        </w:rPr>
        <w:t xml:space="preserve">Additional file 3: Supplementary Tables S1–S10</w:t>
      </w:r>
    </w:p>
    <w:p>
      <w:pPr>
        <w:keepNext/>
        <w:keepLines/>
        <w:spacing w:after="120" w:before="220"/>
      </w:pPr>
      <w:r>
        <w:rPr>
          <w:rFonts w:ascii="Times New Roman" w:cs="Times New Roman" w:eastAsia="Times New Roman" w:hAnsi="Times New Roman"/>
          <w:b/>
          <w:bCs/>
          <w:sz w:val="24"/>
          <w:szCs w:val="24"/>
        </w:rPr>
        <w:t xml:space="preserve">Table S1. Families and analytic dyads contributed by each KNHANES survey year</w:t>
      </w:r>
    </w:p>
    <w:tbl>
      <w:tblPr>
        <w:tblW w:type="dxa" w:w="9000"/>
        <w:tblBorders>
          <w:top w:val="single" w:sz="6"/>
          <w:left w:val="none"/>
          <w:bottom w:val="single" w:sz="6"/>
          <w:right w:val="none"/>
          <w:insideH w:val="none"/>
          <w:insideV w:val="none"/>
        </w:tblBorders>
      </w:tblPr>
      <w:tblGrid>
        <w:gridCol w:w="100"/>
        <w:gridCol w:w="100"/>
        <w:gridCol w:w="100"/>
        <w:gridCol w:w="100"/>
        <w:gridCol w:w="100"/>
        <w:gridCol w:w="100"/>
      </w:tblGrid>
      <w:tr>
        <w:trPr>
          <w:cantSplit/>
          <w:tblHeader/>
        </w:trPr>
        <w:tc>
          <w:tcPr>
            <w:tcW w:type="dxa" w:w="18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Survey year</w:t>
            </w:r>
          </w:p>
        </w:tc>
        <w:tc>
          <w:tcPr>
            <w:tcW w:type="dxa" w:w="11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Cycle</w:t>
            </w:r>
          </w:p>
        </w:tc>
        <w:tc>
          <w:tcPr>
            <w:tcW w:type="dxa" w:w="1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Families</w:t>
            </w:r>
          </w:p>
        </w:tc>
        <w:tc>
          <w:tcPr>
            <w:tcW w:type="dxa" w:w="1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Periodontitis GP–parent</w:t>
            </w:r>
          </w:p>
        </w:tc>
        <w:tc>
          <w:tcPr>
            <w:tcW w:type="dxa" w:w="1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Caries GP–parent</w:t>
            </w:r>
          </w:p>
        </w:tc>
        <w:tc>
          <w:tcPr>
            <w:tcW w:type="dxa" w:w="15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Caries parent–offspring</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2007</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63</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77</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33</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2008</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204</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188</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220</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2009</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212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223</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246</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137</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2010</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116</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122</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29</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2011</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64</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85</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38</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2012</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84</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2013</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57</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57</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65</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21</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2014</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64</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68</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20</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2015</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57</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62</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41</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2016–2018</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7th</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134</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148</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47</w:t>
            </w:r>
          </w:p>
        </w:tc>
      </w:tr>
      <w:tr>
        <w:trPr>
          <w:cantSplit/>
        </w:trPr>
        <w:tc>
          <w:tcPr>
            <w:tcW w:type="dxa" w:w="1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Total</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966</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981</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1177</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501</w:t>
            </w:r>
          </w:p>
        </w:tc>
      </w:tr>
    </w:tbl>
    <w:p>
      <w:pPr>
        <w:spacing w:after="180"/>
      </w:pPr>
      <w:r>
        <w:rPr>
          <w:rFonts w:ascii="Times New Roman" w:cs="Times New Roman" w:eastAsia="Times New Roman" w:hAnsi="Times New Roman"/>
          <w:i/>
          <w:iCs/>
          <w:sz w:val="18"/>
          <w:szCs w:val="18"/>
        </w:rPr>
        <w:t xml:space="preserve">Periodontitis dyads are grandparent–parent pairs with a valid Community Periodontal Index in both generations; caries dyads are pairs with valid DMFT in both generations (parent–offspring restricted to offspring aged 12 years or older). No periodontal dyads were contributed by 2011 because the periodontal examination was not conducted in that survey year. The seventh cycle (2016–2018) is released as a combined three-year oral-examination file and cannot be disaggregated by year.</w:t>
      </w:r>
    </w:p>
    <w:p>
      <w:pPr>
        <w:keepNext/>
        <w:keepLines/>
        <w:pageBreakBefore/>
        <w:spacing w:after="120" w:before="220"/>
      </w:pPr>
      <w:r>
        <w:rPr>
          <w:rFonts w:ascii="Times New Roman" w:cs="Times New Roman" w:eastAsia="Times New Roman" w:hAnsi="Times New Roman"/>
          <w:b/>
          <w:bCs/>
          <w:sz w:val="24"/>
          <w:szCs w:val="24"/>
        </w:rPr>
        <w:t xml:space="preserve">Table S2. Family-level intraclass correlation for DMFT: model specification and re-analysis</w:t>
      </w:r>
    </w:p>
    <w:p>
      <w:pPr>
        <w:keepNext/>
        <w:spacing w:after="100" w:line="340"/>
        <w:jc w:val="both"/>
      </w:pPr>
      <w:r>
        <w:rPr>
          <w:rFonts w:ascii="Times New Roman" w:cs="Times New Roman" w:eastAsia="Times New Roman" w:hAnsi="Times New Roman"/>
          <w:sz w:val="22"/>
          <w:szCs w:val="22"/>
        </w:rPr>
        <w:t xml:space="preserve">The unadjusted family-level intraclass correlation (ICC) for DMFT was effectively zero. A small negative value can be returned by an analysis-of-variance variance-components estimator when the true between-family variance is near zero, which is why the unadjusted value should not be interpreted as a meaningful negative correlation. In these families DMFT differs markedly by generation (mean DMFT: offspring 2.0, parent 6.0, grandparent 8.9), so most of the variance lies between generations within a family rather than between families.</w:t>
      </w:r>
    </w:p>
    <w:tbl>
      <w:tblPr>
        <w:tblW w:type="dxa" w:w="9400"/>
        <w:tblBorders>
          <w:top w:val="single" w:sz="6"/>
          <w:left w:val="none"/>
          <w:bottom w:val="single" w:sz="6"/>
          <w:right w:val="none"/>
          <w:insideH w:val="none"/>
          <w:insideV w:val="none"/>
        </w:tblBorders>
      </w:tblPr>
      <w:tblGrid>
        <w:gridCol w:w="100"/>
        <w:gridCol w:w="100"/>
        <w:gridCol w:w="100"/>
        <w:gridCol w:w="100"/>
      </w:tblGrid>
      <w:tr>
        <w:trPr>
          <w:cantSplit/>
          <w:tblHeader/>
        </w:trPr>
        <w:tc>
          <w:tcPr>
            <w:tcW w:type="dxa" w:w="38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Model</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Between-family variance</w:t>
            </w:r>
          </w:p>
        </w:tc>
        <w:tc>
          <w:tcPr>
            <w:tcW w:type="dxa" w:w="2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Residual variance</w:t>
            </w:r>
          </w:p>
        </w:tc>
        <w:tc>
          <w:tcPr>
            <w:tcW w:type="dxa" w:w="12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ICC</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Linear mixed model, unadjusted</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 (boundary)</w:t>
            </w:r>
          </w:p>
        </w:tc>
        <w:tc>
          <w:tcPr>
            <w:tcW w:type="dxa" w:w="2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33.93</w:t>
            </w:r>
          </w:p>
        </w:tc>
        <w:tc>
          <w:tcPr>
            <w:tcW w:type="dxa" w:w="1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≈0.00</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Linear mixed model, age and sex adjusted</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1.55</w:t>
            </w:r>
          </w:p>
        </w:tc>
        <w:tc>
          <w:tcPr>
            <w:tcW w:type="dxa" w:w="2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21.53</w:t>
            </w:r>
          </w:p>
        </w:tc>
        <w:tc>
          <w:tcPr>
            <w:tcW w:type="dxa" w:w="1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0.067</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Poisson mixed model, latent scale</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w:t>
            </w:r>
          </w:p>
        </w:tc>
        <w:tc>
          <w:tcPr>
            <w:tcW w:type="dxa" w:w="2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w:t>
            </w:r>
          </w:p>
        </w:tc>
        <w:tc>
          <w:tcPr>
            <w:tcW w:type="dxa" w:w="1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≈0.00</w:t>
            </w:r>
          </w:p>
        </w:tc>
      </w:tr>
    </w:tbl>
    <w:p>
      <w:pPr>
        <w:spacing w:after="180"/>
      </w:pPr>
      <w:r>
        <w:rPr>
          <w:rFonts w:ascii="Times New Roman" w:cs="Times New Roman" w:eastAsia="Times New Roman" w:hAnsi="Times New Roman"/>
          <w:i/>
          <w:iCs/>
          <w:sz w:val="18"/>
          <w:szCs w:val="18"/>
        </w:rPr>
        <w:t xml:space="preserve">Linear random-intercept models were fitted by restricted maximum likelihood and the Poisson random-intercept model by variational Bayes, both in Python (statsmodels); variance components are constrained to be non-negative, so boundary estimates are reported as ≈0. A residual variance on the observed scale is not defined for the Poisson mixed model and is therefore not shown. After adjustment for age and sex, which capture the generational differences, the ICC is small and positive. The age-adjusted value is reported alongside the dyad-level associations as a direction-free summary of the same clustering.</w:t>
      </w:r>
    </w:p>
    <w:p>
      <w:pPr>
        <w:keepNext/>
        <w:keepLines/>
        <w:pageBreakBefore/>
        <w:spacing w:after="120" w:before="220"/>
      </w:pPr>
      <w:r>
        <w:rPr>
          <w:rFonts w:ascii="Times New Roman" w:cs="Times New Roman" w:eastAsia="Times New Roman" w:hAnsi="Times New Roman"/>
          <w:b/>
          <w:bCs/>
          <w:sz w:val="24"/>
          <w:szCs w:val="24"/>
        </w:rPr>
        <w:t xml:space="preserve">Table S3. Sensitivity of the estimates to analytical choices</w:t>
      </w:r>
    </w:p>
    <w:p>
      <w:pPr>
        <w:keepNext/>
        <w:spacing w:after="100" w:line="340"/>
        <w:jc w:val="both"/>
      </w:pPr>
      <w:r>
        <w:rPr>
          <w:rFonts w:ascii="Times New Roman" w:cs="Times New Roman" w:eastAsia="Times New Roman" w:hAnsi="Times New Roman"/>
          <w:sz w:val="22"/>
          <w:szCs w:val="22"/>
        </w:rPr>
        <w:t xml:space="preserve">A. Clustering unit for the robust standard errors</w:t>
      </w:r>
    </w:p>
    <w:tbl>
      <w:tblPr>
        <w:tblW w:type="dxa" w:w="8600"/>
        <w:tblBorders>
          <w:top w:val="single" w:sz="6"/>
          <w:left w:val="none"/>
          <w:bottom w:val="single" w:sz="6"/>
          <w:right w:val="none"/>
          <w:insideH w:val="none"/>
          <w:insideV w:val="none"/>
        </w:tblBorders>
      </w:tblPr>
      <w:tblGrid>
        <w:gridCol w:w="100"/>
        <w:gridCol w:w="100"/>
      </w:tblGrid>
      <w:tr>
        <w:trPr>
          <w:cantSplit/>
          <w:tblHeader/>
        </w:trPr>
        <w:tc>
          <w:tcPr>
            <w:tcW w:type="dxa" w:w="54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Outcome and clustering unit</w:t>
            </w:r>
          </w:p>
        </w:tc>
        <w:tc>
          <w:tcPr>
            <w:tcW w:type="dxa" w:w="32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Estimate (95% CI)</w:t>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adjusted odds ratio</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Family cluster (main analysis)</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2.57 (1.85 to 3.57)</w:t>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Primary sampling unit cluster</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2.57 (1.87 to 3.54)</w:t>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grandparent–parent, count ratio per 10 teeth</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Family cluster (main analysis)</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 (1.09 to 1.27)</w:t>
            </w:r>
          </w:p>
        </w:tc>
      </w:tr>
      <w:tr>
        <w:trPr>
          <w:cantSplit/>
        </w:trPr>
        <w:tc>
          <w:tcPr>
            <w:tcW w:type="dxa" w:w="54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Primary sampling unit cluster</w:t>
            </w:r>
          </w:p>
        </w:tc>
        <w:tc>
          <w:tcPr>
            <w:tcW w:type="dxa" w:w="3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 (1.09 to 1.27)</w:t>
            </w:r>
          </w:p>
        </w:tc>
      </w:tr>
    </w:tbl>
    <w:p>
      <w:pPr>
        <w:keepNext/>
        <w:spacing w:after="100" w:line="340"/>
        <w:jc w:val="both"/>
      </w:pPr>
      <w:r>
        <w:rPr>
          <w:rFonts w:ascii="Times New Roman" w:cs="Times New Roman" w:eastAsia="Times New Roman" w:hAnsi="Times New Roman"/>
          <w:sz w:val="22"/>
          <w:szCs w:val="22"/>
        </w:rPr>
        <w:t xml:space="preserve">B. Survey weighting</w:t>
      </w:r>
    </w:p>
    <w:tbl>
      <w:tblPr>
        <w:tblW w:type="dxa" w:w="8600"/>
        <w:tblBorders>
          <w:top w:val="single" w:sz="6"/>
          <w:left w:val="none"/>
          <w:bottom w:val="single" w:sz="6"/>
          <w:right w:val="none"/>
          <w:insideH w:val="none"/>
          <w:insideV w:val="none"/>
        </w:tblBorders>
      </w:tblPr>
      <w:tblGrid>
        <w:gridCol w:w="100"/>
        <w:gridCol w:w="100"/>
        <w:gridCol w:w="100"/>
      </w:tblGrid>
      <w:tr>
        <w:trPr>
          <w:cantSplit/>
          <w:tblHeader/>
        </w:trPr>
        <w:tc>
          <w:tcPr>
            <w:tcW w:type="dxa" w:w="48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Outcome and weighting</w:t>
            </w:r>
          </w:p>
        </w:tc>
        <w:tc>
          <w:tcPr>
            <w:tcW w:type="dxa" w:w="28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Estimate (95% CI)</w:t>
            </w:r>
          </w:p>
        </w:tc>
        <w:tc>
          <w:tcPr>
            <w:tcW w:type="dxa" w:w="1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adjusted odds ratio</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Unweighted (main analysis)</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2.57 (1.85 to 3.57)</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929</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Weighted</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2.44 (1.62 to 3.66)</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929</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grandparent–parent, count ratio per 10 teeth</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Unweighted (main analysis)</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 (1.09 to 1.27)</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1110</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Weighted</w:t>
            </w:r>
          </w:p>
        </w:tc>
        <w:tc>
          <w:tcPr>
            <w:tcW w:type="dxa" w:w="2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1.21 (1.11 to 1.33)</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1110</w:t>
            </w:r>
          </w:p>
        </w:tc>
      </w:tr>
    </w:tbl>
    <w:p>
      <w:pPr>
        <w:keepNext/>
        <w:spacing w:after="100" w:line="340"/>
        <w:jc w:val="both"/>
      </w:pPr>
      <w:r>
        <w:rPr>
          <w:rFonts w:ascii="Times New Roman" w:cs="Times New Roman" w:eastAsia="Times New Roman" w:hAnsi="Times New Roman"/>
          <w:sz w:val="22"/>
          <w:szCs w:val="22"/>
        </w:rPr>
        <w:t xml:space="preserve">C. One dyad per family</w:t>
      </w:r>
    </w:p>
    <w:tbl>
      <w:tblPr>
        <w:tblW w:type="dxa" w:w="8800"/>
        <w:tblBorders>
          <w:top w:val="single" w:sz="6"/>
          <w:left w:val="none"/>
          <w:bottom w:val="single" w:sz="6"/>
          <w:right w:val="none"/>
          <w:insideH w:val="none"/>
          <w:insideV w:val="none"/>
        </w:tblBorders>
      </w:tblPr>
      <w:tblGrid>
        <w:gridCol w:w="100"/>
        <w:gridCol w:w="100"/>
        <w:gridCol w:w="100"/>
        <w:gridCol w:w="100"/>
      </w:tblGrid>
      <w:tr>
        <w:trPr>
          <w:cantSplit/>
          <w:tblHeader/>
        </w:trPr>
        <w:tc>
          <w:tcPr>
            <w:tcW w:type="dxa" w:w="38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Analysis</w:t>
            </w:r>
          </w:p>
        </w:tc>
        <w:tc>
          <w:tcPr>
            <w:tcW w:type="dxa" w:w="3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Median estimate [2.5th–97.5th percentile]</w:t>
            </w:r>
          </w:p>
        </w:tc>
        <w:tc>
          <w:tcPr>
            <w:tcW w:type="dxa" w:w="9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Families</w:t>
            </w:r>
          </w:p>
        </w:tc>
        <w:tc>
          <w:tcPr>
            <w:tcW w:type="dxa" w:w="11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Main analysis</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adjusted odds ratio</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2.42 [2.05 to 2.81]</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662</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2.57</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grandparent–parent, per 10 teeth</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 [1.15 to 1.22]</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784</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w:t>
            </w:r>
          </w:p>
        </w:tc>
      </w:tr>
      <w:tr>
        <w:trPr>
          <w:cantSplit/>
        </w:trPr>
        <w:tc>
          <w:tcPr>
            <w:tcW w:type="dxa" w:w="3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parent–offspring, per 10 teeth</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1.14 [1.07 to 1.23]</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343</w:t>
            </w:r>
          </w:p>
        </w:tc>
        <w:tc>
          <w:tcPr>
            <w:tcW w:type="dxa" w:w="11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1.15</w:t>
            </w:r>
          </w:p>
        </w:tc>
      </w:tr>
    </w:tbl>
    <w:p>
      <w:pPr>
        <w:spacing w:after="180"/>
      </w:pPr>
      <w:r>
        <w:rPr>
          <w:rFonts w:ascii="Times New Roman" w:cs="Times New Roman" w:eastAsia="Times New Roman" w:hAnsi="Times New Roman"/>
          <w:i/>
          <w:iCs/>
          <w:sz w:val="18"/>
          <w:szCs w:val="18"/>
        </w:rPr>
        <w:t xml:space="preserve">Three analytical choices were varied in turn, each applied to the main models. Panel A re-estimates the robust standard errors on the survey primary sampling unit instead of on the family; point estimates are unchanged by construction and the confidence intervals were essentially unchanged. Panel B applies the individual examination weight of the younger dyad member (wt_itvex in the fourth to sixth cycles, wt_oe in the seventh); this is not a fully design-based analysis, because the survey provides no weight defined for a family-linked dyad and the strata were not used in variance estimation. Panel C draws one dyad at random from each family and repeats the model 200 times, so that families contributing several dyads do not carry extra weight; the median and the 2.5th to 97.5th percentile of the resulting estimates are shown. None of the three changes moved the estimates outside the confidence interval of the main analysis.</w:t>
      </w:r>
    </w:p>
    <w:p>
      <w:pPr>
        <w:keepNext/>
        <w:keepLines/>
        <w:pageBreakBefore/>
        <w:spacing w:after="120" w:before="220"/>
      </w:pPr>
      <w:r>
        <w:rPr>
          <w:rFonts w:ascii="Times New Roman" w:cs="Times New Roman" w:eastAsia="Times New Roman" w:hAnsi="Times New Roman"/>
          <w:b/>
          <w:bCs/>
          <w:sz w:val="24"/>
          <w:szCs w:val="24"/>
        </w:rPr>
        <w:t xml:space="preserve">Table S4. Scorability of the Community Periodontal Index and a composite periodontal outcome</w:t>
      </w:r>
    </w:p>
    <w:p>
      <w:pPr>
        <w:keepNext/>
        <w:spacing w:after="100" w:line="340"/>
        <w:jc w:val="both"/>
      </w:pPr>
      <w:r>
        <w:rPr>
          <w:rFonts w:ascii="Times New Roman" w:cs="Times New Roman" w:eastAsia="Times New Roman" w:hAnsi="Times New Roman"/>
          <w:sz w:val="22"/>
          <w:szCs w:val="22"/>
        </w:rPr>
        <w:t xml:space="preserve">Two distinct reasons prevent a periodontal measurement. The index requires at least one scorable sextant, so participants who have lost most or all of their teeth cannot be scored; separately, the periodontal examination was not conducted at all in 2011. These are separated below, because only the first is informative about the participant’s own periodontal condition.</w:t>
      </w:r>
    </w:p>
    <w:tbl>
      <w:tblPr>
        <w:tblW w:type="dxa" w:w="9400"/>
        <w:tblBorders>
          <w:top w:val="single" w:sz="6"/>
          <w:left w:val="none"/>
          <w:bottom w:val="single" w:sz="6"/>
          <w:right w:val="none"/>
          <w:insideH w:val="none"/>
          <w:insideV w:val="none"/>
        </w:tblBorders>
      </w:tblPr>
      <w:tblGrid>
        <w:gridCol w:w="100"/>
        <w:gridCol w:w="100"/>
        <w:gridCol w:w="100"/>
        <w:gridCol w:w="100"/>
        <w:gridCol w:w="100"/>
        <w:gridCol w:w="100"/>
      </w:tblGrid>
      <w:tr>
        <w:trPr>
          <w:cantSplit/>
          <w:tblHeader/>
        </w:trPr>
        <w:tc>
          <w:tcPr>
            <w:tcW w:type="dxa" w:w="20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Generation</w:t>
            </w:r>
          </w:p>
        </w:tc>
        <w:tc>
          <w:tcPr>
            <w:tcW w:type="dxa" w:w="15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Examined for DMFT</w:t>
            </w:r>
          </w:p>
        </w:tc>
        <w:tc>
          <w:tcPr>
            <w:tcW w:type="dxa" w:w="13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CPI scorable</w:t>
            </w:r>
          </w:p>
        </w:tc>
        <w:tc>
          <w:tcPr>
            <w:tcW w:type="dxa" w:w="1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Examined but not scorable</w:t>
            </w:r>
          </w:p>
        </w:tc>
        <w:tc>
          <w:tcPr>
            <w:tcW w:type="dxa" w:w="17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Periodontal examination not conducted</w:t>
            </w:r>
          </w:p>
        </w:tc>
        <w:tc>
          <w:tcPr>
            <w:tcW w:type="dxa" w:w="13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Mean excluded sextants</w:t>
            </w:r>
          </w:p>
        </w:tc>
      </w:tr>
      <w:tr>
        <w:trPr>
          <w:cantSplit/>
        </w:trPr>
        <w:tc>
          <w:tcPr>
            <w:tcW w:type="dxa" w:w="2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Grandparents</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1314</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1093</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125 (9.5%)</w:t>
            </w:r>
          </w:p>
        </w:tc>
        <w:tc>
          <w:tcPr>
            <w:tcW w:type="dxa" w:w="1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96 (95 in 2011)</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1.61</w:t>
            </w:r>
          </w:p>
        </w:tc>
      </w:tr>
      <w:tr>
        <w:trPr>
          <w:cantSplit/>
        </w:trPr>
        <w:tc>
          <w:tcPr>
            <w:tcW w:type="dxa" w:w="2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Parents</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856</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796</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 (0.5%)</w:t>
            </w:r>
          </w:p>
        </w:tc>
        <w:tc>
          <w:tcPr>
            <w:tcW w:type="dxa" w:w="1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56 (all in 2011)</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0.11</w:t>
            </w:r>
          </w:p>
        </w:tc>
      </w:tr>
      <w:tr>
        <w:trPr>
          <w:cantSplit/>
        </w:trPr>
        <w:tc>
          <w:tcPr>
            <w:tcW w:type="dxa" w:w="2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Offspring generation</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1462</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586</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161 (11.0%)</w:t>
            </w:r>
          </w:p>
        </w:tc>
        <w:tc>
          <w:tcPr>
            <w:tcW w:type="dxa" w:w="1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715 (107 in 2011)</w:t>
            </w:r>
          </w:p>
        </w:tc>
        <w:tc>
          <w:tcPr>
            <w:tcW w:type="dxa" w:w="13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1.29</w:t>
            </w:r>
          </w:p>
        </w:tc>
      </w:tr>
    </w:tbl>
    <w:p>
      <w:pPr>
        <w:keepNext/>
        <w:spacing w:after="100" w:line="340"/>
        <w:jc w:val="both"/>
      </w:pPr>
      <w:r>
        <w:rPr>
          <w:rFonts w:ascii="Times New Roman" w:cs="Times New Roman" w:eastAsia="Times New Roman" w:hAnsi="Times New Roman"/>
          <w:sz w:val="22"/>
          <w:szCs w:val="22"/>
        </w:rPr>
        <w:t xml:space="preserve">Missing teeth in participants who could and could not be scored:</w:t>
      </w:r>
    </w:p>
    <w:tbl>
      <w:tblPr>
        <w:tblW w:type="dxa" w:w="9000"/>
        <w:tblBorders>
          <w:top w:val="single" w:sz="6"/>
          <w:left w:val="none"/>
          <w:bottom w:val="single" w:sz="6"/>
          <w:right w:val="none"/>
          <w:insideH w:val="none"/>
          <w:insideV w:val="none"/>
        </w:tblBorders>
      </w:tblPr>
      <w:tblGrid>
        <w:gridCol w:w="100"/>
        <w:gridCol w:w="100"/>
        <w:gridCol w:w="100"/>
      </w:tblGrid>
      <w:tr>
        <w:trPr>
          <w:cantSplit/>
          <w:tblHeader/>
        </w:trPr>
        <w:tc>
          <w:tcPr>
            <w:tcW w:type="dxa" w:w="30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Generation</w:t>
            </w:r>
          </w:p>
        </w:tc>
        <w:tc>
          <w:tcPr>
            <w:tcW w:type="dxa" w:w="3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Mean missing teeth, examined but not scorable</w:t>
            </w:r>
          </w:p>
        </w:tc>
        <w:tc>
          <w:tcPr>
            <w:tcW w:type="dxa" w:w="3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Mean missing teeth, scorable</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Grandparents</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13.41 (n=125)</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4.86 (n=1093)</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Parents</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11.00 (n=4)</w:t>
            </w:r>
          </w:p>
        </w:tc>
        <w:tc>
          <w:tcPr>
            <w:tcW w:type="dxa" w:w="3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1.16 (n=796)</w:t>
            </w:r>
          </w:p>
        </w:tc>
      </w:tr>
    </w:tbl>
    <w:p>
      <w:pPr>
        <w:keepNext/>
        <w:spacing w:after="100" w:line="340"/>
        <w:jc w:val="both"/>
      </w:pPr>
      <w:r>
        <w:rPr>
          <w:rFonts w:ascii="Times New Roman" w:cs="Times New Roman" w:eastAsia="Times New Roman" w:hAnsi="Times New Roman"/>
          <w:sz w:val="22"/>
          <w:szCs w:val="22"/>
        </w:rPr>
        <w:t xml:space="preserve">Composite outcome (CPI-defined periodontitis or an unscorable examination):</w:t>
      </w:r>
    </w:p>
    <w:tbl>
      <w:tblPr>
        <w:tblW w:type="dxa" w:w="8100"/>
        <w:tblBorders>
          <w:top w:val="single" w:sz="6"/>
          <w:left w:val="none"/>
          <w:bottom w:val="single" w:sz="6"/>
          <w:right w:val="none"/>
          <w:insideH w:val="none"/>
          <w:insideV w:val="none"/>
        </w:tblBorders>
      </w:tblPr>
      <w:tblGrid>
        <w:gridCol w:w="100"/>
        <w:gridCol w:w="100"/>
        <w:gridCol w:w="100"/>
      </w:tblGrid>
      <w:tr>
        <w:trPr>
          <w:cantSplit/>
          <w:tblHeader/>
        </w:trPr>
        <w:tc>
          <w:tcPr>
            <w:tcW w:type="dxa" w:w="46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Model</w:t>
            </w:r>
          </w:p>
        </w:tc>
        <w:tc>
          <w:tcPr>
            <w:tcW w:type="dxa" w:w="2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Adjusted odds ratio (95% CI)</w:t>
            </w:r>
          </w:p>
        </w:tc>
        <w:tc>
          <w:tcPr>
            <w:tcW w:type="dxa" w:w="9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Composite outcome, unadjusted</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2.53 (1.95 to 3.29)</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1091</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Composite outcome, main model</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2.53 (1.87 to 3.44)</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1028</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CPI-defined outcome, main model (reference)</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2.57 (1.85 to 3.57)</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929</w:t>
            </w:r>
          </w:p>
        </w:tc>
      </w:tr>
    </w:tbl>
    <w:p>
      <w:pPr>
        <w:spacing w:after="180"/>
      </w:pPr>
      <w:r>
        <w:rPr>
          <w:rFonts w:ascii="Times New Roman" w:cs="Times New Roman" w:eastAsia="Times New Roman" w:hAnsi="Times New Roman"/>
          <w:i/>
          <w:iCs/>
          <w:sz w:val="18"/>
          <w:szCs w:val="18"/>
        </w:rPr>
        <w:t xml:space="preserve">Participants for whom the periodontal examination was not conducted are shown separately and are not treated as unscorable, because the reason is administrative rather than dental; the 2011 survey conducted no periodontal examination. Among participants with a DMFT record, 9.5% of grandparents and 0.5% of parents underwent the periodontal examination but could not be scored. The grandparents who could not be scored had nearly three times as many missing teeth as those who could (13.41 versus 4.86), so the exposure is censored on its own severity, and this censoring is far more common in the older generation. The parent figure rests on four participants and should be read as indicative only. The offspring column has a further origin, since the index is not recorded below adolescence, and that generation was not analysed for periodontitis. The composite analysis below is restricted to dyads in which both members were examined, so no participant is counted as a case merely because the examination was not conducted; the composite definition expanded the eligible dyad set from 981 to 1091, and after the covariate completeness requirements the adjusted analysis included 1028 dyads, 99 more than the primary complete-case analysis, leaving the estimate essentially unchanged with a narrower confidence interval.</w:t>
      </w:r>
    </w:p>
    <w:p>
      <w:pPr>
        <w:keepNext/>
        <w:keepLines/>
        <w:pageBreakBefore/>
        <w:spacing w:after="120" w:before="220"/>
      </w:pPr>
      <w:r>
        <w:rPr>
          <w:rFonts w:ascii="Times New Roman" w:cs="Times New Roman" w:eastAsia="Times New Roman" w:hAnsi="Times New Roman"/>
          <w:b/>
          <w:bCs/>
          <w:sz w:val="24"/>
          <w:szCs w:val="24"/>
        </w:rPr>
        <w:t xml:space="preserve">Table S5. Age distribution of the offspring generation and sensitivity analysis restricted to ages 12–19 years</w:t>
      </w:r>
    </w:p>
    <w:p>
      <w:pPr>
        <w:keepNext/>
        <w:spacing w:after="100" w:line="340"/>
        <w:jc w:val="both"/>
      </w:pPr>
      <w:r>
        <w:rPr>
          <w:rFonts w:ascii="Times New Roman" w:cs="Times New Roman" w:eastAsia="Times New Roman" w:hAnsi="Times New Roman"/>
          <w:sz w:val="22"/>
          <w:szCs w:val="22"/>
        </w:rPr>
        <w:t xml:space="preserve">Among the 501 parent–offspring caries dyads (offspring aged 12 years or older), offspring age was: mean 17.6 years, median 17, SD 5.1, range 12–38.</w:t>
      </w:r>
    </w:p>
    <w:tbl>
      <w:tblPr>
        <w:tblW w:type="dxa" w:w="7800"/>
        <w:tblBorders>
          <w:top w:val="single" w:sz="6"/>
          <w:left w:val="none"/>
          <w:bottom w:val="single" w:sz="6"/>
          <w:right w:val="none"/>
          <w:insideH w:val="none"/>
          <w:insideV w:val="none"/>
        </w:tblBorders>
      </w:tblPr>
      <w:tblGrid>
        <w:gridCol w:w="100"/>
        <w:gridCol w:w="100"/>
        <w:gridCol w:w="100"/>
      </w:tblGrid>
      <w:tr>
        <w:trPr>
          <w:cantSplit/>
          <w:tblHeader/>
        </w:trPr>
        <w:tc>
          <w:tcPr>
            <w:tcW w:type="dxa" w:w="46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Offspring age group</w:t>
            </w:r>
          </w:p>
        </w:tc>
        <w:tc>
          <w:tcPr>
            <w:tcW w:type="dxa" w:w="1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c>
          <w:tcPr>
            <w:tcW w:type="dxa" w:w="1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12–15</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215</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42.9</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16–19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147</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29.3</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20–29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124</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24.8</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≥30</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15</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3.0</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Adolescents (12–19)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362</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72.3</w:t>
            </w:r>
          </w:p>
        </w:tc>
      </w:tr>
      <w:tr>
        <w:trPr>
          <w:cantSplit/>
        </w:trPr>
        <w:tc>
          <w:tcPr>
            <w:tcW w:type="dxa" w:w="4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Adults (≥20)</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139</w:t>
            </w:r>
          </w:p>
        </w:tc>
        <w:tc>
          <w:tcPr>
            <w:tcW w:type="dxa" w:w="1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27.7</w:t>
            </w:r>
          </w:p>
        </w:tc>
      </w:tr>
    </w:tbl>
    <w:p>
      <w:pPr>
        <w:keepNext/>
        <w:spacing w:after="100" w:line="340"/>
        <w:jc w:val="both"/>
      </w:pPr>
      <w:r>
        <w:rPr>
          <w:rFonts w:ascii="Times New Roman" w:cs="Times New Roman" w:eastAsia="Times New Roman" w:hAnsi="Times New Roman"/>
          <w:sz w:val="22"/>
          <w:szCs w:val="22"/>
        </w:rPr>
        <w:t xml:space="preserve">Sensitivity analysis (parent–offspring DMFT, negative binomial with family-clustered standard errors):</w:t>
      </w:r>
    </w:p>
    <w:tbl>
      <w:tblPr>
        <w:tblW w:type="dxa" w:w="9200"/>
        <w:tblBorders>
          <w:top w:val="single" w:sz="6"/>
          <w:left w:val="none"/>
          <w:bottom w:val="single" w:sz="6"/>
          <w:right w:val="none"/>
          <w:insideH w:val="none"/>
          <w:insideV w:val="none"/>
        </w:tblBorders>
      </w:tblPr>
      <w:tblGrid>
        <w:gridCol w:w="100"/>
        <w:gridCol w:w="100"/>
        <w:gridCol w:w="100"/>
      </w:tblGrid>
      <w:tr>
        <w:trPr>
          <w:cantSplit/>
          <w:tblHeader/>
        </w:trPr>
        <w:tc>
          <w:tcPr>
            <w:tcW w:type="dxa" w:w="42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Sample</w:t>
            </w:r>
          </w:p>
        </w:tc>
        <w:tc>
          <w:tcPr>
            <w:tcW w:type="dxa" w:w="3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Count ratio per 10 teeth (95% CI)</w:t>
            </w:r>
          </w:p>
        </w:tc>
        <w:tc>
          <w:tcPr>
            <w:tcW w:type="dxa" w:w="1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r>
      <w:tr>
        <w:trPr>
          <w:cantSplit/>
        </w:trPr>
        <w:tc>
          <w:tcPr>
            <w:tcW w:type="dxa" w:w="42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All offspring aged ≥12 years (main model)</w:t>
            </w:r>
          </w:p>
        </w:tc>
        <w:tc>
          <w:tcPr>
            <w:tcW w:type="dxa" w:w="3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1.15 (0.95 to 1.39)</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480</w:t>
            </w:r>
          </w:p>
        </w:tc>
      </w:tr>
      <w:tr>
        <w:trPr>
          <w:cantSplit/>
        </w:trPr>
        <w:tc>
          <w:tcPr>
            <w:tcW w:type="dxa" w:w="42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Restricted to ages 12–19 years</w:t>
            </w:r>
          </w:p>
        </w:tc>
        <w:tc>
          <w:tcPr>
            <w:tcW w:type="dxa" w:w="3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1.29 (0.98 to 1.69)</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346</w:t>
            </w:r>
          </w:p>
        </w:tc>
      </w:tr>
    </w:tbl>
    <w:p>
      <w:pPr>
        <w:spacing w:after="180"/>
      </w:pPr>
      <w:r>
        <w:rPr>
          <w:rFonts w:ascii="Times New Roman" w:cs="Times New Roman" w:eastAsia="Times New Roman" w:hAnsi="Times New Roman"/>
          <w:i/>
          <w:iCs/>
          <w:sz w:val="18"/>
          <w:szCs w:val="18"/>
        </w:rPr>
        <w:t xml:space="preserve">The offspring generation denotes a genealogical position rather than a paediatric age category. Restricting the offspring to ages 12–19 years did not change the direction of the association, and the confidence interval continued to include the null. Offspring age was also modelled with a restricted cubic spline with three knots placed at the 10th, 50th and 90th percentiles of the offspring age distribution (12, 17 and 25 years). The spline model improved model fit (Akaike information criterion 2469.6 versus 2482.3; likelihood-ratio test for non-linearity p &lt; 0.001). The exposure estimate changed from 1.15 (95% CI 0.95 to 1.39) to 1.20 (1.00 to 1.44) per 10 teeth, and remained compatible with the null. Models were adjusted for offspring age and sex, household income quartile, parental education, household size, rural residence and survey period.</w:t>
      </w:r>
    </w:p>
    <w:p>
      <w:pPr>
        <w:keepNext/>
        <w:keepLines/>
        <w:pageBreakBefore/>
        <w:spacing w:after="120" w:before="220"/>
      </w:pPr>
      <w:r>
        <w:rPr>
          <w:rFonts w:ascii="Times New Roman" w:cs="Times New Roman" w:eastAsia="Times New Roman" w:hAnsi="Times New Roman"/>
          <w:b/>
          <w:bCs/>
          <w:sz w:val="24"/>
          <w:szCs w:val="24"/>
        </w:rPr>
        <w:t xml:space="preserve">Table S6. Associations stratified by household income</w:t>
      </w:r>
    </w:p>
    <w:tbl>
      <w:tblPr>
        <w:tblW w:type="dxa" w:w="8800"/>
        <w:tblBorders>
          <w:top w:val="single" w:sz="6"/>
          <w:left w:val="none"/>
          <w:bottom w:val="single" w:sz="6"/>
          <w:right w:val="none"/>
          <w:insideH w:val="none"/>
          <w:insideV w:val="none"/>
        </w:tblBorders>
      </w:tblPr>
      <w:tblGrid>
        <w:gridCol w:w="100"/>
        <w:gridCol w:w="100"/>
        <w:gridCol w:w="100"/>
      </w:tblGrid>
      <w:tr>
        <w:trPr>
          <w:cantSplit/>
          <w:tblHeader/>
        </w:trPr>
        <w:tc>
          <w:tcPr>
            <w:tcW w:type="dxa" w:w="48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Outcome and income stratum</w:t>
            </w:r>
          </w:p>
        </w:tc>
        <w:tc>
          <w:tcPr>
            <w:tcW w:type="dxa" w:w="2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Estimate (95% CI)</w:t>
            </w:r>
          </w:p>
        </w:tc>
        <w:tc>
          <w:tcPr>
            <w:tcW w:type="dxa" w:w="1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Interaction p</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adjusted odds ratio</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Lower income (Q1–Q2), n=364</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1.93 (1.18 to 3.15)</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Higher income (Q3–Q4), n=565</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3.24 (2.07 to 5.09)</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0.22</w:t>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grandparent–parent, count ratio per 10 teeth</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Lower income (Q1–Q2), n=432</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1.26 (1.11 to 1.43)</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48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Higher income (Q3–Q4), n=678</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1.13 (1.03 to 1.24)</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0.30</w:t>
            </w:r>
          </w:p>
        </w:tc>
      </w:tr>
    </w:tbl>
    <w:p>
      <w:pPr>
        <w:spacing w:after="180"/>
      </w:pPr>
      <w:r>
        <w:rPr>
          <w:rFonts w:ascii="Times New Roman" w:cs="Times New Roman" w:eastAsia="Times New Roman" w:hAnsi="Times New Roman"/>
          <w:i/>
          <w:iCs/>
          <w:sz w:val="18"/>
          <w:szCs w:val="18"/>
        </w:rPr>
        <w:t xml:space="preserve">Associations were present in both lower- and higher-income households for both outcomes, and the income by exposure interactions were not significant, giving no clear evidence that the familial associations differ by household income. Household income is the stratifying variable and is therefore not included as a covariate within strata; the stratum sizes sum to the complete-case sample for each outcome (929 periodontal and 1110 caries dyads). Models were otherwise adjusted for the outcome-generation covariates (age, sex, current smoking, diagnosed diabetes and diagnosed hypertension), the outcome generation's education, household size, rural residence and survey period.</w:t>
      </w:r>
    </w:p>
    <w:p>
      <w:pPr>
        <w:keepNext/>
        <w:keepLines/>
        <w:pageBreakBefore/>
        <w:spacing w:after="120" w:before="220"/>
      </w:pPr>
      <w:r>
        <w:rPr>
          <w:rFonts w:ascii="Times New Roman" w:cs="Times New Roman" w:eastAsia="Times New Roman" w:hAnsi="Times New Roman"/>
          <w:b/>
          <w:bCs/>
          <w:sz w:val="24"/>
          <w:szCs w:val="24"/>
        </w:rPr>
        <w:t xml:space="preserve">Table S7. Grandparent–parent educational mobility and effect modification</w:t>
      </w:r>
    </w:p>
    <w:tbl>
      <w:tblPr>
        <w:tblW w:type="dxa" w:w="9000"/>
        <w:tblBorders>
          <w:top w:val="single" w:sz="6"/>
          <w:left w:val="none"/>
          <w:bottom w:val="single" w:sz="6"/>
          <w:right w:val="none"/>
          <w:insideH w:val="none"/>
          <w:insideV w:val="none"/>
        </w:tblBorders>
      </w:tblPr>
      <w:tblGrid>
        <w:gridCol w:w="100"/>
        <w:gridCol w:w="100"/>
        <w:gridCol w:w="100"/>
      </w:tblGrid>
      <w:tr>
        <w:trPr>
          <w:cantSplit/>
          <w:tblHeader/>
        </w:trPr>
        <w:tc>
          <w:tcPr>
            <w:tcW w:type="dxa" w:w="42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Educational mobility</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Periodontal dyads, n (%)</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Caries dyads, n (%)</w:t>
            </w:r>
          </w:p>
        </w:tc>
      </w:tr>
      <w:tr>
        <w:trPr>
          <w:cantSplit/>
        </w:trPr>
        <w:tc>
          <w:tcPr>
            <w:tcW w:type="dxa" w:w="42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Upward (parent higher than grandparent)</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716 (79.0)</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845 (78.4)</w:t>
            </w:r>
          </w:p>
        </w:tc>
      </w:tr>
      <w:tr>
        <w:trPr>
          <w:cantSplit/>
        </w:trPr>
        <w:tc>
          <w:tcPr>
            <w:tcW w:type="dxa" w:w="42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Stable (equal)</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179 (19.8)</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220 (20.4)</w:t>
            </w:r>
          </w:p>
        </w:tc>
      </w:tr>
      <w:tr>
        <w:trPr>
          <w:cantSplit/>
        </w:trPr>
        <w:tc>
          <w:tcPr>
            <w:tcW w:type="dxa" w:w="42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Downward (parent lower than grandparent)</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 (1.2)</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 (1.2)</w:t>
            </w:r>
          </w:p>
        </w:tc>
      </w:tr>
    </w:tbl>
    <w:p>
      <w:pPr>
        <w:keepNext/>
        <w:spacing w:after="100" w:line="340"/>
        <w:jc w:val="both"/>
      </w:pPr>
      <w:r>
        <w:rPr>
          <w:rFonts w:ascii="Times New Roman" w:cs="Times New Roman" w:eastAsia="Times New Roman" w:hAnsi="Times New Roman"/>
          <w:sz w:val="22"/>
          <w:szCs w:val="22"/>
        </w:rPr>
        <w:t xml:space="preserve">Stratified associations and interaction (upward versus non-upward):</w:t>
      </w:r>
    </w:p>
    <w:tbl>
      <w:tblPr>
        <w:tblW w:type="dxa" w:w="9000"/>
        <w:tblBorders>
          <w:top w:val="single" w:sz="6"/>
          <w:left w:val="none"/>
          <w:bottom w:val="single" w:sz="6"/>
          <w:right w:val="none"/>
          <w:insideH w:val="none"/>
          <w:insideV w:val="none"/>
        </w:tblBorders>
      </w:tblPr>
      <w:tblGrid>
        <w:gridCol w:w="100"/>
        <w:gridCol w:w="100"/>
        <w:gridCol w:w="100"/>
        <w:gridCol w:w="100"/>
      </w:tblGrid>
      <w:tr>
        <w:trPr>
          <w:cantSplit/>
          <w:tblHeader/>
        </w:trPr>
        <w:tc>
          <w:tcPr>
            <w:tcW w:type="dxa" w:w="36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Outcome and stratum</w:t>
            </w:r>
          </w:p>
        </w:tc>
        <w:tc>
          <w:tcPr>
            <w:tcW w:type="dxa" w:w="22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Estimate (95% CI)</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Interaction estimate (95% CI)</w:t>
            </w:r>
          </w:p>
        </w:tc>
        <w:tc>
          <w:tcPr>
            <w:tcW w:type="dxa" w:w="8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w:t>
            </w:r>
          </w:p>
        </w:tc>
      </w:tr>
      <w:tr>
        <w:trPr>
          <w:cantSplit/>
        </w:trPr>
        <w:tc>
          <w:tcPr>
            <w:tcW w:type="dxa" w:w="3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upward (n=716)</w:t>
            </w:r>
          </w:p>
        </w:tc>
        <w:tc>
          <w:tcPr>
            <w:tcW w:type="dxa" w:w="2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2.70 (1.82 to 3.99)</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3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Periodontitis, non-upward (n=190)</w:t>
            </w:r>
          </w:p>
        </w:tc>
        <w:tc>
          <w:tcPr>
            <w:tcW w:type="dxa" w:w="2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2.83 (1.27 to 6.33)</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0.98 (0.43 to 2.19)</w:t>
            </w:r>
          </w:p>
        </w:tc>
        <w:tc>
          <w:tcPr>
            <w:tcW w:type="dxa" w:w="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0.95</w:t>
            </w:r>
          </w:p>
        </w:tc>
      </w:tr>
      <w:tr>
        <w:trPr>
          <w:cantSplit/>
        </w:trPr>
        <w:tc>
          <w:tcPr>
            <w:tcW w:type="dxa" w:w="3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per 10 teeth, upward (n=845)</w:t>
            </w:r>
          </w:p>
        </w:tc>
        <w:tc>
          <w:tcPr>
            <w:tcW w:type="dxa" w:w="2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1.14 (1.04 to 1.24)</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3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Caries per 10 teeth, non-upward (n=233)</w:t>
            </w:r>
          </w:p>
        </w:tc>
        <w:tc>
          <w:tcPr>
            <w:tcW w:type="dxa" w:w="22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1.28 (1.08 to 1.51)</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0.90 (0.75 to 1.08)</w:t>
            </w:r>
          </w:p>
        </w:tc>
        <w:tc>
          <w:tcPr>
            <w:tcW w:type="dxa" w:w="8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0.27</w:t>
            </w:r>
          </w:p>
        </w:tc>
      </w:tr>
    </w:tbl>
    <w:p>
      <w:pPr>
        <w:spacing w:after="180"/>
      </w:pPr>
      <w:r>
        <w:rPr>
          <w:rFonts w:ascii="Times New Roman" w:cs="Times New Roman" w:eastAsia="Times New Roman" w:hAnsi="Times New Roman"/>
          <w:i/>
          <w:iCs/>
          <w:sz w:val="18"/>
          <w:szCs w:val="18"/>
        </w:rPr>
        <w:t xml:space="preserve">Downward mobility was rare, so upward mobility was compared with a combined non-upward (stable and downward) group. The interaction estimate is the ratio of odds ratios for periodontitis and the ratio of count ratios per 10 teeth for caries, comparing upward with non-upward mobility. Models were adjusted for the corresponding main-model covariates. Because educational mobility required education data for both generations, the analytic samples were restricted to the same 906 periodontal and 1078 caries dyads used in the models that additionally included grandparent education. Because upward mobility was nearly universal, the non-upward comparison group was small and heterogeneous; the data are therefore largely uninformative about effect modification by educational mobility rather than providing evidence against it.</w:t>
      </w:r>
    </w:p>
    <w:p>
      <w:pPr>
        <w:keepNext/>
        <w:keepLines/>
        <w:pageBreakBefore/>
        <w:spacing w:after="120" w:before="220"/>
      </w:pPr>
      <w:r>
        <w:rPr>
          <w:rFonts w:ascii="Times New Roman" w:cs="Times New Roman" w:eastAsia="Times New Roman" w:hAnsi="Times New Roman"/>
          <w:b/>
          <w:bCs/>
          <w:sz w:val="24"/>
          <w:szCs w:val="24"/>
        </w:rPr>
        <w:t xml:space="preserve">Table S8. Direct grandparent–offspring analysis of caries experience</w:t>
      </w:r>
    </w:p>
    <w:p>
      <w:pPr>
        <w:keepNext/>
        <w:spacing w:after="100" w:line="340"/>
        <w:jc w:val="both"/>
      </w:pPr>
      <w:r>
        <w:rPr>
          <w:rFonts w:ascii="Times New Roman" w:cs="Times New Roman" w:eastAsia="Times New Roman" w:hAnsi="Times New Roman"/>
          <w:sz w:val="22"/>
          <w:szCs w:val="22"/>
        </w:rPr>
        <w:t xml:space="preserve">The 2255 linked chains contain 2251 unique grandparent–offspring pairings, four being reached through both a father and a mother. Of these 2251 pairs, 2000 had a valid DMFT in both generations, and 657 had an offspring aged 12 years or older, the age restriction applied to all caries analyses involving the offspring generation.</w:t>
      </w:r>
    </w:p>
    <w:tbl>
      <w:tblPr>
        <w:tblW w:type="dxa" w:w="8600"/>
        <w:tblBorders>
          <w:top w:val="single" w:sz="6"/>
          <w:left w:val="none"/>
          <w:bottom w:val="single" w:sz="6"/>
          <w:right w:val="none"/>
          <w:insideH w:val="none"/>
          <w:insideV w:val="none"/>
        </w:tblBorders>
      </w:tblPr>
      <w:tblGrid>
        <w:gridCol w:w="100"/>
        <w:gridCol w:w="100"/>
        <w:gridCol w:w="100"/>
        <w:gridCol w:w="100"/>
      </w:tblGrid>
      <w:tr>
        <w:trPr>
          <w:cantSplit/>
          <w:tblHeader/>
        </w:trPr>
        <w:tc>
          <w:tcPr>
            <w:tcW w:type="dxa" w:w="26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Model</w:t>
            </w:r>
          </w:p>
        </w:tc>
        <w:tc>
          <w:tcPr>
            <w:tcW w:type="dxa" w:w="26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CR per tooth (95% CI)</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Per 10 teeth (95% CI)</w:t>
            </w:r>
          </w:p>
        </w:tc>
        <w:tc>
          <w:tcPr>
            <w:tcW w:type="dxa" w:w="10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r>
      <w:tr>
        <w:trPr>
          <w:cantSplit/>
        </w:trPr>
        <w:tc>
          <w:tcPr>
            <w:tcW w:type="dxa" w:w="2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Unadjusted</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1.006 (0.995 to 1.018)</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1.06 (0.95 to 1.19)</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657</w:t>
            </w:r>
          </w:p>
        </w:tc>
      </w:tr>
      <w:tr>
        <w:trPr>
          <w:cantSplit/>
        </w:trPr>
        <w:tc>
          <w:tcPr>
            <w:tcW w:type="dxa" w:w="2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Adjusted</w:t>
            </w:r>
          </w:p>
        </w:tc>
        <w:tc>
          <w:tcPr>
            <w:tcW w:type="dxa" w:w="26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0.997 (0.985 to 1.010)</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0.97 (0.86 to 1.10)</w:t>
            </w:r>
          </w:p>
        </w:tc>
        <w:tc>
          <w:tcPr>
            <w:tcW w:type="dxa" w:w="10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607</w:t>
            </w:r>
          </w:p>
        </w:tc>
      </w:tr>
    </w:tbl>
    <w:p>
      <w:pPr>
        <w:spacing w:after="180"/>
      </w:pPr>
      <w:r>
        <w:rPr>
          <w:rFonts w:ascii="Times New Roman" w:cs="Times New Roman" w:eastAsia="Times New Roman" w:hAnsi="Times New Roman"/>
          <w:i/>
          <w:iCs/>
          <w:sz w:val="18"/>
          <w:szCs w:val="18"/>
        </w:rPr>
        <w:t xml:space="preserve">Negative binomial models of offspring DMFT on grandparent DMFT, with family-clustered robust standard errors. Adjusted model covariates: offspring age and sex, household income quartile, grandparent education, household size, rural residence and survey period. Both confidence intervals included the null, providing no clear evidence of an association (adjusted p = 0.67). Periodontitis could not be examined in this dyad: among the 603 grandparent–offspring pairs with a CPI recording in both generations, only 10 members of the offspring generation met the CPI case definition, too few to support a stable analysis. These results support the decision to present the findings as associations between successive generational dyads rather than as a single association spanning the complete three-generation chain.</w:t>
      </w:r>
    </w:p>
    <w:p>
      <w:pPr>
        <w:keepNext/>
        <w:keepLines/>
        <w:pageBreakBefore/>
        <w:spacing w:after="120" w:before="220"/>
      </w:pPr>
      <w:r>
        <w:rPr>
          <w:rFonts w:ascii="Times New Roman" w:cs="Times New Roman" w:eastAsia="Times New Roman" w:hAnsi="Times New Roman"/>
          <w:b/>
          <w:bCs/>
          <w:sz w:val="24"/>
          <w:szCs w:val="24"/>
        </w:rPr>
        <w:t xml:space="preserve">Table S9. Composition of the DMFT index by generation</w:t>
      </w:r>
    </w:p>
    <w:p>
      <w:pPr>
        <w:keepNext/>
        <w:spacing w:after="100" w:line="340"/>
        <w:jc w:val="both"/>
      </w:pPr>
      <w:r>
        <w:rPr>
          <w:rFonts w:ascii="Times New Roman" w:cs="Times New Roman" w:eastAsia="Times New Roman" w:hAnsi="Times New Roman"/>
          <w:sz w:val="22"/>
          <w:szCs w:val="22"/>
        </w:rPr>
        <w:t xml:space="preserve">DMFT was decomposed into its decayed, missing and filled components by reconstructing tooth-level status from the surface codes recorded at the oral examination. Values are means, with the percentage of the generation's total DMFT in parentheses; percentages may not sum to 100 because of rounding.</w:t>
      </w:r>
    </w:p>
    <w:tbl>
      <w:tblPr>
        <w:tblW w:type="dxa" w:w="9400"/>
        <w:tblBorders>
          <w:top w:val="single" w:sz="6"/>
          <w:left w:val="none"/>
          <w:bottom w:val="single" w:sz="6"/>
          <w:right w:val="none"/>
          <w:insideH w:val="none"/>
          <w:insideV w:val="none"/>
        </w:tblBorders>
      </w:tblPr>
      <w:tblGrid>
        <w:gridCol w:w="100"/>
        <w:gridCol w:w="100"/>
        <w:gridCol w:w="100"/>
        <w:gridCol w:w="100"/>
        <w:gridCol w:w="100"/>
        <w:gridCol w:w="100"/>
      </w:tblGrid>
      <w:tr>
        <w:trPr>
          <w:cantSplit/>
          <w:tblHeader/>
        </w:trPr>
        <w:tc>
          <w:tcPr>
            <w:tcW w:type="dxa" w:w="26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Generation</w:t>
            </w:r>
          </w:p>
        </w:tc>
        <w:tc>
          <w:tcPr>
            <w:tcW w:type="dxa" w:w="9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c>
          <w:tcPr>
            <w:tcW w:type="dxa" w:w="15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Decayed</w:t>
            </w:r>
          </w:p>
        </w:tc>
        <w:tc>
          <w:tcPr>
            <w:tcW w:type="dxa" w:w="15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Missing</w:t>
            </w:r>
          </w:p>
        </w:tc>
        <w:tc>
          <w:tcPr>
            <w:tcW w:type="dxa" w:w="15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Filled</w:t>
            </w:r>
          </w:p>
        </w:tc>
        <w:tc>
          <w:tcPr>
            <w:tcW w:type="dxa" w:w="1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Total DMFT</w:t>
            </w:r>
          </w:p>
        </w:tc>
      </w:tr>
      <w:tr>
        <w:trPr>
          <w:cantSplit/>
        </w:trPr>
        <w:tc>
          <w:tcPr>
            <w:tcW w:type="dxa" w:w="2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Grandparents</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1348</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0.63 (7%)</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5.49 (64%)</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2.48 (29%)</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8.61</w:t>
            </w:r>
          </w:p>
        </w:tc>
      </w:tr>
      <w:tr>
        <w:trPr>
          <w:cantSplit/>
        </w:trPr>
        <w:tc>
          <w:tcPr>
            <w:tcW w:type="dxa" w:w="2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Parents</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889</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0.77 (14%)</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1.13 (20%)</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3.81 (67%)</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5.71</w:t>
            </w:r>
          </w:p>
        </w:tc>
      </w:tr>
      <w:tr>
        <w:trPr>
          <w:cantSplit/>
        </w:trPr>
        <w:tc>
          <w:tcPr>
            <w:tcW w:type="dxa" w:w="26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Offspring generation</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1510</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0.41 (21%)</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0.05 (2%)</w:t>
            </w:r>
          </w:p>
        </w:tc>
        <w:tc>
          <w:tcPr>
            <w:tcW w:type="dxa" w:w="15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1.45 (76%)</w:t>
            </w:r>
          </w:p>
        </w:tc>
        <w:tc>
          <w:tcPr>
            <w:tcW w:type="dxa" w:w="1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1.90</w:t>
            </w:r>
          </w:p>
        </w:tc>
      </w:tr>
    </w:tbl>
    <w:p>
      <w:pPr>
        <w:spacing w:after="180"/>
      </w:pPr>
      <w:r>
        <w:rPr>
          <w:rFonts w:ascii="Times New Roman" w:cs="Times New Roman" w:eastAsia="Times New Roman" w:hAnsi="Times New Roman"/>
          <w:i/>
          <w:iCs/>
          <w:sz w:val="18"/>
          <w:szCs w:val="18"/>
        </w:rPr>
        <w:t xml:space="preserve">Tooth-level status was derived from the surface codes and agreed with the derived KNHANES variables for 99.8% of participants for the decayed component and 98.6% for total DMFT. The numbers here slightly exceed the numbers examined for DMFT in Table 1, because the surface codes permit reconstruction for a small number of participants (34 grandparents, 33 parents and 48 members of the offspring generation) for whom the derived variable is missing. The three generations carry very different index compositions: DMFT is dominated by missing teeth in the grandparent generation and by filled teeth in the parent and offspring generations, so the same numerical value does not represent the same clinical history across generations.</w:t>
      </w:r>
    </w:p>
    <w:p>
      <w:pPr>
        <w:keepNext/>
        <w:keepLines/>
        <w:pageBreakBefore/>
        <w:spacing w:after="120" w:before="220"/>
      </w:pPr>
      <w:r>
        <w:rPr>
          <w:rFonts w:ascii="Times New Roman" w:cs="Times New Roman" w:eastAsia="Times New Roman" w:hAnsi="Times New Roman"/>
          <w:b/>
          <w:bCs/>
          <w:sz w:val="24"/>
          <w:szCs w:val="24"/>
        </w:rPr>
        <w:t xml:space="preserve">Table S10. Associations for the decayed, missing and filled components of DMFT</w:t>
      </w:r>
    </w:p>
    <w:tbl>
      <w:tblPr>
        <w:tblW w:type="dxa" w:w="9000"/>
        <w:tblBorders>
          <w:top w:val="single" w:sz="6"/>
          <w:left w:val="none"/>
          <w:bottom w:val="single" w:sz="6"/>
          <w:right w:val="none"/>
          <w:insideH w:val="none"/>
          <w:insideV w:val="none"/>
        </w:tblBorders>
      </w:tblPr>
      <w:tblGrid>
        <w:gridCol w:w="100"/>
        <w:gridCol w:w="100"/>
        <w:gridCol w:w="100"/>
        <w:gridCol w:w="100"/>
      </w:tblGrid>
      <w:tr>
        <w:trPr>
          <w:cantSplit/>
          <w:tblHeader/>
        </w:trPr>
        <w:tc>
          <w:tcPr>
            <w:tcW w:type="dxa" w:w="3000"/>
            <w:tcBorders>
              <w:top w:val="none"/>
              <w:left w:val="none"/>
              <w:bottom w:val="single" w:sz="4"/>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bCs/>
                <w:sz w:val="20"/>
                <w:szCs w:val="20"/>
              </w:rPr>
              <w:t xml:space="preserve">Dyad and component</w:t>
            </w:r>
          </w:p>
        </w:tc>
        <w:tc>
          <w:tcPr>
            <w:tcW w:type="dxa" w:w="27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CR per tooth (95% CI)</w:t>
            </w:r>
          </w:p>
        </w:tc>
        <w:tc>
          <w:tcPr>
            <w:tcW w:type="dxa" w:w="24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Per 10 teeth (95% CI)</w:t>
            </w:r>
          </w:p>
        </w:tc>
        <w:tc>
          <w:tcPr>
            <w:tcW w:type="dxa" w:w="900"/>
            <w:tcBorders>
              <w:top w:val="none"/>
              <w:left w:val="none"/>
              <w:bottom w:val="single" w:sz="4"/>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bCs/>
                <w:sz w:val="20"/>
                <w:szCs w:val="20"/>
              </w:rPr>
              <w:t xml:space="preserve">n</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Grandparent–parent</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Decayed</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1.080 (1.032 to 1.130)</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2.16 (1.38 to 3.40)</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1110</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Missing</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1.038 (1.021 to 1.055)</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1.45 (1.24 to 1.70)</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1110</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Filled</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1.013 (0.996 to 1.031)</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1.14 (0.96 to 1.35)</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1110</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Parent–offspring (≥12 years)</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Decayed</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1.146 (1.053 to 1.247)</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3.91 (1.68 to 9.12)</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480</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Missing</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1.016 (0.956 to 1.081)</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1.18 (0.64 to 2.18)</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480</w:t>
            </w:r>
          </w:p>
        </w:tc>
      </w:tr>
      <w:tr>
        <w:trPr>
          <w:cantSplit/>
        </w:trPr>
        <w:tc>
          <w:tcPr>
            <w:tcW w:type="dxa" w:w="3000"/>
            <w:tcBorders>
              <w:top w:val="none"/>
              <w:left w:val="none"/>
              <w:bottom w:val="none"/>
              <w:right w:val="none"/>
            </w:tcBorders>
            <w:tcMar>
              <w:top w:type="dxa" w:w="40"/>
              <w:left w:type="dxa" w:w="60"/>
              <w:bottom w:type="dxa" w:w="40"/>
              <w:right w:type="dxa" w:w="60"/>
            </w:tcMar>
          </w:tcPr>
          <w:p>
            <w:pPr>
              <w:spacing w:after="0" w:line="260"/>
              <w:jc w:val="left"/>
            </w:pPr>
            <w:r>
              <w:rPr>
                <w:rFonts w:ascii="Times New Roman" w:cs="Times New Roman" w:eastAsia="Times New Roman" w:hAnsi="Times New Roman"/>
                <w:b w:val="false"/>
                <w:bCs w:val="false"/>
                <w:sz w:val="20"/>
                <w:szCs w:val="20"/>
              </w:rPr>
              <w:t xml:space="preserve">  Filled</w:t>
            </w:r>
          </w:p>
        </w:tc>
        <w:tc>
          <w:tcPr>
            <w:tcW w:type="dxa" w:w="27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1.021 (0.987 to 1.056)</w:t>
            </w:r>
          </w:p>
        </w:tc>
        <w:tc>
          <w:tcPr>
            <w:tcW w:type="dxa" w:w="24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1.23 (0.88 to 1.72)</w:t>
            </w:r>
          </w:p>
        </w:tc>
        <w:tc>
          <w:tcPr>
            <w:tcW w:type="dxa" w:w="900"/>
            <w:tcBorders>
              <w:top w:val="none"/>
              <w:left w:val="none"/>
              <w:bottom w:val="none"/>
              <w:right w:val="none"/>
            </w:tcBorders>
            <w:tcMar>
              <w:top w:type="dxa" w:w="40"/>
              <w:left w:type="dxa" w:w="60"/>
              <w:bottom w:type="dxa" w:w="40"/>
              <w:right w:type="dxa" w:w="60"/>
            </w:tcMar>
          </w:tcPr>
          <w:p>
            <w:pPr>
              <w:spacing w:after="0" w:line="260"/>
              <w:jc w:val="right"/>
            </w:pPr>
            <w:r>
              <w:rPr>
                <w:rFonts w:ascii="Times New Roman" w:cs="Times New Roman" w:eastAsia="Times New Roman" w:hAnsi="Times New Roman"/>
                <w:b w:val="false"/>
                <w:bCs w:val="false"/>
                <w:sz w:val="20"/>
                <w:szCs w:val="20"/>
              </w:rPr>
              <w:t xml:space="preserve">480</w:t>
            </w:r>
          </w:p>
        </w:tc>
      </w:tr>
    </w:tbl>
    <w:p>
      <w:pPr>
        <w:spacing w:after="180"/>
      </w:pPr>
      <w:r>
        <w:rPr>
          <w:rFonts w:ascii="Times New Roman" w:cs="Times New Roman" w:eastAsia="Times New Roman" w:hAnsi="Times New Roman"/>
          <w:i/>
          <w:iCs/>
          <w:sz w:val="18"/>
          <w:szCs w:val="18"/>
        </w:rPr>
        <w:t xml:space="preserve">Negative binomial models of each component in the younger generation on the same component in the older generation, with family-clustered robust standard errors and the covariates of the corresponding main model. The association is strongest for untreated decay in both dyads and is compatible with the null for filled teeth in both, which is more consistent with clustering in disease experience than in restorative treatment history. For the parent–offspring dyad the association in the decayed component is clear, although the association for total DMFT was compatible with the null; filled teeth make up 76% of offspring DMFT, which is consistent with dilution of the signal from untreated disease.</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2026-08-26T12:45:57.923Z</dcterms:created>
  <dcterms:modified xsi:type="dcterms:W3CDTF">2026-08-26T12:45:57.923Z</dcterms:modified>
</cp:coreProperties>
</file>

<file path=docProps/custom.xml><?xml version="1.0" encoding="utf-8"?>
<Properties xmlns="http://schemas.openxmlformats.org/officeDocument/2006/custom-properties" xmlns:vt="http://schemas.openxmlformats.org/officeDocument/2006/docPropsVTypes"/>
</file>