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5E31" w14:textId="74EBD97C" w:rsidR="007B1399" w:rsidRPr="007B1399" w:rsidRDefault="007B1399" w:rsidP="007B1399">
      <w:pPr>
        <w:rPr>
          <w:b/>
          <w:bCs/>
          <w:lang w:val="en-US"/>
        </w:rPr>
      </w:pPr>
      <w:r>
        <w:rPr>
          <w:b/>
          <w:bCs/>
          <w:lang w:val="en-US"/>
        </w:rPr>
        <w:t>1</w:t>
      </w:r>
      <w:r w:rsidRPr="007B1399">
        <w:rPr>
          <w:b/>
          <w:bCs/>
          <w:lang w:val="en-US"/>
        </w:rPr>
        <w:t>. Supplementary table</w:t>
      </w:r>
    </w:p>
    <w:p w14:paraId="2DD42ECF" w14:textId="77777777" w:rsidR="007B1399" w:rsidRPr="007B1399" w:rsidRDefault="007B1399" w:rsidP="007B1399">
      <w:pPr>
        <w:rPr>
          <w:b/>
          <w:lang w:val="en-US"/>
        </w:rPr>
      </w:pPr>
      <w:r w:rsidRPr="007B1399">
        <w:rPr>
          <w:b/>
          <w:lang w:val="en-US"/>
        </w:rPr>
        <w:t>Supplementary Table S1. Mesh-convergence analysis based on the maximum implant von Mises stress calculated in Model 1 under Loading Scenario 1 (Force 1)</w:t>
      </w:r>
    </w:p>
    <w:tbl>
      <w:tblPr>
        <w:tblW w:w="9360" w:type="dxa"/>
        <w:tblInd w:w="120" w:type="dxa"/>
        <w:tblBorders>
          <w:top w:val="single" w:sz="4" w:space="0" w:color="D6DBE3"/>
          <w:left w:val="single" w:sz="4" w:space="0" w:color="D6DBE3"/>
          <w:bottom w:val="single" w:sz="4" w:space="0" w:color="D6DBE3"/>
          <w:right w:val="single" w:sz="4" w:space="0" w:color="D6DBE3"/>
          <w:insideH w:val="single" w:sz="4" w:space="0" w:color="D6DBE3"/>
          <w:insideV w:val="single" w:sz="4" w:space="0" w:color="D6DBE3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3000"/>
        <w:gridCol w:w="1900"/>
        <w:gridCol w:w="2560"/>
      </w:tblGrid>
      <w:tr w:rsidR="007B1399" w:rsidRPr="007B1399" w14:paraId="4E097F87" w14:textId="77777777" w:rsidTr="00C67FD3">
        <w:trPr>
          <w:cantSplit/>
          <w:tblHeader/>
        </w:trPr>
        <w:tc>
          <w:tcPr>
            <w:tcW w:w="19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48800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b/>
                <w:lang w:val="en-US"/>
              </w:rPr>
              <w:t>Nominal element size (mm)</w:t>
            </w:r>
          </w:p>
        </w:tc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248CE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b/>
                <w:lang w:val="en-US"/>
              </w:rPr>
              <w:t>Maximum implant von Mises stress (MPa)</w:t>
            </w:r>
          </w:p>
        </w:tc>
        <w:tc>
          <w:tcPr>
            <w:tcW w:w="19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FFAC0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b/>
                <w:lang w:val="en-US"/>
              </w:rPr>
              <w:t>Relative change (%)</w:t>
            </w:r>
          </w:p>
        </w:tc>
        <w:tc>
          <w:tcPr>
            <w:tcW w:w="25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37197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b/>
                <w:lang w:val="en-US"/>
              </w:rPr>
              <w:t>Convergence assessment</w:t>
            </w:r>
          </w:p>
        </w:tc>
      </w:tr>
      <w:tr w:rsidR="007B1399" w:rsidRPr="007B1399" w14:paraId="3546CFFE" w14:textId="77777777" w:rsidTr="00C67FD3"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E376E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0.4</w:t>
            </w: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516B8C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22.135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7CBFA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—</w:t>
            </w:r>
          </w:p>
        </w:tc>
        <w:tc>
          <w:tcPr>
            <w:tcW w:w="2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901CC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Reference mesh</w:t>
            </w:r>
          </w:p>
        </w:tc>
      </w:tr>
      <w:tr w:rsidR="007B1399" w:rsidRPr="007B1399" w14:paraId="77736D10" w14:textId="77777777" w:rsidTr="00C67FD3"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617CA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0.3</w:t>
            </w: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B9C64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24.701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DB737B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10.39</w:t>
            </w:r>
          </w:p>
        </w:tc>
        <w:tc>
          <w:tcPr>
            <w:tcW w:w="2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EA16A3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Above criterion</w:t>
            </w:r>
          </w:p>
        </w:tc>
      </w:tr>
      <w:tr w:rsidR="007B1399" w:rsidRPr="007B1399" w14:paraId="1C9CBB02" w14:textId="77777777" w:rsidTr="00C67FD3"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2BF6B3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0.2</w:t>
            </w: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3FC7C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26.357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19D127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6.28</w:t>
            </w:r>
          </w:p>
        </w:tc>
        <w:tc>
          <w:tcPr>
            <w:tcW w:w="2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9902C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Above criterion</w:t>
            </w:r>
          </w:p>
        </w:tc>
      </w:tr>
      <w:tr w:rsidR="007B1399" w:rsidRPr="007B1399" w14:paraId="0CE290DD" w14:textId="77777777" w:rsidTr="00C67FD3"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EF918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0.1</w:t>
            </w: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6DE7F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26.983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725A45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2.32</w:t>
            </w:r>
          </w:p>
        </w:tc>
        <w:tc>
          <w:tcPr>
            <w:tcW w:w="2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DE262" w14:textId="77777777" w:rsidR="007B1399" w:rsidRPr="007B1399" w:rsidRDefault="007B1399" w:rsidP="007B1399">
            <w:pPr>
              <w:rPr>
                <w:lang w:val="en-US"/>
              </w:rPr>
            </w:pPr>
            <w:r w:rsidRPr="007B1399">
              <w:rPr>
                <w:lang w:val="en-US"/>
              </w:rPr>
              <w:t>Acceptable (&lt;3%)</w:t>
            </w:r>
          </w:p>
        </w:tc>
      </w:tr>
    </w:tbl>
    <w:p w14:paraId="6ADC17CB" w14:textId="77777777" w:rsidR="007B1399" w:rsidRPr="007B1399" w:rsidRDefault="007B1399" w:rsidP="007B1399">
      <w:pPr>
        <w:rPr>
          <w:i/>
          <w:lang w:val="en-US"/>
        </w:rPr>
      </w:pPr>
      <w:r w:rsidRPr="007B1399">
        <w:rPr>
          <w:i/>
          <w:lang w:val="en-US"/>
        </w:rPr>
        <w:t>Relative change (%) = |σ</w:t>
      </w:r>
      <w:r w:rsidRPr="007B1399">
        <w:rPr>
          <w:rFonts w:ascii="Arial" w:hAnsi="Arial" w:cs="Arial"/>
          <w:i/>
          <w:lang w:val="en-US"/>
        </w:rPr>
        <w:t>ᵢ</w:t>
      </w:r>
      <w:r w:rsidRPr="007B1399">
        <w:rPr>
          <w:i/>
          <w:lang w:val="en-US"/>
        </w:rPr>
        <w:t xml:space="preserve"> − σ</w:t>
      </w:r>
      <w:r w:rsidRPr="007B1399">
        <w:rPr>
          <w:rFonts w:ascii="Arial" w:hAnsi="Arial" w:cs="Arial"/>
          <w:i/>
          <w:lang w:val="en-US"/>
        </w:rPr>
        <w:t>ᵢ</w:t>
      </w:r>
      <w:r w:rsidRPr="007B1399">
        <w:rPr>
          <w:rFonts w:ascii="Cambria Math" w:hAnsi="Cambria Math" w:cs="Cambria Math"/>
          <w:i/>
          <w:lang w:val="en-US"/>
        </w:rPr>
        <w:t>₋</w:t>
      </w:r>
      <w:r w:rsidRPr="007B1399">
        <w:rPr>
          <w:rFonts w:ascii="Aptos" w:hAnsi="Aptos" w:cs="Aptos"/>
          <w:i/>
          <w:lang w:val="en-US"/>
        </w:rPr>
        <w:t>₁</w:t>
      </w:r>
      <w:r w:rsidRPr="007B1399">
        <w:rPr>
          <w:i/>
          <w:lang w:val="en-US"/>
        </w:rPr>
        <w:t>| / |σ</w:t>
      </w:r>
      <w:r w:rsidRPr="007B1399">
        <w:rPr>
          <w:rFonts w:ascii="Arial" w:hAnsi="Arial" w:cs="Arial"/>
          <w:i/>
          <w:lang w:val="en-US"/>
        </w:rPr>
        <w:t>ᵢ</w:t>
      </w:r>
      <w:r w:rsidRPr="007B1399">
        <w:rPr>
          <w:i/>
          <w:lang w:val="en-US"/>
        </w:rPr>
        <w:t>| × 100, where σ</w:t>
      </w:r>
      <w:r w:rsidRPr="007B1399">
        <w:rPr>
          <w:rFonts w:ascii="Arial" w:hAnsi="Arial" w:cs="Arial"/>
          <w:i/>
          <w:lang w:val="en-US"/>
        </w:rPr>
        <w:t>ᵢ</w:t>
      </w:r>
      <w:r w:rsidRPr="007B1399">
        <w:rPr>
          <w:i/>
          <w:lang w:val="en-US"/>
        </w:rPr>
        <w:t xml:space="preserve"> is the result from the finer mesh and σ</w:t>
      </w:r>
      <w:r w:rsidRPr="007B1399">
        <w:rPr>
          <w:rFonts w:ascii="Arial" w:hAnsi="Arial" w:cs="Arial"/>
          <w:i/>
          <w:lang w:val="en-US"/>
        </w:rPr>
        <w:t>ᵢ</w:t>
      </w:r>
      <w:r w:rsidRPr="007B1399">
        <w:rPr>
          <w:rFonts w:ascii="Cambria Math" w:hAnsi="Cambria Math" w:cs="Cambria Math"/>
          <w:i/>
          <w:lang w:val="en-US"/>
        </w:rPr>
        <w:t>₋</w:t>
      </w:r>
      <w:r w:rsidRPr="007B1399">
        <w:rPr>
          <w:rFonts w:ascii="Aptos" w:hAnsi="Aptos" w:cs="Aptos"/>
          <w:i/>
          <w:lang w:val="en-US"/>
        </w:rPr>
        <w:t>₁</w:t>
      </w:r>
      <w:r w:rsidRPr="007B1399">
        <w:rPr>
          <w:i/>
          <w:lang w:val="en-US"/>
        </w:rPr>
        <w:t xml:space="preserve"> is the result from the preceding coarser mesh.</w:t>
      </w:r>
    </w:p>
    <w:p w14:paraId="0541D804" w14:textId="77777777" w:rsidR="00AA393D" w:rsidRDefault="00AA393D"/>
    <w:sectPr w:rsidR="00AA3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9E"/>
    <w:rsid w:val="00084F9E"/>
    <w:rsid w:val="0069564C"/>
    <w:rsid w:val="00770C92"/>
    <w:rsid w:val="007B1399"/>
    <w:rsid w:val="0082501A"/>
    <w:rsid w:val="00AA393D"/>
    <w:rsid w:val="00C87087"/>
    <w:rsid w:val="00D90324"/>
    <w:rsid w:val="00DC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7C334"/>
  <w14:defaultImageDpi w14:val="32767"/>
  <w15:chartTrackingRefBased/>
  <w15:docId w15:val="{BFFBA21B-1C2F-4216-B279-24D29DD2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84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84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84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84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84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84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84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84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84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84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84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84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84F9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84F9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84F9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84F9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84F9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84F9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84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84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84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84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84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84F9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84F9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84F9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84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84F9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84F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muhammet.akin@erdogan.edu.tr</dc:creator>
  <cp:keywords/>
  <dc:description/>
  <cp:lastModifiedBy>muhammet.akin@erdogan.edu.tr</cp:lastModifiedBy>
  <cp:revision>2</cp:revision>
  <dcterms:created xsi:type="dcterms:W3CDTF">2026-08-19T15:32:00Z</dcterms:created>
  <dcterms:modified xsi:type="dcterms:W3CDTF">2026-08-19T15:33:00Z</dcterms:modified>
</cp:coreProperties>
</file>