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Tables 3 and 4</w:t>
      </w:r>
    </w:p>
    <w:p>
      <w:pPr>
        <w:pStyle w:val="Heading1"/>
      </w:pPr>
      <w:r>
        <w:t>Supplementary Table 3. Data used for exploratory quantitative synthesis and event-count reconstruction</w:t>
      </w:r>
    </w:p>
    <w:tbl>
      <w:tblPr>
        <w:tblStyle w:val="TableGrid"/>
        <w:tblW w:type="auto" w:w="0"/>
        <w:jc w:val="center"/>
        <w:tblLook w:firstColumn="1" w:firstRow="1" w:lastColumn="0" w:lastRow="0" w:noHBand="0" w:noVBand="1" w:val="04A0"/>
      </w:tblPr>
      <w:tblGrid>
        <w:gridCol w:w="1322"/>
        <w:gridCol w:w="1322"/>
        <w:gridCol w:w="1322"/>
        <w:gridCol w:w="1322"/>
        <w:gridCol w:w="1322"/>
        <w:gridCol w:w="1322"/>
        <w:gridCol w:w="1322"/>
        <w:gridCol w:w="1322"/>
        <w:gridCol w:w="1322"/>
        <w:gridCol w:w="1322"/>
        <w:gridCol w:w="1322"/>
      </w:tblGrid>
      <w:tr>
        <w:tc>
          <w:tcPr>
            <w:tcW w:type="dxa" w:w="1322"/>
            <w:vAlign w:val="center"/>
          </w:tcPr>
          <w:p>
            <w:r>
              <w:rPr>
                <w:rFonts w:ascii="Times New Roman" w:hAnsi="Times New Roman"/>
                <w:sz w:val="14"/>
              </w:rPr>
              <w:t>Study</w:t>
            </w:r>
          </w:p>
        </w:tc>
        <w:tc>
          <w:tcPr>
            <w:tcW w:type="dxa" w:w="1322"/>
            <w:vAlign w:val="center"/>
          </w:tcPr>
          <w:p>
            <w:r>
              <w:rPr>
                <w:rFonts w:ascii="Times New Roman" w:hAnsi="Times New Roman"/>
                <w:sz w:val="14"/>
              </w:rPr>
              <w:t>Outcome</w:t>
            </w:r>
          </w:p>
        </w:tc>
        <w:tc>
          <w:tcPr>
            <w:tcW w:type="dxa" w:w="1322"/>
            <w:vAlign w:val="center"/>
          </w:tcPr>
          <w:p>
            <w:r>
              <w:rPr>
                <w:rFonts w:ascii="Times New Roman" w:hAnsi="Times New Roman"/>
                <w:sz w:val="14"/>
              </w:rPr>
              <w:t>Reported metric/data source</w:t>
            </w:r>
          </w:p>
        </w:tc>
        <w:tc>
          <w:tcPr>
            <w:tcW w:type="dxa" w:w="1322"/>
            <w:vAlign w:val="center"/>
          </w:tcPr>
          <w:p>
            <w:r>
              <w:rPr>
                <w:rFonts w:ascii="Times New Roman" w:hAnsi="Times New Roman"/>
                <w:sz w:val="14"/>
              </w:rPr>
              <w:t>Denominator</w:t>
            </w:r>
          </w:p>
        </w:tc>
        <w:tc>
          <w:tcPr>
            <w:tcW w:type="dxa" w:w="1322"/>
            <w:vAlign w:val="center"/>
          </w:tcPr>
          <w:p>
            <w:r>
              <w:rPr>
                <w:rFonts w:ascii="Times New Roman" w:hAnsi="Times New Roman"/>
                <w:sz w:val="14"/>
              </w:rPr>
              <w:t>TP</w:t>
            </w:r>
          </w:p>
        </w:tc>
        <w:tc>
          <w:tcPr>
            <w:tcW w:type="dxa" w:w="1322"/>
            <w:vAlign w:val="center"/>
          </w:tcPr>
          <w:p>
            <w:r>
              <w:rPr>
                <w:rFonts w:ascii="Times New Roman" w:hAnsi="Times New Roman"/>
                <w:sz w:val="14"/>
              </w:rPr>
              <w:t>FP</w:t>
            </w:r>
          </w:p>
        </w:tc>
        <w:tc>
          <w:tcPr>
            <w:tcW w:type="dxa" w:w="1322"/>
            <w:vAlign w:val="center"/>
          </w:tcPr>
          <w:p>
            <w:r>
              <w:rPr>
                <w:rFonts w:ascii="Times New Roman" w:hAnsi="Times New Roman"/>
                <w:sz w:val="14"/>
              </w:rPr>
              <w:t>FN</w:t>
            </w:r>
          </w:p>
        </w:tc>
        <w:tc>
          <w:tcPr>
            <w:tcW w:type="dxa" w:w="1322"/>
            <w:vAlign w:val="center"/>
          </w:tcPr>
          <w:p>
            <w:r>
              <w:rPr>
                <w:rFonts w:ascii="Times New Roman" w:hAnsi="Times New Roman"/>
                <w:sz w:val="14"/>
              </w:rPr>
              <w:t>TN</w:t>
            </w:r>
          </w:p>
        </w:tc>
        <w:tc>
          <w:tcPr>
            <w:tcW w:type="dxa" w:w="1322"/>
            <w:vAlign w:val="center"/>
          </w:tcPr>
          <w:p>
            <w:r>
              <w:rPr>
                <w:rFonts w:ascii="Times New Roman" w:hAnsi="Times New Roman"/>
                <w:sz w:val="14"/>
              </w:rPr>
              <w:t>Data handling category</w:t>
            </w:r>
          </w:p>
        </w:tc>
        <w:tc>
          <w:tcPr>
            <w:tcW w:type="dxa" w:w="1322"/>
            <w:vAlign w:val="center"/>
          </w:tcPr>
          <w:p>
            <w:r>
              <w:rPr>
                <w:rFonts w:ascii="Times New Roman" w:hAnsi="Times New Roman"/>
                <w:sz w:val="14"/>
              </w:rPr>
              <w:t>Included in pooled analysis</w:t>
            </w:r>
          </w:p>
        </w:tc>
        <w:tc>
          <w:tcPr>
            <w:tcW w:type="dxa" w:w="1322"/>
            <w:vAlign w:val="center"/>
          </w:tcPr>
          <w:p>
            <w:r>
              <w:rPr>
                <w:rFonts w:ascii="Times New Roman" w:hAnsi="Times New Roman"/>
                <w:sz w:val="14"/>
              </w:rPr>
              <w:t>Influence on interpretation</w:t>
            </w:r>
          </w:p>
        </w:tc>
      </w:tr>
      <w:tr>
        <w:tc>
          <w:tcPr>
            <w:tcW w:type="dxa" w:w="1322"/>
            <w:vAlign w:val="center"/>
          </w:tcPr>
          <w:p>
            <w:r>
              <w:rPr>
                <w:rFonts w:ascii="Times New Roman" w:hAnsi="Times New Roman"/>
                <w:sz w:val="14"/>
              </w:rPr>
              <w:t>Chen 2023</w:t>
            </w:r>
          </w:p>
        </w:tc>
        <w:tc>
          <w:tcPr>
            <w:tcW w:type="dxa" w:w="1322"/>
            <w:vAlign w:val="center"/>
          </w:tcPr>
          <w:p>
            <w:r>
              <w:rPr>
                <w:rFonts w:ascii="Times New Roman" w:hAnsi="Times New Roman"/>
                <w:sz w:val="14"/>
              </w:rPr>
              <w:t>Accuracy / sensitivity / specificity</w:t>
            </w:r>
          </w:p>
        </w:tc>
        <w:tc>
          <w:tcPr>
            <w:tcW w:type="dxa" w:w="1322"/>
            <w:vAlign w:val="center"/>
          </w:tcPr>
          <w:p>
            <w:r>
              <w:rPr>
                <w:rFonts w:ascii="Times New Roman" w:hAnsi="Times New Roman"/>
                <w:sz w:val="14"/>
              </w:rPr>
              <w:t>Complete contingency data available in the article</w:t>
            </w:r>
          </w:p>
        </w:tc>
        <w:tc>
          <w:tcPr>
            <w:tcW w:type="dxa" w:w="1322"/>
            <w:vAlign w:val="center"/>
          </w:tcPr>
          <w:p>
            <w:r>
              <w:rPr>
                <w:rFonts w:ascii="Times New Roman" w:hAnsi="Times New Roman"/>
                <w:sz w:val="14"/>
              </w:rPr>
              <w:t>Test set</w:t>
            </w:r>
          </w:p>
        </w:tc>
        <w:tc>
          <w:tcPr>
            <w:tcW w:type="dxa" w:w="1322"/>
            <w:vAlign w:val="center"/>
          </w:tcPr>
          <w:p>
            <w:r>
              <w:rPr>
                <w:rFonts w:ascii="Times New Roman" w:hAnsi="Times New Roman"/>
                <w:sz w:val="14"/>
              </w:rPr>
              <w:t>Reported</w:t>
            </w:r>
          </w:p>
        </w:tc>
        <w:tc>
          <w:tcPr>
            <w:tcW w:type="dxa" w:w="1322"/>
            <w:vAlign w:val="center"/>
          </w:tcPr>
          <w:p>
            <w:r>
              <w:rPr>
                <w:rFonts w:ascii="Times New Roman" w:hAnsi="Times New Roman"/>
                <w:sz w:val="14"/>
              </w:rPr>
              <w:t>Reported</w:t>
            </w:r>
          </w:p>
        </w:tc>
        <w:tc>
          <w:tcPr>
            <w:tcW w:type="dxa" w:w="1322"/>
            <w:vAlign w:val="center"/>
          </w:tcPr>
          <w:p>
            <w:r>
              <w:rPr>
                <w:rFonts w:ascii="Times New Roman" w:hAnsi="Times New Roman"/>
                <w:sz w:val="14"/>
              </w:rPr>
              <w:t>Reported</w:t>
            </w:r>
          </w:p>
        </w:tc>
        <w:tc>
          <w:tcPr>
            <w:tcW w:type="dxa" w:w="1322"/>
            <w:vAlign w:val="center"/>
          </w:tcPr>
          <w:p>
            <w:r>
              <w:rPr>
                <w:rFonts w:ascii="Times New Roman" w:hAnsi="Times New Roman"/>
                <w:sz w:val="14"/>
              </w:rPr>
              <w:t>Reported</w:t>
            </w:r>
          </w:p>
        </w:tc>
        <w:tc>
          <w:tcPr>
            <w:tcW w:type="dxa" w:w="1322"/>
            <w:vAlign w:val="center"/>
          </w:tcPr>
          <w:p>
            <w:r>
              <w:rPr>
                <w:rFonts w:ascii="Times New Roman" w:hAnsi="Times New Roman"/>
                <w:sz w:val="14"/>
              </w:rPr>
              <w:t>Reported 2 × 2 table</w:t>
            </w:r>
          </w:p>
        </w:tc>
        <w:tc>
          <w:tcPr>
            <w:tcW w:type="dxa" w:w="1322"/>
            <w:vAlign w:val="center"/>
          </w:tcPr>
          <w:p>
            <w:r>
              <w:rPr>
                <w:rFonts w:ascii="Times New Roman" w:hAnsi="Times New Roman"/>
                <w:sz w:val="14"/>
              </w:rPr>
              <w:t>Accuracy; sensitivity/recall; specificity</w:t>
            </w:r>
          </w:p>
        </w:tc>
        <w:tc>
          <w:tcPr>
            <w:tcW w:type="dxa" w:w="1322"/>
            <w:vAlign w:val="center"/>
          </w:tcPr>
          <w:p>
            <w:r>
              <w:rPr>
                <w:rFonts w:ascii="Times New Roman" w:hAnsi="Times New Roman"/>
                <w:sz w:val="14"/>
              </w:rPr>
              <w:t>No approximation was required. Estimate treated as exploratory because of overall between-study heterogeneity.</w:t>
            </w:r>
          </w:p>
        </w:tc>
      </w:tr>
      <w:tr>
        <w:tc>
          <w:tcPr>
            <w:tcW w:type="dxa" w:w="1322"/>
            <w:vAlign w:val="center"/>
          </w:tcPr>
          <w:p>
            <w:r>
              <w:rPr>
                <w:rFonts w:ascii="Times New Roman" w:hAnsi="Times New Roman"/>
                <w:sz w:val="14"/>
              </w:rPr>
              <w:t>Kibcak 2025</w:t>
            </w:r>
          </w:p>
        </w:tc>
        <w:tc>
          <w:tcPr>
            <w:tcW w:type="dxa" w:w="1322"/>
            <w:vAlign w:val="center"/>
          </w:tcPr>
          <w:p>
            <w:r>
              <w:rPr>
                <w:rFonts w:ascii="Times New Roman" w:hAnsi="Times New Roman"/>
                <w:sz w:val="14"/>
              </w:rPr>
              <w:t>Accuracy / sensitivity / specificity</w:t>
            </w:r>
          </w:p>
        </w:tc>
        <w:tc>
          <w:tcPr>
            <w:tcW w:type="dxa" w:w="1322"/>
            <w:vAlign w:val="center"/>
          </w:tcPr>
          <w:p>
            <w:r>
              <w:rPr>
                <w:rFonts w:ascii="Times New Roman" w:hAnsi="Times New Roman"/>
                <w:sz w:val="14"/>
              </w:rPr>
              <w:t>Reported performance estimates and available denominator</w:t>
            </w:r>
          </w:p>
        </w:tc>
        <w:tc>
          <w:tcPr>
            <w:tcW w:type="dxa" w:w="1322"/>
            <w:vAlign w:val="center"/>
          </w:tcPr>
          <w:p>
            <w:r>
              <w:rPr>
                <w:rFonts w:ascii="Times New Roman" w:hAnsi="Times New Roman"/>
                <w:sz w:val="14"/>
              </w:rPr>
              <w:t>Test set / implant-level data</w:t>
            </w:r>
          </w:p>
        </w:tc>
        <w:tc>
          <w:tcPr>
            <w:tcW w:type="dxa" w:w="1322"/>
            <w:vAlign w:val="center"/>
          </w:tcPr>
          <w:p>
            <w:r>
              <w:rPr>
                <w:rFonts w:ascii="Times New Roman" w:hAnsi="Times New Roman"/>
                <w:sz w:val="14"/>
              </w:rPr>
              <w:t>Reconstructed</w:t>
            </w:r>
          </w:p>
        </w:tc>
        <w:tc>
          <w:tcPr>
            <w:tcW w:type="dxa" w:w="1322"/>
            <w:vAlign w:val="center"/>
          </w:tcPr>
          <w:p>
            <w:r>
              <w:rPr>
                <w:rFonts w:ascii="Times New Roman" w:hAnsi="Times New Roman"/>
                <w:sz w:val="14"/>
              </w:rPr>
              <w:t>Reconstructed</w:t>
            </w:r>
          </w:p>
        </w:tc>
        <w:tc>
          <w:tcPr>
            <w:tcW w:type="dxa" w:w="1322"/>
            <w:vAlign w:val="center"/>
          </w:tcPr>
          <w:p>
            <w:r>
              <w:rPr>
                <w:rFonts w:ascii="Times New Roman" w:hAnsi="Times New Roman"/>
                <w:sz w:val="14"/>
              </w:rPr>
              <w:t>Reconstructed</w:t>
            </w:r>
          </w:p>
        </w:tc>
        <w:tc>
          <w:tcPr>
            <w:tcW w:type="dxa" w:w="1322"/>
            <w:vAlign w:val="center"/>
          </w:tcPr>
          <w:p>
            <w:r>
              <w:rPr>
                <w:rFonts w:ascii="Times New Roman" w:hAnsi="Times New Roman"/>
                <w:sz w:val="14"/>
              </w:rPr>
              <w:t>Reconstructed</w:t>
            </w:r>
          </w:p>
        </w:tc>
        <w:tc>
          <w:tcPr>
            <w:tcW w:type="dxa" w:w="1322"/>
            <w:vAlign w:val="center"/>
          </w:tcPr>
          <w:p>
            <w:r>
              <w:rPr>
                <w:rFonts w:ascii="Times New Roman" w:hAnsi="Times New Roman"/>
                <w:sz w:val="14"/>
              </w:rPr>
              <w:t>Event counts reconstructed from reported percentages and denominator</w:t>
            </w:r>
          </w:p>
        </w:tc>
        <w:tc>
          <w:tcPr>
            <w:tcW w:type="dxa" w:w="1322"/>
            <w:vAlign w:val="center"/>
          </w:tcPr>
          <w:p>
            <w:r>
              <w:rPr>
                <w:rFonts w:ascii="Times New Roman" w:hAnsi="Times New Roman"/>
                <w:sz w:val="14"/>
              </w:rPr>
              <w:t>Accuracy; sensitivity/recall; specificity</w:t>
            </w:r>
          </w:p>
        </w:tc>
        <w:tc>
          <w:tcPr>
            <w:tcW w:type="dxa" w:w="1322"/>
            <w:vAlign w:val="center"/>
          </w:tcPr>
          <w:p>
            <w:r>
              <w:rPr>
                <w:rFonts w:ascii="Times New Roman" w:hAnsi="Times New Roman"/>
                <w:sz w:val="14"/>
              </w:rPr>
              <w:t>Approximation may affect precision but did not alter interpretation; estimate treated as exploratory.</w:t>
            </w:r>
          </w:p>
        </w:tc>
      </w:tr>
      <w:tr>
        <w:tc>
          <w:tcPr>
            <w:tcW w:type="dxa" w:w="1322"/>
            <w:vAlign w:val="center"/>
          </w:tcPr>
          <w:p>
            <w:r>
              <w:rPr>
                <w:rFonts w:ascii="Times New Roman" w:hAnsi="Times New Roman"/>
                <w:sz w:val="14"/>
              </w:rPr>
              <w:t>Mao 2025</w:t>
            </w:r>
          </w:p>
        </w:tc>
        <w:tc>
          <w:tcPr>
            <w:tcW w:type="dxa" w:w="1322"/>
            <w:vAlign w:val="center"/>
          </w:tcPr>
          <w:p>
            <w:r>
              <w:rPr>
                <w:rFonts w:ascii="Times New Roman" w:hAnsi="Times New Roman"/>
                <w:sz w:val="14"/>
              </w:rPr>
              <w:t>Accuracy / sensitivity / specificity</w:t>
            </w:r>
          </w:p>
        </w:tc>
        <w:tc>
          <w:tcPr>
            <w:tcW w:type="dxa" w:w="1322"/>
            <w:vAlign w:val="center"/>
          </w:tcPr>
          <w:p>
            <w:r>
              <w:rPr>
                <w:rFonts w:ascii="Times New Roman" w:hAnsi="Times New Roman"/>
                <w:sz w:val="14"/>
              </w:rPr>
              <w:t>Reported performance estimates, confidence intervals, and/or denominator</w:t>
            </w:r>
          </w:p>
        </w:tc>
        <w:tc>
          <w:tcPr>
            <w:tcW w:type="dxa" w:w="1322"/>
            <w:vAlign w:val="center"/>
          </w:tcPr>
          <w:p>
            <w:r>
              <w:rPr>
                <w:rFonts w:ascii="Times New Roman" w:hAnsi="Times New Roman"/>
                <w:sz w:val="14"/>
              </w:rPr>
              <w:t>Reported test set</w:t>
            </w:r>
          </w:p>
        </w:tc>
        <w:tc>
          <w:tcPr>
            <w:tcW w:type="dxa" w:w="1322"/>
            <w:vAlign w:val="center"/>
          </w:tcPr>
          <w:p>
            <w:r>
              <w:rPr>
                <w:rFonts w:ascii="Times New Roman" w:hAnsi="Times New Roman"/>
                <w:sz w:val="14"/>
              </w:rPr>
              <w:t>Reconstructed or derived</w:t>
            </w:r>
          </w:p>
        </w:tc>
        <w:tc>
          <w:tcPr>
            <w:tcW w:type="dxa" w:w="1322"/>
            <w:vAlign w:val="center"/>
          </w:tcPr>
          <w:p>
            <w:r>
              <w:rPr>
                <w:rFonts w:ascii="Times New Roman" w:hAnsi="Times New Roman"/>
                <w:sz w:val="14"/>
              </w:rPr>
              <w:t>Reconstructed or derived</w:t>
            </w:r>
          </w:p>
        </w:tc>
        <w:tc>
          <w:tcPr>
            <w:tcW w:type="dxa" w:w="1322"/>
            <w:vAlign w:val="center"/>
          </w:tcPr>
          <w:p>
            <w:r>
              <w:rPr>
                <w:rFonts w:ascii="Times New Roman" w:hAnsi="Times New Roman"/>
                <w:sz w:val="14"/>
              </w:rPr>
              <w:t>Reconstructed or derived</w:t>
            </w:r>
          </w:p>
        </w:tc>
        <w:tc>
          <w:tcPr>
            <w:tcW w:type="dxa" w:w="1322"/>
            <w:vAlign w:val="center"/>
          </w:tcPr>
          <w:p>
            <w:r>
              <w:rPr>
                <w:rFonts w:ascii="Times New Roman" w:hAnsi="Times New Roman"/>
                <w:sz w:val="14"/>
              </w:rPr>
              <w:t>Reconstructed or derived</w:t>
            </w:r>
          </w:p>
        </w:tc>
        <w:tc>
          <w:tcPr>
            <w:tcW w:type="dxa" w:w="1322"/>
            <w:vAlign w:val="center"/>
          </w:tcPr>
          <w:p>
            <w:r>
              <w:rPr>
                <w:rFonts w:ascii="Times New Roman" w:hAnsi="Times New Roman"/>
                <w:sz w:val="14"/>
              </w:rPr>
              <w:t>Event counts reconstructed and/or SE derived from reported information</w:t>
            </w:r>
          </w:p>
        </w:tc>
        <w:tc>
          <w:tcPr>
            <w:tcW w:type="dxa" w:w="1322"/>
            <w:vAlign w:val="center"/>
          </w:tcPr>
          <w:p>
            <w:r>
              <w:rPr>
                <w:rFonts w:ascii="Times New Roman" w:hAnsi="Times New Roman"/>
                <w:sz w:val="14"/>
              </w:rPr>
              <w:t>Accuracy; sensitivity/recall; specificity</w:t>
            </w:r>
          </w:p>
        </w:tc>
        <w:tc>
          <w:tcPr>
            <w:tcW w:type="dxa" w:w="1322"/>
            <w:vAlign w:val="center"/>
          </w:tcPr>
          <w:p>
            <w:r>
              <w:rPr>
                <w:rFonts w:ascii="Times New Roman" w:hAnsi="Times New Roman"/>
                <w:sz w:val="14"/>
              </w:rPr>
              <w:t>Approximation may affect precision but did not alter interpretation; estimate treated as exploratory.</w:t>
            </w:r>
          </w:p>
        </w:tc>
      </w:tr>
      <w:tr>
        <w:tc>
          <w:tcPr>
            <w:tcW w:type="dxa" w:w="1322"/>
            <w:vAlign w:val="center"/>
          </w:tcPr>
          <w:p>
            <w:r>
              <w:rPr>
                <w:rFonts w:ascii="Times New Roman" w:hAnsi="Times New Roman"/>
                <w:sz w:val="14"/>
              </w:rPr>
              <w:t>Lee JH 2025</w:t>
            </w:r>
          </w:p>
        </w:tc>
        <w:tc>
          <w:tcPr>
            <w:tcW w:type="dxa" w:w="1322"/>
            <w:vAlign w:val="center"/>
          </w:tcPr>
          <w:p>
            <w:r>
              <w:rPr>
                <w:rFonts w:ascii="Times New Roman" w:hAnsi="Times New Roman"/>
                <w:sz w:val="14"/>
              </w:rPr>
              <w:t>Accuracy</w:t>
            </w:r>
          </w:p>
        </w:tc>
        <w:tc>
          <w:tcPr>
            <w:tcW w:type="dxa" w:w="1322"/>
            <w:vAlign w:val="center"/>
          </w:tcPr>
          <w:p>
            <w:r>
              <w:rPr>
                <w:rFonts w:ascii="Times New Roman" w:hAnsi="Times New Roman"/>
                <w:sz w:val="14"/>
              </w:rPr>
              <w:t>Reported accuracy and test-set denominator</w:t>
            </w:r>
          </w:p>
        </w:tc>
        <w:tc>
          <w:tcPr>
            <w:tcW w:type="dxa" w:w="1322"/>
            <w:vAlign w:val="center"/>
          </w:tcPr>
          <w:p>
            <w:r>
              <w:rPr>
                <w:rFonts w:ascii="Times New Roman" w:hAnsi="Times New Roman"/>
                <w:sz w:val="14"/>
              </w:rPr>
              <w:t>Reported test set</w:t>
            </w:r>
          </w:p>
        </w:tc>
        <w:tc>
          <w:tcPr>
            <w:tcW w:type="dxa" w:w="1322"/>
            <w:vAlign w:val="center"/>
          </w:tcPr>
          <w:p>
            <w:r>
              <w:rPr>
                <w:rFonts w:ascii="Times New Roman" w:hAnsi="Times New Roman"/>
                <w:sz w:val="14"/>
              </w:rPr>
              <w:t>Event count reconstructed</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Event count reconstructed from reported accuracy and denominator</w:t>
            </w:r>
          </w:p>
        </w:tc>
        <w:tc>
          <w:tcPr>
            <w:tcW w:type="dxa" w:w="1322"/>
            <w:vAlign w:val="center"/>
          </w:tcPr>
          <w:p>
            <w:r>
              <w:rPr>
                <w:rFonts w:ascii="Times New Roman" w:hAnsi="Times New Roman"/>
                <w:sz w:val="14"/>
              </w:rPr>
              <w:t>Accuracy only</w:t>
            </w:r>
          </w:p>
        </w:tc>
        <w:tc>
          <w:tcPr>
            <w:tcW w:type="dxa" w:w="1322"/>
            <w:vAlign w:val="center"/>
          </w:tcPr>
          <w:p>
            <w:r/>
            <w:r>
              <w:rPr>
                <w:color w:val="0070C0"/>
                <w:sz w:val="14"/>
              </w:rPr>
              <w:t>Approximation may affect precision but did not alter interpretation. The study contributed only to exploratory model-accuracy pooling; severity-grading results were summarized narratively and were not pooled in a separate severity-grading analysis.</w:t>
            </w:r>
          </w:p>
        </w:tc>
      </w:tr>
      <w:tr>
        <w:tc>
          <w:tcPr>
            <w:tcW w:type="dxa" w:w="1322"/>
            <w:vAlign w:val="center"/>
          </w:tcPr>
          <w:p>
            <w:r>
              <w:rPr>
                <w:rFonts w:ascii="Times New Roman" w:hAnsi="Times New Roman"/>
                <w:sz w:val="14"/>
              </w:rPr>
              <w:t>Madani 2026</w:t>
            </w:r>
          </w:p>
        </w:tc>
        <w:tc>
          <w:tcPr>
            <w:tcW w:type="dxa" w:w="1322"/>
            <w:vAlign w:val="center"/>
          </w:tcPr>
          <w:p>
            <w:r>
              <w:rPr>
                <w:rFonts w:ascii="Times New Roman" w:hAnsi="Times New Roman"/>
                <w:sz w:val="14"/>
              </w:rPr>
              <w:t>Accuracy</w:t>
            </w:r>
          </w:p>
        </w:tc>
        <w:tc>
          <w:tcPr>
            <w:tcW w:type="dxa" w:w="1322"/>
            <w:vAlign w:val="center"/>
          </w:tcPr>
          <w:p>
            <w:r>
              <w:rPr>
                <w:rFonts w:ascii="Times New Roman" w:hAnsi="Times New Roman"/>
                <w:sz w:val="14"/>
              </w:rPr>
              <w:t>Reported accuracy and denominator; limited variance information</w:t>
            </w:r>
          </w:p>
        </w:tc>
        <w:tc>
          <w:tcPr>
            <w:tcW w:type="dxa" w:w="1322"/>
            <w:vAlign w:val="center"/>
          </w:tcPr>
          <w:p>
            <w:r>
              <w:rPr>
                <w:rFonts w:ascii="Times New Roman" w:hAnsi="Times New Roman"/>
                <w:sz w:val="14"/>
              </w:rPr>
              <w:t>Test set</w:t>
            </w:r>
          </w:p>
        </w:tc>
        <w:tc>
          <w:tcPr>
            <w:tcW w:type="dxa" w:w="1322"/>
            <w:vAlign w:val="center"/>
          </w:tcPr>
          <w:p>
            <w:r>
              <w:rPr>
                <w:rFonts w:ascii="Times New Roman" w:hAnsi="Times New Roman"/>
                <w:sz w:val="14"/>
              </w:rPr>
              <w:t>Event count reconstructed</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Event count reconstructed and/or SE derived from reported information</w:t>
            </w:r>
          </w:p>
        </w:tc>
        <w:tc>
          <w:tcPr>
            <w:tcW w:type="dxa" w:w="1322"/>
            <w:vAlign w:val="center"/>
          </w:tcPr>
          <w:p>
            <w:r>
              <w:rPr>
                <w:rFonts w:ascii="Times New Roman" w:hAnsi="Times New Roman"/>
                <w:sz w:val="14"/>
              </w:rPr>
              <w:t>Accuracy only</w:t>
            </w:r>
          </w:p>
        </w:tc>
        <w:tc>
          <w:tcPr>
            <w:tcW w:type="dxa" w:w="1322"/>
            <w:vAlign w:val="center"/>
          </w:tcPr>
          <w:p>
            <w:r>
              <w:rPr>
                <w:rFonts w:ascii="Times New Roman" w:hAnsi="Times New Roman"/>
                <w:sz w:val="14"/>
              </w:rPr>
              <w:t>Approximation may affect precision but did not alter interpretation; estimate treated as exploratory.</w:t>
            </w:r>
          </w:p>
        </w:tc>
      </w:tr>
      <w:tr>
        <w:tc>
          <w:tcPr>
            <w:tcW w:type="dxa" w:w="1322"/>
            <w:vAlign w:val="center"/>
          </w:tcPr>
          <w:p>
            <w:r>
              <w:rPr>
                <w:rFonts w:ascii="Times New Roman" w:hAnsi="Times New Roman"/>
                <w:sz w:val="14"/>
              </w:rPr>
              <w:t>Other studies</w:t>
            </w:r>
          </w:p>
        </w:tc>
        <w:tc>
          <w:tcPr>
            <w:tcW w:type="dxa" w:w="1322"/>
            <w:vAlign w:val="center"/>
          </w:tcPr>
          <w:p>
            <w:r>
              <w:rPr>
                <w:rFonts w:ascii="Times New Roman" w:hAnsi="Times New Roman"/>
                <w:sz w:val="14"/>
              </w:rPr>
              <w:t>Narrative outcomes</w:t>
            </w:r>
          </w:p>
        </w:tc>
        <w:tc>
          <w:tcPr>
            <w:tcW w:type="dxa" w:w="1322"/>
            <w:vAlign w:val="center"/>
          </w:tcPr>
          <w:p>
            <w:r>
              <w:rPr>
                <w:rFonts w:ascii="Times New Roman" w:hAnsi="Times New Roman"/>
                <w:sz w:val="14"/>
              </w:rPr>
              <w:t>Metrics not suitable for pooling or variance information insufficient</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NR</w:t>
            </w:r>
          </w:p>
        </w:tc>
        <w:tc>
          <w:tcPr>
            <w:tcW w:type="dxa" w:w="1322"/>
            <w:vAlign w:val="center"/>
          </w:tcPr>
          <w:p>
            <w:r>
              <w:rPr>
                <w:rFonts w:ascii="Times New Roman" w:hAnsi="Times New Roman"/>
                <w:sz w:val="14"/>
              </w:rPr>
              <w:t>Narrative only</w:t>
            </w:r>
          </w:p>
        </w:tc>
        <w:tc>
          <w:tcPr>
            <w:tcW w:type="dxa" w:w="1322"/>
            <w:vAlign w:val="center"/>
          </w:tcPr>
          <w:p>
            <w:r>
              <w:rPr>
                <w:rFonts w:ascii="Times New Roman" w:hAnsi="Times New Roman"/>
                <w:sz w:val="14"/>
              </w:rPr>
              <w:t>Not pooled</w:t>
            </w:r>
          </w:p>
        </w:tc>
        <w:tc>
          <w:tcPr>
            <w:tcW w:type="dxa" w:w="1322"/>
            <w:vAlign w:val="center"/>
          </w:tcPr>
          <w:p>
            <w:r>
              <w:rPr>
                <w:rFonts w:ascii="Times New Roman" w:hAnsi="Times New Roman"/>
                <w:sz w:val="14"/>
              </w:rPr>
              <w:t>No effect on pooled estimates.</w:t>
            </w:r>
          </w:p>
        </w:tc>
      </w:tr>
    </w:tbl>
    <w:p>
      <w:r>
        <w:t>Note: NR, not reported; SE, standard error. Reconstructed values should be interpreted as approximations. They were used only for exploratory single-proportion pooling, and the corresponding pooled estimates were interpreted as descriptive internal performance summaries rather than diagnostic accuracy for a single clinical endpoint.</w:t>
      </w:r>
    </w:p>
    <w:p/>
    <w:p>
      <w:pPr>
        <w:pStyle w:val="Heading1"/>
      </w:pPr>
      <w:r>
        <w:t>Supplementary Table 4A. Adapted QUADAS-2 domains and task-specific considerations</w:t>
      </w:r>
    </w:p>
    <w:tbl>
      <w:tblPr>
        <w:tblStyle w:val="TableGrid"/>
        <w:tblW w:type="auto" w:w="0"/>
        <w:jc w:val="center"/>
        <w:tblLook w:firstColumn="1" w:firstRow="1" w:lastColumn="0" w:lastRow="0" w:noHBand="0" w:noVBand="1" w:val="04A0"/>
      </w:tblPr>
      <w:tblGrid>
        <w:gridCol w:w="4848"/>
        <w:gridCol w:w="4848"/>
        <w:gridCol w:w="4848"/>
      </w:tblGrid>
      <w:tr>
        <w:tc>
          <w:tcPr>
            <w:tcW w:type="dxa" w:w="4848"/>
          </w:tcPr>
          <w:p>
            <w:r>
              <w:rPr>
                <w:rFonts w:ascii="Times New Roman" w:hAnsi="Times New Roman"/>
                <w:sz w:val="14"/>
              </w:rPr>
              <w:t>QUADAS-2 domain</w:t>
            </w:r>
          </w:p>
        </w:tc>
        <w:tc>
          <w:tcPr>
            <w:tcW w:type="dxa" w:w="4848"/>
          </w:tcPr>
          <w:p>
            <w:r>
              <w:rPr>
                <w:rFonts w:ascii="Times New Roman" w:hAnsi="Times New Roman"/>
                <w:sz w:val="14"/>
              </w:rPr>
              <w:t>Adaptation for AI radiographic model studies</w:t>
            </w:r>
          </w:p>
        </w:tc>
        <w:tc>
          <w:tcPr>
            <w:tcW w:type="dxa" w:w="4848"/>
          </w:tcPr>
          <w:p>
            <w:r>
              <w:rPr>
                <w:rFonts w:ascii="Times New Roman" w:hAnsi="Times New Roman"/>
                <w:sz w:val="14"/>
              </w:rPr>
              <w:t>Signaling considerations used in this review</w:t>
            </w:r>
          </w:p>
        </w:tc>
      </w:tr>
      <w:tr>
        <w:tc>
          <w:tcPr>
            <w:tcW w:type="dxa" w:w="4848"/>
          </w:tcPr>
          <w:p>
            <w:r>
              <w:rPr>
                <w:rFonts w:ascii="Times New Roman" w:hAnsi="Times New Roman"/>
                <w:sz w:val="14"/>
              </w:rPr>
              <w:t>Patient selection</w:t>
            </w:r>
          </w:p>
        </w:tc>
        <w:tc>
          <w:tcPr>
            <w:tcW w:type="dxa" w:w="4848"/>
          </w:tcPr>
          <w:p>
            <w:r>
              <w:rPr>
                <w:rFonts w:ascii="Times New Roman" w:hAnsi="Times New Roman"/>
                <w:sz w:val="14"/>
              </w:rPr>
              <w:t>The domain was applied to the source and sampling of patients, images, implants, implant sites, or regions of interest, depending on the study unit.</w:t>
            </w:r>
          </w:p>
        </w:tc>
        <w:tc>
          <w:tcPr>
            <w:tcW w:type="dxa" w:w="4848"/>
          </w:tcPr>
          <w:p>
            <w:r>
              <w:rPr>
                <w:rFonts w:ascii="Times New Roman" w:hAnsi="Times New Roman"/>
                <w:sz w:val="14"/>
              </w:rPr>
              <w:t>Was the patient/image source described? Was sampling consecutive, random, or otherwise clearly specified? Were inclusion and exclusion criteria stated? Was the study population representative of clinical peri-implant radiographic assessment?</w:t>
            </w:r>
          </w:p>
        </w:tc>
      </w:tr>
      <w:tr>
        <w:tc>
          <w:tcPr>
            <w:tcW w:type="dxa" w:w="4848"/>
          </w:tcPr>
          <w:p>
            <w:r>
              <w:rPr>
                <w:rFonts w:ascii="Times New Roman" w:hAnsi="Times New Roman"/>
                <w:sz w:val="14"/>
              </w:rPr>
              <w:t>Index test</w:t>
            </w:r>
          </w:p>
        </w:tc>
        <w:tc>
          <w:tcPr>
            <w:tcW w:type="dxa" w:w="4848"/>
          </w:tcPr>
          <w:p>
            <w:r>
              <w:rPr>
                <w:rFonts w:ascii="Times New Roman" w:hAnsi="Times New Roman"/>
                <w:sz w:val="14"/>
              </w:rPr>
              <w:t>The “index test” was defined as the AI model or AI-assisted pipeline evaluated on the test set. This included detection, classification, segmentation, measurement, keypoint localization, severity grading, and cascade workflows.</w:t>
            </w:r>
          </w:p>
        </w:tc>
        <w:tc>
          <w:tcPr>
            <w:tcW w:type="dxa" w:w="4848"/>
          </w:tcPr>
          <w:p>
            <w:r>
              <w:rPr>
                <w:rFonts w:ascii="Times New Roman" w:hAnsi="Times New Roman"/>
                <w:sz w:val="14"/>
              </w:rPr>
              <w:t>Was the model architecture or pipeline described? Were input images and preprocessing reported? Was the test set separated from training and validation data? Were thresholds, decision rules, or model-selection procedures adequately described? Was interpretation independent of the reference standard?</w:t>
            </w:r>
          </w:p>
        </w:tc>
      </w:tr>
      <w:tr>
        <w:tc>
          <w:tcPr>
            <w:tcW w:type="dxa" w:w="4848"/>
          </w:tcPr>
          <w:p>
            <w:r>
              <w:rPr>
                <w:rFonts w:ascii="Times New Roman" w:hAnsi="Times New Roman"/>
                <w:sz w:val="14"/>
              </w:rPr>
              <w:t>Reference standard</w:t>
            </w:r>
          </w:p>
        </w:tc>
        <w:tc>
          <w:tcPr>
            <w:tcW w:type="dxa" w:w="4848"/>
          </w:tcPr>
          <w:p>
            <w:r>
              <w:rPr>
                <w:rFonts w:ascii="Times New Roman" w:hAnsi="Times New Roman"/>
                <w:sz w:val="14"/>
              </w:rPr>
              <w:t>The reference standard was adapted to the target task and could include expert annotation, manual radiographic measurement, clinical-radiographic labels, peri-implantitis labels, landmark labels, segmentation masks, or severity categories.</w:t>
            </w:r>
          </w:p>
        </w:tc>
        <w:tc>
          <w:tcPr>
            <w:tcW w:type="dxa" w:w="4848"/>
          </w:tcPr>
          <w:p>
            <w:r>
              <w:rPr>
                <w:rFonts w:ascii="Times New Roman" w:hAnsi="Times New Roman"/>
                <w:sz w:val="14"/>
              </w:rPr>
              <w:t>Was the reference standard clearly defined for the target task? Were annotators or experts described? Was annotation or measurement consensus reported? Were severity or grading criteria sufficiently specified? Was the reference standard likely to classify the target condition or measurement accurately?</w:t>
            </w:r>
          </w:p>
        </w:tc>
      </w:tr>
      <w:tr>
        <w:tc>
          <w:tcPr>
            <w:tcW w:type="dxa" w:w="4848"/>
          </w:tcPr>
          <w:p>
            <w:r>
              <w:rPr>
                <w:rFonts w:ascii="Times New Roman" w:hAnsi="Times New Roman"/>
                <w:sz w:val="14"/>
              </w:rPr>
              <w:t>Flow and timing</w:t>
            </w:r>
          </w:p>
        </w:tc>
        <w:tc>
          <w:tcPr>
            <w:tcW w:type="dxa" w:w="4848"/>
          </w:tcPr>
          <w:p>
            <w:r>
              <w:rPr>
                <w:rFonts w:ascii="Times New Roman" w:hAnsi="Times New Roman"/>
                <w:sz w:val="14"/>
              </w:rPr>
              <w:t>This domain focused on completeness and separation of datasets, applicability of the same reference standard, exclusions after sampling, and potential data leakage across training, validation, and test sets.</w:t>
            </w:r>
          </w:p>
        </w:tc>
        <w:tc>
          <w:tcPr>
            <w:tcW w:type="dxa" w:w="4848"/>
          </w:tcPr>
          <w:p>
            <w:r>
              <w:rPr>
                <w:rFonts w:ascii="Times New Roman" w:hAnsi="Times New Roman"/>
                <w:sz w:val="14"/>
              </w:rPr>
              <w:t>Were all eligible samples included in analysis or were exclusions explained? Was the same reference standard used across samples? Were training, validation, and test sets clearly separated? For studies with multiple images, implants, or sites per patient, was patient-level separation explicitly reported?</w:t>
            </w:r>
          </w:p>
        </w:tc>
      </w:tr>
    </w:tbl>
    <w:p/>
    <w:p>
      <w:pPr>
        <w:pStyle w:val="Heading1"/>
      </w:pPr>
      <w:r>
        <w:t>Supplementary Table 4B. Domain-level QUADAS-2 assessment of included studies</w:t>
      </w:r>
    </w:p>
    <w:tbl>
      <w:tblPr>
        <w:tblStyle w:val="TableGrid"/>
        <w:tblW w:type="auto" w:w="0"/>
        <w:jc w:val="center"/>
        <w:tblLook w:firstColumn="1" w:firstRow="1" w:lastColumn="0" w:lastRow="0" w:noHBand="0" w:noVBand="1" w:val="04A0"/>
      </w:tblPr>
      <w:tblGrid>
        <w:gridCol w:w="2424"/>
        <w:gridCol w:w="2424"/>
        <w:gridCol w:w="2424"/>
        <w:gridCol w:w="2424"/>
        <w:gridCol w:w="2424"/>
        <w:gridCol w:w="2424"/>
      </w:tblGrid>
      <w:tr>
        <w:tc>
          <w:tcPr>
            <w:tcW w:type="dxa" w:w="2424"/>
          </w:tcPr>
          <w:p>
            <w:r>
              <w:rPr>
                <w:rFonts w:ascii="Times New Roman" w:hAnsi="Times New Roman"/>
                <w:sz w:val="14"/>
              </w:rPr>
              <w:t>Study</w:t>
            </w:r>
          </w:p>
        </w:tc>
        <w:tc>
          <w:tcPr>
            <w:tcW w:type="dxa" w:w="2424"/>
          </w:tcPr>
          <w:p>
            <w:r>
              <w:rPr>
                <w:rFonts w:ascii="Times New Roman" w:hAnsi="Times New Roman"/>
                <w:sz w:val="14"/>
              </w:rPr>
              <w:t>Patient selection</w:t>
            </w:r>
          </w:p>
        </w:tc>
        <w:tc>
          <w:tcPr>
            <w:tcW w:type="dxa" w:w="2424"/>
          </w:tcPr>
          <w:p>
            <w:r>
              <w:rPr>
                <w:rFonts w:ascii="Times New Roman" w:hAnsi="Times New Roman"/>
                <w:sz w:val="14"/>
              </w:rPr>
              <w:t>Index test</w:t>
            </w:r>
          </w:p>
        </w:tc>
        <w:tc>
          <w:tcPr>
            <w:tcW w:type="dxa" w:w="2424"/>
          </w:tcPr>
          <w:p>
            <w:r>
              <w:rPr>
                <w:rFonts w:ascii="Times New Roman" w:hAnsi="Times New Roman"/>
                <w:sz w:val="14"/>
              </w:rPr>
              <w:t>Reference standard</w:t>
            </w:r>
          </w:p>
        </w:tc>
        <w:tc>
          <w:tcPr>
            <w:tcW w:type="dxa" w:w="2424"/>
          </w:tcPr>
          <w:p>
            <w:r>
              <w:rPr>
                <w:rFonts w:ascii="Times New Roman" w:hAnsi="Times New Roman"/>
                <w:sz w:val="14"/>
              </w:rPr>
              <w:t>Flow and timing</w:t>
            </w:r>
          </w:p>
        </w:tc>
        <w:tc>
          <w:tcPr>
            <w:tcW w:type="dxa" w:w="2424"/>
          </w:tcPr>
          <w:p>
            <w:r>
              <w:rPr>
                <w:rFonts w:ascii="Times New Roman" w:hAnsi="Times New Roman"/>
                <w:sz w:val="14"/>
              </w:rPr>
              <w:t>Main concerns</w:t>
            </w:r>
          </w:p>
        </w:tc>
      </w:tr>
      <w:tr>
        <w:tc>
          <w:tcPr>
            <w:tcW w:type="dxa" w:w="2424"/>
          </w:tcPr>
          <w:p>
            <w:r>
              <w:rPr>
                <w:rFonts w:ascii="Times New Roman" w:hAnsi="Times New Roman"/>
                <w:sz w:val="14"/>
              </w:rPr>
              <w:t>Cha 2021</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Consecutive sampling and patient-level splitting were not clearly reported; reference-standard details were incompletely described.</w:t>
            </w:r>
          </w:p>
        </w:tc>
      </w:tr>
      <w:tr>
        <w:tc>
          <w:tcPr>
            <w:tcW w:type="dxa" w:w="2424"/>
          </w:tcPr>
          <w:p>
            <w:r>
              <w:rPr>
                <w:rFonts w:ascii="Times New Roman" w:hAnsi="Times New Roman"/>
                <w:sz w:val="14"/>
              </w:rPr>
              <w:t>Liu 2022</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Sampling procedure and patient-level splitting were unclear; reference standard was not fully described.</w:t>
            </w:r>
          </w:p>
        </w:tc>
      </w:tr>
      <w:tr>
        <w:tc>
          <w:tcPr>
            <w:tcW w:type="dxa" w:w="2424"/>
          </w:tcPr>
          <w:p>
            <w:r>
              <w:rPr>
                <w:rFonts w:ascii="Times New Roman" w:hAnsi="Times New Roman"/>
                <w:sz w:val="14"/>
              </w:rPr>
              <w:t>Chen 2023</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ROI-based classification and patient-level independence were incompletely described.</w:t>
            </w:r>
          </w:p>
        </w:tc>
      </w:tr>
      <w:tr>
        <w:tc>
          <w:tcPr>
            <w:tcW w:type="dxa" w:w="2424"/>
          </w:tcPr>
          <w:p>
            <w:r>
              <w:rPr>
                <w:rFonts w:ascii="Times New Roman" w:hAnsi="Times New Roman"/>
                <w:sz w:val="14"/>
              </w:rPr>
              <w:t>Vera 2023</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Dentist-derived measurements were used, but patient-level splitting and flow were unclear.</w:t>
            </w:r>
          </w:p>
        </w:tc>
      </w:tr>
      <w:tr>
        <w:tc>
          <w:tcPr>
            <w:tcW w:type="dxa" w:w="2424"/>
          </w:tcPr>
          <w:p>
            <w:r>
              <w:rPr>
                <w:rFonts w:ascii="Times New Roman" w:hAnsi="Times New Roman"/>
                <w:sz w:val="14"/>
              </w:rPr>
              <w:t>Lee WF 2024</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Sampling and patient-level splitting were unclear; reference labels were study-specific.</w:t>
            </w:r>
          </w:p>
        </w:tc>
      </w:tr>
      <w:tr>
        <w:tc>
          <w:tcPr>
            <w:tcW w:type="dxa" w:w="2424"/>
          </w:tcPr>
          <w:p>
            <w:r>
              <w:rPr>
                <w:rFonts w:ascii="Times New Roman" w:hAnsi="Times New Roman"/>
                <w:sz w:val="14"/>
              </w:rPr>
              <w:t>Kibcak 2025</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Patient/image sampling and patient-level separation were not clearly reported.</w:t>
            </w:r>
          </w:p>
        </w:tc>
      </w:tr>
      <w:tr>
        <w:tc>
          <w:tcPr>
            <w:tcW w:type="dxa" w:w="2424"/>
          </w:tcPr>
          <w:p>
            <w:r>
              <w:rPr>
                <w:rFonts w:ascii="Times New Roman" w:hAnsi="Times New Roman"/>
                <w:sz w:val="14"/>
              </w:rPr>
              <w:t>Lee JH 2025</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Severity labels were surgeon-derived but patient-level independence was unclear.</w:t>
            </w:r>
          </w:p>
        </w:tc>
      </w:tr>
      <w:tr>
        <w:tc>
          <w:tcPr>
            <w:tcW w:type="dxa" w:w="2424"/>
          </w:tcPr>
          <w:p>
            <w:r>
              <w:rPr>
                <w:rFonts w:ascii="Times New Roman" w:hAnsi="Times New Roman"/>
                <w:sz w:val="14"/>
              </w:rPr>
              <w:t>Mao 2025</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Sampling, grading reference, and patient-level splitting were incompletely reported.</w:t>
            </w:r>
          </w:p>
        </w:tc>
      </w:tr>
      <w:tr>
        <w:tc>
          <w:tcPr>
            <w:tcW w:type="dxa" w:w="2424"/>
          </w:tcPr>
          <w:p>
            <w:r>
              <w:rPr>
                <w:rFonts w:ascii="Times New Roman" w:hAnsi="Times New Roman"/>
                <w:sz w:val="14"/>
              </w:rPr>
              <w:t>Madani 2026</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CBCT-based grading was used, but sampling and patient-level separation were unclear.</w:t>
            </w:r>
          </w:p>
        </w:tc>
      </w:tr>
      <w:tr>
        <w:tc>
          <w:tcPr>
            <w:tcW w:type="dxa" w:w="2424"/>
          </w:tcPr>
          <w:p>
            <w:r>
              <w:rPr>
                <w:rFonts w:ascii="Times New Roman" w:hAnsi="Times New Roman"/>
                <w:sz w:val="14"/>
              </w:rPr>
              <w:t>Efeoglu 2026</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Patient-level split was reported; patient selection and reference standard remained partly unclear.</w:t>
            </w:r>
          </w:p>
        </w:tc>
      </w:tr>
      <w:tr>
        <w:tc>
          <w:tcPr>
            <w:tcW w:type="dxa" w:w="2424"/>
          </w:tcPr>
          <w:p>
            <w:r>
              <w:rPr>
                <w:rFonts w:ascii="Times New Roman" w:hAnsi="Times New Roman"/>
                <w:sz w:val="14"/>
              </w:rPr>
              <w:t>Gao 2025</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Keypoint reference was expert-derived, but sampling and patient-level separation were unclear.</w:t>
            </w:r>
          </w:p>
        </w:tc>
      </w:tr>
      <w:tr>
        <w:tc>
          <w:tcPr>
            <w:tcW w:type="dxa" w:w="2424"/>
          </w:tcPr>
          <w:p>
            <w:r>
              <w:rPr>
                <w:rFonts w:ascii="Times New Roman" w:hAnsi="Times New Roman"/>
                <w:sz w:val="14"/>
              </w:rPr>
              <w:t>Adnan 2026</w:t>
            </w:r>
          </w:p>
        </w:tc>
        <w:tc>
          <w:tcPr>
            <w:tcW w:type="dxa" w:w="2424"/>
          </w:tcPr>
          <w:p>
            <w:r>
              <w:rPr>
                <w:rFonts w:ascii="Times New Roman" w:hAnsi="Times New Roman"/>
                <w:sz w:val="14"/>
              </w:rPr>
              <w:t>Unclear</w:t>
            </w:r>
          </w:p>
        </w:tc>
        <w:tc>
          <w:tcPr>
            <w:tcW w:type="dxa" w:w="2424"/>
          </w:tcPr>
          <w:p>
            <w:r>
              <w:rPr>
                <w:rFonts w:ascii="Times New Roman" w:hAnsi="Times New Roman"/>
                <w:sz w:val="14"/>
              </w:rPr>
              <w:t>Low</w:t>
            </w:r>
          </w:p>
        </w:tc>
        <w:tc>
          <w:tcPr>
            <w:tcW w:type="dxa" w:w="2424"/>
          </w:tcPr>
          <w:p>
            <w:r>
              <w:rPr>
                <w:rFonts w:ascii="Times New Roman" w:hAnsi="Times New Roman"/>
                <w:sz w:val="14"/>
              </w:rPr>
              <w:t>Unclear</w:t>
            </w:r>
          </w:p>
        </w:tc>
        <w:tc>
          <w:tcPr>
            <w:tcW w:type="dxa" w:w="2424"/>
          </w:tcPr>
          <w:p>
            <w:r>
              <w:rPr>
                <w:rFonts w:ascii="Times New Roman" w:hAnsi="Times New Roman"/>
                <w:sz w:val="14"/>
              </w:rPr>
              <w:t>Unclear</w:t>
            </w:r>
          </w:p>
        </w:tc>
        <w:tc>
          <w:tcPr>
            <w:tcW w:type="dxa" w:w="2424"/>
          </w:tcPr>
          <w:p>
            <w:r>
              <w:rPr>
                <w:rFonts w:ascii="Times New Roman" w:hAnsi="Times New Roman"/>
                <w:sz w:val="14"/>
              </w:rPr>
              <w:t>Multiple task-specific references were used; patient-level independence and flow were incompletely reported.</w:t>
            </w:r>
          </w:p>
        </w:tc>
      </w:tr>
    </w:tbl>
    <w:p>
      <w:r>
        <w:t>Note: “Low,” “Unclear,” and “High” refer to risk-of-bias judgments within each adapted QUADAS-2 domain. “Unclear” was assigned when reporting did not provide enough information to judge the domain confidently. Patient-level separation was considered under flow and timing because multiple images, implants, or sites could originate from the same patient.</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