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PRISMA 2020 Checklist</w:t>
      </w:r>
    </w:p>
    <w:p>
      <w:r>
        <w:rPr>
          <w:rFonts w:ascii="Arial" w:hAnsi="Arial"/>
          <w:sz w:val="18"/>
        </w:rPr>
        <w:t>Checklist prepared for the manuscript: Artificial intelligence for radiographic assessment of peri-implant marginal bone loss: a systematic review and meta-analysis of model performance.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rPr>
          <w:tblHeader w:val="true"/>
        </w:trPr>
        <w:tc>
          <w:tcPr>
            <w:tcW w:type="dxa" w:w="305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5"/>
              </w:rPr>
              <w:t>Section/topic</w:t>
            </w:r>
          </w:p>
        </w:tc>
        <w:tc>
          <w:tcPr>
            <w:tcW w:type="dxa" w:w="305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5"/>
              </w:rPr>
              <w:t>Item</w:t>
            </w:r>
          </w:p>
        </w:tc>
        <w:tc>
          <w:tcPr>
            <w:tcW w:type="dxa" w:w="305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5"/>
              </w:rPr>
              <w:t>Checklist item</w:t>
            </w:r>
          </w:p>
        </w:tc>
        <w:tc>
          <w:tcPr>
            <w:tcW w:type="dxa" w:w="305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5"/>
              </w:rPr>
              <w:t>Location in manuscript</w:t>
            </w:r>
          </w:p>
        </w:tc>
        <w:tc>
          <w:tcPr>
            <w:tcW w:type="dxa" w:w="305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5"/>
              </w:rPr>
              <w:t>Comments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Title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Identify the report as a systematic review.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Title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Title states systematic review and meta-analysis.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Abstract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Provide a structured summary.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Abstract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Structured Background, Methods, Results, Conclusions.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Introduction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3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the rationale for the review.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Introduction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Introduction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4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State the objectives or questions.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End of Introduction; Section 2.2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Specify eligibility criteria.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2.3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Specify all information sources and search date.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2.4; Supplementary Table 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Final search date: 25 May 2026.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7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Present full search strategies.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Supplementary Table 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8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record selection process.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2.5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data collection process.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2.6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10a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List and define outcomes.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2.7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10b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List and define other variables sought.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2.6; Tables 1-4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risk-of-bias assessment.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2.8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Adapted QUADAS-2 plus AI-specific clinical-readiness features.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12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Specify effect measures.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Sections 2.7 and 2.9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Single-proportion performance metrics.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13a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processes used to decide which studies were eligible for each synthesis.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Sections 2.7 and 2.9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13b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data preparation for synthesis.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Logit transformation, event count approximation, SE derivation.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13c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tabulation or visual display methods.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2.9; Tables 1-4; Figs. 1-4; Supplementary Fig. 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13d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synthesis methods.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Random-effects single-proportion meta-analysis.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13e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methods to explore heterogeneity.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I² statistic; narrative interpretation by task category.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13f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sensitivity analyses.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Formal sensitivity analyses not performed because each synthesis included few studies.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14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reporting-bias assessment.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Publication bias not formally assessed because fewer than 10 studies were included per meta-analysis.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Methods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15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certainty assessment.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2.8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No formal GRADE assessment; risk of bias and clinical readiness assessed.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16a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results of search and selection process.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3.1; Fig. 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16b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Cite studies that appeared to meet criteria but were excluded and explain why.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Supplementary Table 2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17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Cite each included study and present characteristics.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3.2; Table 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18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Present risk-of-bias assessments.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3.8; Table 4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Risk-of-bias narrative and clinical-readiness features.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19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Present results of individual studies.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Sections 3.4-3.7; Table 3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20a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Summarize characteristics and risk of bias among contributing studies for each synthesis.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Sections 3.4-3.8; Tables 3-4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20b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Present results of all statistical syntheses.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Sections 3.4-3.5; Figs. 2-4; Supplementary Fig. 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20c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Present results of investigations of heterogeneity.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Sections 3.4-3.5; Figs. 2-4; Supplementary Fig. 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I² reported for each pooled outcome.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20d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Present sensitivity analyses.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Not applicable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Not performed because the number of studies per synthesis was small.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Present reporting-bias assessments.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2.9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Not formally assessed for small meta-analyses.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Results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22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Present certainty assessments.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3.8; Discussion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Formal certainty grading was not performed.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23a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Provide general interpretation of results.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23b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 limitations of included evidence.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23c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 limitations of review process.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23d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 implications.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Discussion; Conclusions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Other information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24a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Provide registration information.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Protocol was not prospectively registered.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Other information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24b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Indicate where protocol can be accessed.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Not applicable.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Other information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24c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amendments to protocol.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Section 2.1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Not applicable; decisions during data handling described.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Other information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25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Describe support and role of funders.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Declarations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To be completed in title page/submission system.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Other information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26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Declare competing interests.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Declarations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To be completed in title page/submission system.</w:t>
            </w:r>
          </w:p>
        </w:tc>
      </w:tr>
      <w:tr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Other information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27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Report availability of data, code, and materials.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Declarations; Supplementary files</w:t>
            </w:r>
          </w:p>
        </w:tc>
        <w:tc>
          <w:tcPr>
            <w:tcW w:type="dxa" w:w="305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Search strategies, excluded reports, and supplementary figure provided.</w:t>
            </w:r>
          </w:p>
        </w:tc>
      </w:tr>
    </w:tbl>
    <w:sectPr w:rsidR="00FC693F" w:rsidRPr="0006063C" w:rsidSect="00034616">
      <w:pgSz w:w="16834" w:h="11909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