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Times New Roman" w:cs="Times New Roman" w:eastAsia="Times New Roman" w:hAnsi="Times New Roman"/>
          <w:b/>
          <w:bCs/>
          <w:sz w:val="24"/>
          <w:szCs w:val="24"/>
        </w:rPr>
        <w:t xml:space="preserve">Supplementary Table S2. Reports excluded at the full-text stage, with reasons (n = 22)</w:t>
      </w:r>
    </w:p>
    <w:p>
      <w:pPr>
        <w:spacing w:after="160" w:before="0"/>
      </w:pPr>
      <w:r>
        <w:rPr>
          <w:rFonts w:ascii="Times New Roman" w:cs="Times New Roman" w:eastAsia="Times New Roman" w:hAnsi="Times New Roman"/>
          <w:i/>
          <w:iCs/>
          <w:sz w:val="20"/>
          <w:szCs w:val="20"/>
        </w:rPr>
        <w:t xml:space="preserve">Host genetic and immunological factors associated with root canal treatment outcomes: a systematic review</w:t>
      </w:r>
    </w:p>
    <w:tbl>
      <w:tblPr>
        <w:tblW w:type="dxa" w:w="14376"/>
        <w:tblBorders>
          <w:top w:val="single" w:color="auto" w:sz="4"/>
          <w:left w:val="single" w:color="auto" w:sz="4"/>
          <w:bottom w:val="single" w:color="auto" w:sz="4"/>
          <w:right w:val="single" w:color="auto" w:sz="4"/>
          <w:insideH w:val="single" w:color="auto" w:sz="4"/>
          <w:insideV w:val="single" w:color="auto" w:sz="4"/>
        </w:tblBorders>
      </w:tblPr>
      <w:tblGrid>
        <w:gridCol w:w="500"/>
        <w:gridCol w:w="6576"/>
        <w:gridCol w:w="2200"/>
        <w:gridCol w:w="5100"/>
      </w:tblGrid>
      <w:tr>
        <w:trPr>
          <w:tblHeader/>
        </w:trPr>
        <w:tc>
          <w:tcPr>
            <w:tcW w:type="dxa" w:w="500"/>
            <w:shd w:fill="D9D9D9" w:color="auto" w:val="clear"/>
            <w:tcMar>
              <w:top w:type="dxa" w:w="50"/>
              <w:left w:type="dxa" w:w="80"/>
              <w:bottom w:type="dxa" w:w="50"/>
              <w:right w:type="dxa" w:w="80"/>
            </w:tcMar>
          </w:tcPr>
          <w:p>
            <w:pPr>
              <w:spacing w:after="0"/>
            </w:pPr>
            <w:r>
              <w:rPr>
                <w:rFonts w:ascii="Times New Roman" w:cs="Times New Roman" w:eastAsia="Times New Roman" w:hAnsi="Times New Roman"/>
                <w:b/>
                <w:bCs/>
                <w:sz w:val="18"/>
                <w:szCs w:val="18"/>
              </w:rPr>
              <w:t xml:space="preserve">No.</w:t>
            </w:r>
          </w:p>
        </w:tc>
        <w:tc>
          <w:tcPr>
            <w:tcW w:type="dxa" w:w="6576"/>
            <w:shd w:fill="D9D9D9" w:color="auto" w:val="clear"/>
            <w:tcMar>
              <w:top w:type="dxa" w:w="50"/>
              <w:left w:type="dxa" w:w="80"/>
              <w:bottom w:type="dxa" w:w="50"/>
              <w:right w:type="dxa" w:w="80"/>
            </w:tcMar>
          </w:tcPr>
          <w:p>
            <w:pPr>
              <w:spacing w:after="0"/>
            </w:pPr>
            <w:r>
              <w:rPr>
                <w:rFonts w:ascii="Times New Roman" w:cs="Times New Roman" w:eastAsia="Times New Roman" w:hAnsi="Times New Roman"/>
                <w:b/>
                <w:bCs/>
                <w:sz w:val="18"/>
                <w:szCs w:val="18"/>
              </w:rPr>
              <w:t xml:space="preserve">Reference</w:t>
            </w:r>
          </w:p>
        </w:tc>
        <w:tc>
          <w:tcPr>
            <w:tcW w:type="dxa" w:w="2200"/>
            <w:shd w:fill="D9D9D9" w:color="auto" w:val="clear"/>
            <w:tcMar>
              <w:top w:type="dxa" w:w="50"/>
              <w:left w:type="dxa" w:w="80"/>
              <w:bottom w:type="dxa" w:w="50"/>
              <w:right w:type="dxa" w:w="80"/>
            </w:tcMar>
          </w:tcPr>
          <w:p>
            <w:pPr>
              <w:spacing w:after="0"/>
            </w:pPr>
            <w:r>
              <w:rPr>
                <w:rFonts w:ascii="Times New Roman" w:cs="Times New Roman" w:eastAsia="Times New Roman" w:hAnsi="Times New Roman"/>
                <w:b/>
                <w:bCs/>
                <w:sz w:val="18"/>
                <w:szCs w:val="18"/>
              </w:rPr>
              <w:t xml:space="preserve">Category</w:t>
            </w:r>
          </w:p>
        </w:tc>
        <w:tc>
          <w:tcPr>
            <w:tcW w:type="dxa" w:w="5100"/>
            <w:shd w:fill="D9D9D9" w:color="auto" w:val="clear"/>
            <w:tcMar>
              <w:top w:type="dxa" w:w="50"/>
              <w:left w:type="dxa" w:w="80"/>
              <w:bottom w:type="dxa" w:w="50"/>
              <w:right w:type="dxa" w:w="80"/>
            </w:tcMar>
          </w:tcPr>
          <w:p>
            <w:pPr>
              <w:spacing w:after="0"/>
            </w:pPr>
            <w:r>
              <w:rPr>
                <w:rFonts w:ascii="Times New Roman" w:cs="Times New Roman" w:eastAsia="Times New Roman" w:hAnsi="Times New Roman"/>
                <w:b/>
                <w:bCs/>
                <w:sz w:val="18"/>
                <w:szCs w:val="18"/>
              </w:rPr>
              <w:t xml:space="preserve">Reason for exclusion</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1</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Amaya MP, Criado L, Blanco B, Gómez M, Torres O, Flórez L, et al. Polymorphisms of pro-inflammatory cytokine genes and the risk for acute suppurative or chronic nonsuppurative apical periodontitis in a Colombian population. International Endodontic Journal. 2013;46(1):71-8.</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No outcome of completed root canal treatment</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Genetic polymorphisms were related to the development or type of apical periodontitis, not to an outcome after completed root canal treatment.</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2</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Santos RT, Lima LP, Muniz MT, Álvares PR, Silveira MM, Sobral AP. Genetic polymorphism of interleukins 6 and 17 correlated with apical periodontitis: a cross-sectional study. Brazilian Dental Journal. 2023;34(5):22-8.</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No outcome of completed root canal treatment</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Examined IL-6/IL-17 polymorphisms in patients with existing apical lesions and lesion size; no predefined outcome after root canal treatment was assessed.</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3</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Kokkas AB, Goulas A, Varsamidis K, Mirtsou V, Tziafas D. Irreversible but not reversible pulpitis is associated with up-regulation of tumour necrosis factor-alpha gene expression in human pulp. International Endodontic Journal. 2007;40(3):198-203.</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No outcome of completed root canal treatment</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Examined TNF-α gene expression in normal, reversibly inflamed and irreversibly inflamed pulp tissue.</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4</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Galicia JC, Henson BR, Parker JS, Khan AA. Gene expression profile of pulpitis. Genes &amp; Immunity. 2016;17(4):239-43.</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No outcome of completed root canal treatment</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Examined gene-expression profiles in inflamed and normal pulp; patients were not evaluated for outcomes after root canal treatment.</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5</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Brekalo Pršo I, Kocjan W, Šimić H, Brumini G, Pezelj-Ribarić S, Borčić J, et al. Tumor necrosis factor-alpha and interleukin 6 in human periapical lesions. Mediators of Inflammation. 2007;2007:038210.</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No outcome of completed root canal treatment</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Cytokine concentrations were measured in surgically obtained periapical lesions; no outcome after root canal treatment.</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6</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de Brito LC, Teles FR, Teles RP, Totola AH, Vieira LQ, Sobrinho AP. T-lymphocyte and cytokine expression in human inflammatory periapical lesions. Journal of Endodontics. 2012;38(4):481-5.</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No outcome of completed root canal treatment</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Examined local immune and cytokine expression during root canal infection rather than host immune status as a predictor of a clinical outcome of root canal treatment.</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7</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Faustino IS, Azevedo RS, Takahama A Jr. Metalloproteinases 2 and 9 immunoexpression in periapical lesions from primary endodontic infection: possible relationship with the histopathological diagnosis and the presence of pain. Journal of Endodontics. 2016;42(4):547-51.</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No outcome of completed root canal treatment</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MMP-2/MMP-9 were evaluated in lesions from primary endodontic infection; pain related to the diseased teeth rather than to postoperative pain after root canal treatment.</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8</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Logan HL, Lutgendorf S, Kirchner HL, Rivera EM, Lubaroff D. Pain and immunologic response to root canal treatment and subsequent health outcomes. Psychosomatic Medicine. 2001;63(3):453-62.</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Immune response assessed as a consequence of treatment</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Natural killer cell cytotoxicity was measured as a response to root canal treatment rather than as a host factor preceding the outcome; the main outcome was systemic illness symptoms. Excluded on re-assessment during revision.</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9</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Lukić A, Vojvodic D, Majstorović I, Čolić M. Production of interleukin-8 in vitro by mononuclear cells isolated from human periapical lesions. Oral Microbiology and Immunology. 2006;21(5):296-300.</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Ex vivo or in vitro study</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Immune cells from periapical lesions were cultured and IL-8 production measured; no outcome of root canal treatment.</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10</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Džopalić T, Tomić S, Bekić M, Vučević D, Mihajlović D, Eraković M, et al. Ex vivo study of IL-6 expression and function in immune cell subsets from human periapical lesions. International Endodontic Journal. 2022;55(5):480-94.</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Ex vivo or in vitro study</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Immune cells from periapical lesions were cultured and stimulated experimentally; baseline host immune status was not related to a clinical outcome.</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11</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Marinho AC, Martinho FC, Leite FR, Nascimento GG, Gomes BP. Proinflammatory activity of primarily infected endodontic content against macrophages after different phases of the root canal therapy. Journal of Endodontics. 2015;41(6):817-23.</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Ex vivo or in vitro study</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The macrophage response to root canal contents was measured ex vivo; no clinical outcome of root canal treatment was reported. Excluded on re-assessment during revision.</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12</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Ribeiro Sobrinho AP, de Melo Maltos SM, Farias LM, de Carvalho MA, Nicoli JR, de Uzeda M, et al. Cytokine production in response to endodontic infection in germ-free mice. Oral Microbiology and Immunology. 2002;17(6):344-53.</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Animal study</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Germ-free mice experimentally infected with endodontic microorganisms.</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13</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Silva MJ, Kajiya M, AlShwaimi E, Sasaki H, Hong J, Ok P, et al. Bacteria-reactive immune response may induce RANKL-expressing T cells in the mouse periapical bone loss lesion. Journal of Endodontics. 2012;38(3):346-50.</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Animal study</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Mouse model of experimentally induced periapical lesions with ex vivo immune-cell experiments.</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14</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Xiong H, Wei L, Peng B. The presence and involvement of interleukin-17 in apical periodontitis. International Endodontic Journal. 2019;52(8):1128-37.</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Review</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Review of human, animal and cell-culture evidence.</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15</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Azuma MM, Samuel RO, Gomes-Filho JE, Dezan-Junior E, Cintra LT. The role of IL-6 on apical periodontitis: a systematic review. International Endodontic Journal. 2014;47(7):615-21.</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Review</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Systematic review.</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16</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Wen YH, Lin YX, Zhou L, Lin C, Zhang L. The immune landscape in apical periodontitis: from mechanism to therapy. International Endodontic Journal. 2024;57(11):1526-45.</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Review</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Review of immune mechanisms and possible therapies.</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17</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Peng Y, Liu L, Li X, Song D, Huang D. B cells at the core: immune mechanisms and therapeutic potentials in periapical lesions. Journal of Endodontics. 2025;51(1):4-14.</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Review</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Review of studies on B cells and periapical lesions; not an original observational study of a treatment outcome.</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18</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Salles AG, Antunes LA, Küchler EC, Antunes LS. Association between apical periodontitis and interleukin gene polymorphisms: a systematic review and meta-analysis. Journal of Endodontics. 2018;44(3):355-62.</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Review</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Systematic review and meta-analysis.</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19</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Karataş E, Kahraman ÇY, Khan H, Yonel Z. Genetic polymorphisms and their association with endodontic postoperative pain: a systematic review. Australian Endodontic Journal. 2025;51(2):510-7.</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Review</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Systematic review.</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20</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AlRahabi MK. Predictors, prevention, and management of postoperative pain associated with nonsurgical root canal treatment: a systematic review. Journal of Taibah University Medical Sciences. 2017;12(5):376-84.</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Review</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Systematic review.</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21</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Alhilou AM. Factors reducing postoperative pain related to root canal treatment: a narrative review of systematic reviews. Dentistry Journal. 2025;13(3):102.</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Review</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Narrative review of systematic reviews.</w:t>
            </w:r>
          </w:p>
        </w:tc>
      </w:tr>
      <w:tr>
        <w:trPr>
          <w:tblHeader w:val="false"/>
        </w:trPr>
        <w:tc>
          <w:tcPr>
            <w:tcW w:type="dxa" w:w="5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22</w:t>
            </w:r>
          </w:p>
        </w:tc>
        <w:tc>
          <w:tcPr>
            <w:tcW w:type="dxa" w:w="6576"/>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Mualla SK, Al-Huwaizi HF. Biomarker-based classification of periapical tissue healing: resolution and regeneration: systematic review. European Endodontic Journal. 2026;11(6):235-44.</w:t>
            </w:r>
          </w:p>
        </w:tc>
        <w:tc>
          <w:tcPr>
            <w:tcW w:type="dxa" w:w="22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Review</w:t>
            </w:r>
          </w:p>
        </w:tc>
        <w:tc>
          <w:tcPr>
            <w:tcW w:type="dxa" w:w="5100"/>
            <w:tcMar>
              <w:top w:type="dxa" w:w="50"/>
              <w:left w:type="dxa" w:w="80"/>
              <w:bottom w:type="dxa" w:w="50"/>
              <w:right w:type="dxa" w:w="80"/>
            </w:tcMar>
          </w:tcPr>
          <w:p>
            <w:pPr>
              <w:spacing w:after="0"/>
            </w:pPr>
            <w:r>
              <w:rPr>
                <w:rFonts w:ascii="Times New Roman" w:cs="Times New Roman" w:eastAsia="Times New Roman" w:hAnsi="Times New Roman"/>
                <w:b w:val="false"/>
                <w:bCs w:val="false"/>
                <w:sz w:val="18"/>
                <w:szCs w:val="18"/>
              </w:rPr>
              <w:t xml:space="preserve">Systematic review.</w:t>
            </w:r>
          </w:p>
        </w:tc>
      </w:tr>
    </w:tbl>
    <w:p>
      <w:pPr>
        <w:spacing w:after="80" w:before="120"/>
      </w:pPr>
      <w:r>
        <w:rPr>
          <w:rFonts w:ascii="Times New Roman" w:cs="Times New Roman" w:eastAsia="Times New Roman" w:hAnsi="Times New Roman"/>
          <w:sz w:val="18"/>
          <w:szCs w:val="18"/>
        </w:rPr>
        <w:t xml:space="preserve">Categories correspond to those shown in Figure 1: no outcome of completed root canal treatment (n = 7); immune response assessed as a consequence of treatment (n = 1); ex vivo or in vitro study (n = 3); animal study (n = 2); review (n = 9).</w:t>
      </w:r>
    </w:p>
    <w:sectPr>
      <w:pgSz w:w="16838" w:h="11906" w:orient="landscape"/>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2026-10-02T10:28:43.120Z</dcterms:created>
  <dcterms:modified xsi:type="dcterms:W3CDTF">2026-10-02T10:28:43.120Z</dcterms:modified>
</cp:coreProperties>
</file>

<file path=docProps/custom.xml><?xml version="1.0" encoding="utf-8"?>
<Properties xmlns="http://schemas.openxmlformats.org/officeDocument/2006/custom-properties" xmlns:vt="http://schemas.openxmlformats.org/officeDocument/2006/docPropsVTypes"/>
</file>