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3AC9E" w14:textId="1F749A7D" w:rsidR="00ED42DA" w:rsidRPr="00497923" w:rsidRDefault="00243A35" w:rsidP="008E68C3">
      <w:pPr>
        <w:spacing w:line="480" w:lineRule="auto"/>
        <w:rPr>
          <w:rFonts w:ascii="Times New Roman" w:hAnsi="Times New Roman" w:cs="Times New Roman"/>
          <w:b/>
          <w:bCs/>
          <w:sz w:val="28"/>
          <w:szCs w:val="28"/>
        </w:rPr>
      </w:pPr>
      <w:r w:rsidRPr="00497923">
        <w:rPr>
          <w:rFonts w:ascii="Times New Roman" w:hAnsi="Times New Roman" w:cs="Times New Roman"/>
          <w:b/>
          <w:bCs/>
          <w:sz w:val="28"/>
          <w:szCs w:val="28"/>
        </w:rPr>
        <w:t>Knowledge, attitudes, and clinical use of platelet-rich fibrin and its advanced derivatives among dentists: a cross-sectional survey</w:t>
      </w:r>
    </w:p>
    <w:p w14:paraId="072469AC" w14:textId="2924E88C" w:rsidR="004B18FE" w:rsidRPr="00497923" w:rsidRDefault="004B18FE" w:rsidP="004B18FE">
      <w:pPr>
        <w:spacing w:line="480" w:lineRule="auto"/>
        <w:jc w:val="center"/>
        <w:rPr>
          <w:rFonts w:ascii="Times New Roman" w:hAnsi="Times New Roman" w:cs="Times New Roman"/>
          <w:b/>
          <w:bCs/>
          <w:sz w:val="24"/>
          <w:szCs w:val="24"/>
        </w:rPr>
      </w:pPr>
      <w:r w:rsidRPr="00497923">
        <w:rPr>
          <w:rFonts w:ascii="Times New Roman" w:hAnsi="Times New Roman" w:cs="Times New Roman"/>
          <w:b/>
          <w:bCs/>
          <w:sz w:val="24"/>
          <w:szCs w:val="24"/>
        </w:rPr>
        <w:t>Onur SAHAR, Sema KAYA</w:t>
      </w:r>
    </w:p>
    <w:p w14:paraId="1AF6A076" w14:textId="77777777" w:rsidR="004B18FE" w:rsidRPr="00497923" w:rsidRDefault="004B18FE" w:rsidP="004B18FE">
      <w:pPr>
        <w:spacing w:line="480" w:lineRule="auto"/>
        <w:jc w:val="both"/>
        <w:rPr>
          <w:rFonts w:ascii="Times New Roman" w:hAnsi="Times New Roman" w:cs="Times New Roman"/>
          <w:b/>
          <w:bCs/>
          <w:sz w:val="24"/>
          <w:szCs w:val="24"/>
        </w:rPr>
      </w:pPr>
      <w:r w:rsidRPr="00497923">
        <w:rPr>
          <w:rFonts w:ascii="Times New Roman" w:hAnsi="Times New Roman" w:cs="Times New Roman"/>
          <w:b/>
          <w:bCs/>
          <w:sz w:val="24"/>
          <w:szCs w:val="24"/>
          <w:vertAlign w:val="superscript"/>
        </w:rPr>
        <w:t>1</w:t>
      </w:r>
      <w:r w:rsidRPr="00497923">
        <w:rPr>
          <w:rFonts w:ascii="Times New Roman" w:hAnsi="Times New Roman" w:cs="Times New Roman"/>
          <w:b/>
          <w:bCs/>
          <w:sz w:val="24"/>
          <w:szCs w:val="24"/>
        </w:rPr>
        <w:t xml:space="preserve"> Onur SAHAR</w:t>
      </w:r>
    </w:p>
    <w:p w14:paraId="02769275" w14:textId="77777777" w:rsidR="004B18FE" w:rsidRPr="00497923" w:rsidRDefault="004B18FE" w:rsidP="004B18FE">
      <w:pPr>
        <w:spacing w:line="480" w:lineRule="auto"/>
        <w:jc w:val="both"/>
        <w:rPr>
          <w:rFonts w:ascii="Times New Roman" w:hAnsi="Times New Roman" w:cs="Times New Roman"/>
          <w:sz w:val="24"/>
          <w:szCs w:val="24"/>
        </w:rPr>
      </w:pPr>
      <w:r w:rsidRPr="00497923">
        <w:rPr>
          <w:rFonts w:ascii="Times New Roman" w:hAnsi="Times New Roman" w:cs="Times New Roman"/>
          <w:sz w:val="24"/>
          <w:szCs w:val="24"/>
        </w:rPr>
        <w:t xml:space="preserve">Doctor of Dental Medicine, DMD, Department of Oral and Maxillofacial Surgery, Faculty of Dentistry, Van </w:t>
      </w:r>
      <w:proofErr w:type="spellStart"/>
      <w:r w:rsidRPr="00497923">
        <w:rPr>
          <w:rFonts w:ascii="Times New Roman" w:hAnsi="Times New Roman" w:cs="Times New Roman"/>
          <w:sz w:val="24"/>
          <w:szCs w:val="24"/>
        </w:rPr>
        <w:t>Yuzuncu</w:t>
      </w:r>
      <w:proofErr w:type="spellEnd"/>
      <w:r w:rsidRPr="00497923">
        <w:rPr>
          <w:rFonts w:ascii="Times New Roman" w:hAnsi="Times New Roman" w:cs="Times New Roman"/>
          <w:sz w:val="24"/>
          <w:szCs w:val="24"/>
        </w:rPr>
        <w:t xml:space="preserve"> </w:t>
      </w:r>
      <w:proofErr w:type="spellStart"/>
      <w:r w:rsidRPr="00497923">
        <w:rPr>
          <w:rFonts w:ascii="Times New Roman" w:hAnsi="Times New Roman" w:cs="Times New Roman"/>
          <w:sz w:val="24"/>
          <w:szCs w:val="24"/>
        </w:rPr>
        <w:t>Yil</w:t>
      </w:r>
      <w:proofErr w:type="spellEnd"/>
      <w:r w:rsidRPr="00497923">
        <w:rPr>
          <w:rFonts w:ascii="Times New Roman" w:hAnsi="Times New Roman" w:cs="Times New Roman"/>
          <w:sz w:val="24"/>
          <w:szCs w:val="24"/>
        </w:rPr>
        <w:t xml:space="preserve"> University, Van, Turkey. E-mail: </w:t>
      </w:r>
      <w:hyperlink r:id="rId5" w:history="1">
        <w:r w:rsidRPr="00497923">
          <w:rPr>
            <w:rStyle w:val="Kpr"/>
            <w:rFonts w:ascii="Times New Roman" w:hAnsi="Times New Roman" w:cs="Times New Roman"/>
            <w:sz w:val="24"/>
            <w:szCs w:val="24"/>
          </w:rPr>
          <w:t>onursahar@gmail.com</w:t>
        </w:r>
      </w:hyperlink>
      <w:r w:rsidRPr="00497923">
        <w:rPr>
          <w:rFonts w:ascii="Times New Roman" w:hAnsi="Times New Roman" w:cs="Times New Roman"/>
          <w:sz w:val="24"/>
          <w:szCs w:val="24"/>
        </w:rPr>
        <w:t>. Phone Number: +90 506 785 05 72. Fax: +90 432 225 17 47. ORCID: 0009-0000-5105-5093.</w:t>
      </w:r>
    </w:p>
    <w:p w14:paraId="19DD3FD7" w14:textId="77777777" w:rsidR="004B18FE" w:rsidRPr="00497923" w:rsidRDefault="004B18FE" w:rsidP="004B18FE">
      <w:pPr>
        <w:spacing w:line="480" w:lineRule="auto"/>
        <w:jc w:val="both"/>
        <w:rPr>
          <w:rFonts w:ascii="Times New Roman" w:hAnsi="Times New Roman" w:cs="Times New Roman"/>
          <w:b/>
          <w:bCs/>
          <w:sz w:val="24"/>
          <w:szCs w:val="24"/>
        </w:rPr>
      </w:pPr>
      <w:r w:rsidRPr="00497923">
        <w:rPr>
          <w:rFonts w:ascii="Times New Roman" w:hAnsi="Times New Roman" w:cs="Times New Roman"/>
          <w:b/>
          <w:bCs/>
          <w:sz w:val="24"/>
          <w:szCs w:val="24"/>
          <w:vertAlign w:val="superscript"/>
        </w:rPr>
        <w:t>2</w:t>
      </w:r>
      <w:r w:rsidRPr="00497923">
        <w:rPr>
          <w:rFonts w:ascii="Times New Roman" w:hAnsi="Times New Roman" w:cs="Times New Roman"/>
          <w:b/>
          <w:bCs/>
          <w:sz w:val="24"/>
          <w:szCs w:val="24"/>
        </w:rPr>
        <w:t xml:space="preserve"> Sema KAYA</w:t>
      </w:r>
    </w:p>
    <w:p w14:paraId="57E6CA76" w14:textId="77777777" w:rsidR="004B18FE" w:rsidRPr="00497923" w:rsidRDefault="004B18FE" w:rsidP="004B18FE">
      <w:pPr>
        <w:spacing w:line="480" w:lineRule="auto"/>
        <w:jc w:val="both"/>
        <w:rPr>
          <w:rFonts w:ascii="Times New Roman" w:hAnsi="Times New Roman" w:cs="Times New Roman"/>
          <w:sz w:val="24"/>
          <w:szCs w:val="24"/>
        </w:rPr>
      </w:pPr>
      <w:r w:rsidRPr="00497923">
        <w:rPr>
          <w:rFonts w:ascii="Times New Roman" w:hAnsi="Times New Roman" w:cs="Times New Roman"/>
          <w:sz w:val="24"/>
          <w:szCs w:val="24"/>
        </w:rPr>
        <w:t xml:space="preserve">Assistant Professor, DDS, PhD, </w:t>
      </w:r>
      <w:bookmarkStart w:id="0" w:name="_Hlk207962447"/>
      <w:r w:rsidRPr="00497923">
        <w:rPr>
          <w:rFonts w:ascii="Times New Roman" w:hAnsi="Times New Roman" w:cs="Times New Roman"/>
          <w:sz w:val="24"/>
          <w:szCs w:val="24"/>
        </w:rPr>
        <w:t xml:space="preserve">Department of Oral and Maxillofacial Radiology, Faculty of Dentistry, Van </w:t>
      </w:r>
      <w:proofErr w:type="spellStart"/>
      <w:r w:rsidRPr="00497923">
        <w:rPr>
          <w:rFonts w:ascii="Times New Roman" w:hAnsi="Times New Roman" w:cs="Times New Roman"/>
          <w:sz w:val="24"/>
          <w:szCs w:val="24"/>
        </w:rPr>
        <w:t>Yuzuncu</w:t>
      </w:r>
      <w:proofErr w:type="spellEnd"/>
      <w:r w:rsidRPr="00497923">
        <w:rPr>
          <w:rFonts w:ascii="Times New Roman" w:hAnsi="Times New Roman" w:cs="Times New Roman"/>
          <w:sz w:val="24"/>
          <w:szCs w:val="24"/>
        </w:rPr>
        <w:t xml:space="preserve"> </w:t>
      </w:r>
      <w:proofErr w:type="spellStart"/>
      <w:r w:rsidRPr="00497923">
        <w:rPr>
          <w:rFonts w:ascii="Times New Roman" w:hAnsi="Times New Roman" w:cs="Times New Roman"/>
          <w:sz w:val="24"/>
          <w:szCs w:val="24"/>
        </w:rPr>
        <w:t>Yil</w:t>
      </w:r>
      <w:proofErr w:type="spellEnd"/>
      <w:r w:rsidRPr="00497923">
        <w:rPr>
          <w:rFonts w:ascii="Times New Roman" w:hAnsi="Times New Roman" w:cs="Times New Roman"/>
          <w:sz w:val="24"/>
          <w:szCs w:val="24"/>
        </w:rPr>
        <w:t xml:space="preserve"> University, Van, Turkey</w:t>
      </w:r>
      <w:bookmarkEnd w:id="0"/>
      <w:r w:rsidRPr="00497923">
        <w:rPr>
          <w:rFonts w:ascii="Times New Roman" w:hAnsi="Times New Roman" w:cs="Times New Roman"/>
          <w:sz w:val="24"/>
          <w:szCs w:val="24"/>
        </w:rPr>
        <w:t>. E-mail: semakaya@yyu.edu.tr. Phone Number: +905540062682. Fax: +90 432 225 17 47. ORCID: 0000-0002-6306-3901.</w:t>
      </w:r>
    </w:p>
    <w:p w14:paraId="4BF1F9EB" w14:textId="77777777" w:rsidR="004B18FE" w:rsidRPr="00497923" w:rsidRDefault="004B18FE" w:rsidP="004B18FE">
      <w:pPr>
        <w:spacing w:line="480" w:lineRule="auto"/>
        <w:rPr>
          <w:rFonts w:ascii="Times New Roman" w:hAnsi="Times New Roman" w:cs="Times New Roman"/>
          <w:b/>
          <w:bCs/>
          <w:sz w:val="24"/>
          <w:szCs w:val="24"/>
        </w:rPr>
      </w:pPr>
    </w:p>
    <w:p w14:paraId="1D0D792D" w14:textId="77777777" w:rsidR="004B18FE" w:rsidRPr="00497923" w:rsidRDefault="004B18FE" w:rsidP="004B18FE">
      <w:pPr>
        <w:spacing w:line="480" w:lineRule="auto"/>
        <w:jc w:val="both"/>
        <w:rPr>
          <w:rFonts w:ascii="Times New Roman" w:hAnsi="Times New Roman" w:cs="Times New Roman"/>
          <w:b/>
          <w:bCs/>
          <w:sz w:val="24"/>
          <w:szCs w:val="24"/>
          <w:u w:val="single"/>
          <w:vertAlign w:val="superscript"/>
        </w:rPr>
      </w:pPr>
      <w:r w:rsidRPr="00497923">
        <w:rPr>
          <w:rFonts w:ascii="Times New Roman" w:hAnsi="Times New Roman" w:cs="Times New Roman"/>
          <w:b/>
          <w:bCs/>
          <w:sz w:val="24"/>
          <w:szCs w:val="24"/>
          <w:u w:val="single"/>
        </w:rPr>
        <w:t>Corresponding Author</w:t>
      </w:r>
      <w:r w:rsidRPr="00497923">
        <w:rPr>
          <w:rFonts w:ascii="Times New Roman" w:hAnsi="Times New Roman" w:cs="Times New Roman"/>
          <w:b/>
          <w:bCs/>
          <w:sz w:val="24"/>
          <w:szCs w:val="24"/>
        </w:rPr>
        <w:t>:  Onur SAHAR</w:t>
      </w:r>
      <w:r w:rsidRPr="00497923">
        <w:rPr>
          <w:rFonts w:ascii="Times New Roman" w:hAnsi="Times New Roman" w:cs="Times New Roman"/>
          <w:b/>
          <w:bCs/>
          <w:sz w:val="24"/>
          <w:szCs w:val="24"/>
          <w:vertAlign w:val="superscript"/>
        </w:rPr>
        <w:t>1</w:t>
      </w:r>
    </w:p>
    <w:p w14:paraId="28EE6DCB" w14:textId="52CDD3C4" w:rsidR="004B18FE" w:rsidRPr="00497923" w:rsidRDefault="004B18FE" w:rsidP="004B18FE">
      <w:pPr>
        <w:spacing w:line="480" w:lineRule="auto"/>
        <w:jc w:val="both"/>
        <w:rPr>
          <w:rFonts w:ascii="Times New Roman" w:hAnsi="Times New Roman" w:cs="Times New Roman"/>
          <w:sz w:val="24"/>
          <w:szCs w:val="24"/>
        </w:rPr>
      </w:pPr>
      <w:r w:rsidRPr="00497923">
        <w:rPr>
          <w:rFonts w:ascii="Times New Roman" w:hAnsi="Times New Roman" w:cs="Times New Roman"/>
          <w:sz w:val="24"/>
          <w:szCs w:val="24"/>
        </w:rPr>
        <w:t xml:space="preserve">Doctor of Dental Medicine, DMD, Department of Oral and Maxillofacial Surgery, Faculty of Dentistry, Van </w:t>
      </w:r>
      <w:proofErr w:type="spellStart"/>
      <w:r w:rsidRPr="00497923">
        <w:rPr>
          <w:rFonts w:ascii="Times New Roman" w:hAnsi="Times New Roman" w:cs="Times New Roman"/>
          <w:sz w:val="24"/>
          <w:szCs w:val="24"/>
        </w:rPr>
        <w:t>Yuzuncu</w:t>
      </w:r>
      <w:proofErr w:type="spellEnd"/>
      <w:r w:rsidRPr="00497923">
        <w:rPr>
          <w:rFonts w:ascii="Times New Roman" w:hAnsi="Times New Roman" w:cs="Times New Roman"/>
          <w:sz w:val="24"/>
          <w:szCs w:val="24"/>
        </w:rPr>
        <w:t xml:space="preserve"> </w:t>
      </w:r>
      <w:proofErr w:type="spellStart"/>
      <w:r w:rsidRPr="00497923">
        <w:rPr>
          <w:rFonts w:ascii="Times New Roman" w:hAnsi="Times New Roman" w:cs="Times New Roman"/>
          <w:sz w:val="24"/>
          <w:szCs w:val="24"/>
        </w:rPr>
        <w:t>Yil</w:t>
      </w:r>
      <w:proofErr w:type="spellEnd"/>
      <w:r w:rsidRPr="00497923">
        <w:rPr>
          <w:rFonts w:ascii="Times New Roman" w:hAnsi="Times New Roman" w:cs="Times New Roman"/>
          <w:sz w:val="24"/>
          <w:szCs w:val="24"/>
        </w:rPr>
        <w:t xml:space="preserve"> University, Van, Turkey. E-mail: </w:t>
      </w:r>
      <w:hyperlink r:id="rId6" w:history="1">
        <w:r w:rsidRPr="00497923">
          <w:rPr>
            <w:rStyle w:val="Kpr"/>
            <w:rFonts w:ascii="Times New Roman" w:hAnsi="Times New Roman" w:cs="Times New Roman"/>
            <w:sz w:val="24"/>
            <w:szCs w:val="24"/>
          </w:rPr>
          <w:t>onursahar@gmail.com</w:t>
        </w:r>
      </w:hyperlink>
      <w:r w:rsidRPr="00497923">
        <w:rPr>
          <w:rFonts w:ascii="Times New Roman" w:hAnsi="Times New Roman" w:cs="Times New Roman"/>
          <w:sz w:val="24"/>
          <w:szCs w:val="24"/>
        </w:rPr>
        <w:t>. Phone Number: +90 506 785 05 72. Fax: +90 432 225 17 47. ORCID: 0009-0000-5105-5093.</w:t>
      </w:r>
    </w:p>
    <w:p w14:paraId="0790B402" w14:textId="77777777" w:rsidR="008B3742" w:rsidRDefault="008B3742" w:rsidP="00176A6E">
      <w:pPr>
        <w:jc w:val="center"/>
        <w:rPr>
          <w:rFonts w:ascii="Times New Roman" w:hAnsi="Times New Roman" w:cs="Times New Roman"/>
          <w:b/>
          <w:bCs/>
          <w:sz w:val="24"/>
          <w:szCs w:val="24"/>
        </w:rPr>
      </w:pPr>
    </w:p>
    <w:p w14:paraId="6C8E84BC" w14:textId="77777777" w:rsidR="008B3742" w:rsidRDefault="008B3742" w:rsidP="00176A6E">
      <w:pPr>
        <w:jc w:val="center"/>
        <w:rPr>
          <w:rFonts w:ascii="Times New Roman" w:hAnsi="Times New Roman" w:cs="Times New Roman"/>
          <w:b/>
          <w:bCs/>
          <w:sz w:val="24"/>
          <w:szCs w:val="24"/>
        </w:rPr>
      </w:pPr>
    </w:p>
    <w:p w14:paraId="0380F110" w14:textId="77777777" w:rsidR="008B3742" w:rsidRDefault="008B3742" w:rsidP="00176A6E">
      <w:pPr>
        <w:jc w:val="center"/>
        <w:rPr>
          <w:rFonts w:ascii="Times New Roman" w:hAnsi="Times New Roman" w:cs="Times New Roman"/>
          <w:b/>
          <w:bCs/>
          <w:sz w:val="24"/>
          <w:szCs w:val="24"/>
        </w:rPr>
      </w:pPr>
    </w:p>
    <w:p w14:paraId="6F3A8DA1" w14:textId="77777777" w:rsidR="008B3742" w:rsidRDefault="008B3742" w:rsidP="00176A6E">
      <w:pPr>
        <w:jc w:val="center"/>
        <w:rPr>
          <w:rFonts w:ascii="Times New Roman" w:hAnsi="Times New Roman" w:cs="Times New Roman"/>
          <w:b/>
          <w:bCs/>
          <w:sz w:val="24"/>
          <w:szCs w:val="24"/>
        </w:rPr>
      </w:pPr>
    </w:p>
    <w:p w14:paraId="3A05E930" w14:textId="77777777" w:rsidR="008B3742" w:rsidRDefault="008B3742" w:rsidP="00176A6E">
      <w:pPr>
        <w:jc w:val="center"/>
        <w:rPr>
          <w:rFonts w:ascii="Times New Roman" w:hAnsi="Times New Roman" w:cs="Times New Roman"/>
          <w:b/>
          <w:bCs/>
          <w:sz w:val="24"/>
          <w:szCs w:val="24"/>
        </w:rPr>
      </w:pPr>
    </w:p>
    <w:p w14:paraId="2BB91BD7" w14:textId="77777777" w:rsidR="008B3742" w:rsidRDefault="008B3742" w:rsidP="00176A6E">
      <w:pPr>
        <w:jc w:val="center"/>
        <w:rPr>
          <w:rFonts w:ascii="Times New Roman" w:hAnsi="Times New Roman" w:cs="Times New Roman"/>
          <w:b/>
          <w:bCs/>
          <w:sz w:val="24"/>
          <w:szCs w:val="24"/>
        </w:rPr>
      </w:pPr>
    </w:p>
    <w:p w14:paraId="4AE5F1E8" w14:textId="77777777" w:rsidR="008B3742" w:rsidRDefault="008B3742" w:rsidP="00176A6E">
      <w:pPr>
        <w:jc w:val="center"/>
        <w:rPr>
          <w:rFonts w:ascii="Times New Roman" w:hAnsi="Times New Roman" w:cs="Times New Roman"/>
          <w:b/>
          <w:bCs/>
          <w:sz w:val="24"/>
          <w:szCs w:val="24"/>
        </w:rPr>
      </w:pPr>
    </w:p>
    <w:p w14:paraId="703FF3CA" w14:textId="77777777" w:rsidR="008B3742" w:rsidRDefault="008B3742" w:rsidP="00176A6E">
      <w:pPr>
        <w:jc w:val="center"/>
        <w:rPr>
          <w:rFonts w:ascii="Times New Roman" w:hAnsi="Times New Roman" w:cs="Times New Roman"/>
          <w:b/>
          <w:bCs/>
          <w:sz w:val="24"/>
          <w:szCs w:val="24"/>
        </w:rPr>
      </w:pPr>
    </w:p>
    <w:p w14:paraId="7ACE3FA0" w14:textId="727E3EE6" w:rsidR="00176A6E" w:rsidRPr="00497923" w:rsidRDefault="00176A6E" w:rsidP="00176A6E">
      <w:pPr>
        <w:jc w:val="center"/>
        <w:rPr>
          <w:rFonts w:ascii="Times New Roman" w:hAnsi="Times New Roman" w:cs="Times New Roman"/>
          <w:b/>
          <w:bCs/>
          <w:sz w:val="24"/>
          <w:szCs w:val="24"/>
        </w:rPr>
      </w:pPr>
      <w:r w:rsidRPr="00497923">
        <w:rPr>
          <w:rFonts w:ascii="Times New Roman" w:hAnsi="Times New Roman" w:cs="Times New Roman"/>
          <w:b/>
          <w:bCs/>
          <w:sz w:val="24"/>
          <w:szCs w:val="24"/>
        </w:rPr>
        <w:lastRenderedPageBreak/>
        <w:t>ABSTRACT</w:t>
      </w:r>
    </w:p>
    <w:p w14:paraId="23B26CE3" w14:textId="77777777" w:rsidR="00176A6E" w:rsidRPr="00497923" w:rsidRDefault="00176A6E" w:rsidP="00176A6E">
      <w:pPr>
        <w:rPr>
          <w:rFonts w:ascii="Times New Roman" w:hAnsi="Times New Roman" w:cs="Times New Roman"/>
          <w:b/>
          <w:bCs/>
          <w:sz w:val="24"/>
          <w:szCs w:val="24"/>
        </w:rPr>
      </w:pPr>
    </w:p>
    <w:p w14:paraId="5A9BE0B6" w14:textId="17E4B4AA" w:rsidR="00B800B2" w:rsidRPr="008B3742" w:rsidRDefault="00667F0A" w:rsidP="00B800B2">
      <w:pPr>
        <w:spacing w:line="480" w:lineRule="auto"/>
        <w:jc w:val="both"/>
        <w:rPr>
          <w:rFonts w:ascii="Times New Roman" w:hAnsi="Times New Roman" w:cs="Times New Roman"/>
          <w:sz w:val="24"/>
          <w:szCs w:val="24"/>
        </w:rPr>
      </w:pPr>
      <w:r w:rsidRPr="008B3742">
        <w:rPr>
          <w:rFonts w:ascii="Times New Roman" w:hAnsi="Times New Roman" w:cs="Times New Roman"/>
          <w:b/>
          <w:bCs/>
          <w:sz w:val="24"/>
          <w:szCs w:val="24"/>
        </w:rPr>
        <w:t>Background:</w:t>
      </w:r>
      <w:r w:rsidRPr="008B3742">
        <w:rPr>
          <w:rFonts w:ascii="Times New Roman" w:hAnsi="Times New Roman" w:cs="Times New Roman"/>
          <w:sz w:val="24"/>
          <w:szCs w:val="24"/>
        </w:rPr>
        <w:t xml:space="preserve"> </w:t>
      </w:r>
      <w:r w:rsidR="00B800B2" w:rsidRPr="008B3742">
        <w:rPr>
          <w:rFonts w:ascii="Times New Roman" w:hAnsi="Times New Roman" w:cs="Times New Roman"/>
          <w:sz w:val="24"/>
          <w:szCs w:val="24"/>
        </w:rPr>
        <w:t xml:space="preserve">Platelet-rich fibrin (PRF) protocols differ in preparation and physical characteristics, and information on dentists’ understanding and clinical use remains limited. </w:t>
      </w:r>
      <w:r w:rsidR="00600E6E" w:rsidRPr="00600E6E">
        <w:rPr>
          <w:rFonts w:ascii="Times New Roman" w:hAnsi="Times New Roman" w:cs="Times New Roman"/>
          <w:sz w:val="24"/>
          <w:szCs w:val="24"/>
        </w:rPr>
        <w:t xml:space="preserve">This study assessed dentists’ knowledge, attitudes, and self-reported use of PRF, including L-PRF, A-PRF/A-PRF+, T-PRF, </w:t>
      </w:r>
      <w:proofErr w:type="spellStart"/>
      <w:r w:rsidR="00600E6E" w:rsidRPr="00600E6E">
        <w:rPr>
          <w:rFonts w:ascii="Times New Roman" w:hAnsi="Times New Roman" w:cs="Times New Roman"/>
          <w:sz w:val="24"/>
          <w:szCs w:val="24"/>
        </w:rPr>
        <w:t>i</w:t>
      </w:r>
      <w:proofErr w:type="spellEnd"/>
      <w:r w:rsidR="00600E6E" w:rsidRPr="00600E6E">
        <w:rPr>
          <w:rFonts w:ascii="Times New Roman" w:hAnsi="Times New Roman" w:cs="Times New Roman"/>
          <w:sz w:val="24"/>
          <w:szCs w:val="24"/>
        </w:rPr>
        <w:t>-PRF, and Alb-PRF.</w:t>
      </w:r>
    </w:p>
    <w:p w14:paraId="0FFC2BF5" w14:textId="29088281" w:rsidR="00667F0A" w:rsidRPr="008B3742" w:rsidRDefault="00667F0A" w:rsidP="00B800B2">
      <w:pPr>
        <w:spacing w:line="480" w:lineRule="auto"/>
        <w:rPr>
          <w:rFonts w:ascii="Times New Roman" w:hAnsi="Times New Roman" w:cs="Times New Roman"/>
          <w:sz w:val="24"/>
          <w:szCs w:val="24"/>
        </w:rPr>
      </w:pPr>
      <w:r w:rsidRPr="008B3742">
        <w:rPr>
          <w:rFonts w:ascii="Times New Roman" w:hAnsi="Times New Roman" w:cs="Times New Roman"/>
          <w:b/>
          <w:bCs/>
          <w:sz w:val="24"/>
          <w:szCs w:val="24"/>
        </w:rPr>
        <w:t>Methods:</w:t>
      </w:r>
      <w:r w:rsidRPr="008B3742">
        <w:rPr>
          <w:rFonts w:ascii="Times New Roman" w:hAnsi="Times New Roman" w:cs="Times New Roman"/>
          <w:sz w:val="24"/>
          <w:szCs w:val="24"/>
        </w:rPr>
        <w:t xml:space="preserve"> </w:t>
      </w:r>
      <w:r w:rsidR="00B800B2" w:rsidRPr="008B3742">
        <w:rPr>
          <w:rFonts w:ascii="Times New Roman" w:hAnsi="Times New Roman" w:cs="Times New Roman"/>
          <w:sz w:val="24"/>
          <w:szCs w:val="24"/>
        </w:rPr>
        <w:t>In this cross-sectional online survey, 501 practicing dentists completed a self-administered questionnaire covering professional characteristics, 21 knowledge items, and seven attitude items. Group comparisons used non-parametric tests. Exploratory item-level associations were assessed using chi-square statistics and conditional Monte Carlo p-values where appropriate, followed by Holm adjustment across 140 comparisons.</w:t>
      </w:r>
    </w:p>
    <w:p w14:paraId="582F07D4" w14:textId="5F3CDDDC" w:rsidR="00667F0A" w:rsidRPr="008B3742" w:rsidRDefault="00667F0A" w:rsidP="00667F0A">
      <w:pPr>
        <w:spacing w:line="480" w:lineRule="auto"/>
        <w:rPr>
          <w:rFonts w:ascii="Times New Roman" w:hAnsi="Times New Roman" w:cs="Times New Roman"/>
          <w:sz w:val="24"/>
          <w:szCs w:val="24"/>
        </w:rPr>
      </w:pPr>
      <w:r w:rsidRPr="008B3742">
        <w:rPr>
          <w:rFonts w:ascii="Times New Roman" w:hAnsi="Times New Roman" w:cs="Times New Roman"/>
          <w:b/>
          <w:bCs/>
          <w:sz w:val="24"/>
          <w:szCs w:val="24"/>
        </w:rPr>
        <w:t>Results:</w:t>
      </w:r>
      <w:r w:rsidRPr="008B3742">
        <w:rPr>
          <w:rFonts w:ascii="Times New Roman" w:hAnsi="Times New Roman" w:cs="Times New Roman"/>
          <w:sz w:val="24"/>
          <w:szCs w:val="24"/>
        </w:rPr>
        <w:t xml:space="preserve"> </w:t>
      </w:r>
      <w:r w:rsidR="00B800B2" w:rsidRPr="008B3742">
        <w:rPr>
          <w:rFonts w:ascii="Times New Roman" w:hAnsi="Times New Roman" w:cs="Times New Roman"/>
          <w:sz w:val="24"/>
          <w:szCs w:val="24"/>
        </w:rPr>
        <w:t>Of the 501 participants, 59.9% reported no formal PRF training and 87.4% reported no current PRF use on the frequency question. The corrected knowledge score had a median of 9 (interquartile range, 6–15) and a mean of 10.25 ± 5.60 out of 21; the attitude score had a median of 23 (interquartile range, 21–26) and a mean of 23.08 ± 4.60 out of 35. Formal PRF training was associated with both total scores. In exploratory item-level analyses, 26 of 140 associations remained significant after Holm adjustment.</w:t>
      </w:r>
    </w:p>
    <w:p w14:paraId="1F4C4834" w14:textId="441793DF" w:rsidR="00667F0A" w:rsidRPr="00497923" w:rsidRDefault="00667F0A" w:rsidP="00667F0A">
      <w:pPr>
        <w:spacing w:line="480" w:lineRule="auto"/>
        <w:rPr>
          <w:rFonts w:ascii="Times New Roman" w:hAnsi="Times New Roman" w:cs="Times New Roman"/>
          <w:sz w:val="24"/>
          <w:szCs w:val="24"/>
        </w:rPr>
      </w:pPr>
      <w:r w:rsidRPr="008B3742">
        <w:rPr>
          <w:rFonts w:ascii="Times New Roman" w:hAnsi="Times New Roman" w:cs="Times New Roman"/>
          <w:b/>
          <w:bCs/>
          <w:sz w:val="24"/>
          <w:szCs w:val="24"/>
        </w:rPr>
        <w:t>Conclusions:</w:t>
      </w:r>
      <w:r w:rsidRPr="008B3742">
        <w:rPr>
          <w:rFonts w:ascii="Times New Roman" w:hAnsi="Times New Roman" w:cs="Times New Roman"/>
          <w:sz w:val="24"/>
          <w:szCs w:val="24"/>
        </w:rPr>
        <w:t xml:space="preserve"> </w:t>
      </w:r>
      <w:r w:rsidR="00B800B2" w:rsidRPr="008B3742">
        <w:rPr>
          <w:rFonts w:ascii="Times New Roman" w:hAnsi="Times New Roman" w:cs="Times New Roman"/>
          <w:sz w:val="24"/>
          <w:szCs w:val="24"/>
        </w:rPr>
        <w:t>The sample expressed favorable views of PRF alongside variation in responses to protocol-specific questions and frequently reported practical barriers. Formal PRF training was associated with higher knowledge and attitude scores, but the cross-sectional design does not support a causal interpretation.</w:t>
      </w:r>
    </w:p>
    <w:p w14:paraId="56F68753" w14:textId="77777777" w:rsidR="00B800B2" w:rsidRDefault="000C5B49" w:rsidP="00667F0A">
      <w:pPr>
        <w:spacing w:line="480" w:lineRule="auto"/>
        <w:rPr>
          <w:rFonts w:ascii="Times New Roman" w:hAnsi="Times New Roman" w:cs="Times New Roman"/>
          <w:sz w:val="24"/>
          <w:szCs w:val="24"/>
        </w:rPr>
      </w:pPr>
      <w:r w:rsidRPr="00497923">
        <w:rPr>
          <w:rFonts w:ascii="Times New Roman" w:hAnsi="Times New Roman" w:cs="Times New Roman"/>
          <w:b/>
          <w:bCs/>
          <w:sz w:val="24"/>
          <w:szCs w:val="24"/>
        </w:rPr>
        <w:t>Clinical trial number:</w:t>
      </w:r>
      <w:r w:rsidRPr="00497923">
        <w:rPr>
          <w:rFonts w:ascii="Times New Roman" w:hAnsi="Times New Roman" w:cs="Times New Roman"/>
          <w:sz w:val="24"/>
          <w:szCs w:val="24"/>
        </w:rPr>
        <w:t xml:space="preserve"> not applicable.</w:t>
      </w:r>
    </w:p>
    <w:p w14:paraId="64B803D3" w14:textId="3327232A" w:rsidR="005D6DF9" w:rsidRDefault="005D6DF9" w:rsidP="00667F0A">
      <w:pPr>
        <w:spacing w:line="480" w:lineRule="auto"/>
        <w:rPr>
          <w:rFonts w:ascii="Times New Roman" w:hAnsi="Times New Roman" w:cs="Times New Roman"/>
          <w:sz w:val="24"/>
          <w:szCs w:val="24"/>
        </w:rPr>
        <w:sectPr w:rsidR="005D6DF9" w:rsidSect="00B800B2">
          <w:pgSz w:w="11906" w:h="16838"/>
          <w:pgMar w:top="1417" w:right="1417" w:bottom="1417" w:left="1417" w:header="708" w:footer="708" w:gutter="0"/>
          <w:cols w:space="708"/>
          <w:docGrid w:linePitch="360"/>
        </w:sectPr>
      </w:pPr>
      <w:r w:rsidRPr="005D6DF9">
        <w:rPr>
          <w:rFonts w:ascii="Times New Roman" w:hAnsi="Times New Roman" w:cs="Times New Roman"/>
          <w:b/>
          <w:bCs/>
          <w:sz w:val="24"/>
          <w:szCs w:val="24"/>
        </w:rPr>
        <w:t>Keywords:</w:t>
      </w:r>
      <w:r w:rsidRPr="005D6DF9">
        <w:rPr>
          <w:rFonts w:ascii="Times New Roman" w:hAnsi="Times New Roman" w:cs="Times New Roman"/>
          <w:sz w:val="24"/>
          <w:szCs w:val="24"/>
        </w:rPr>
        <w:t xml:space="preserve"> Platelet-rich fibrin; PRF; platelet concentrates; dentists; knowledge; attitude; clinical practice; regenerative dentistry; cross-sectional survey</w:t>
      </w:r>
    </w:p>
    <w:p w14:paraId="2F53D515" w14:textId="22B2CBA3" w:rsidR="00D71A26" w:rsidRPr="00497923" w:rsidRDefault="00D71A26" w:rsidP="00176A6E">
      <w:pPr>
        <w:rPr>
          <w:rFonts w:ascii="Times New Roman" w:hAnsi="Times New Roman" w:cs="Times New Roman"/>
          <w:sz w:val="24"/>
          <w:szCs w:val="24"/>
        </w:rPr>
      </w:pPr>
      <w:r w:rsidRPr="00497923">
        <w:rPr>
          <w:rFonts w:ascii="Times New Roman" w:hAnsi="Times New Roman" w:cs="Times New Roman"/>
          <w:b/>
          <w:bCs/>
          <w:sz w:val="28"/>
          <w:szCs w:val="28"/>
        </w:rPr>
        <w:lastRenderedPageBreak/>
        <w:t>Introduction</w:t>
      </w:r>
    </w:p>
    <w:p w14:paraId="43030E72" w14:textId="0224FBDC" w:rsidR="007B4418" w:rsidRPr="00497923" w:rsidRDefault="007B495F" w:rsidP="007B4418">
      <w:pPr>
        <w:spacing w:line="480" w:lineRule="auto"/>
        <w:rPr>
          <w:rFonts w:ascii="Times New Roman" w:hAnsi="Times New Roman" w:cs="Times New Roman"/>
          <w:sz w:val="24"/>
          <w:szCs w:val="24"/>
        </w:rPr>
      </w:pPr>
      <w:r w:rsidRPr="00497923">
        <w:rPr>
          <w:rFonts w:ascii="Times New Roman" w:hAnsi="Times New Roman" w:cs="Times New Roman"/>
          <w:sz w:val="24"/>
          <w:szCs w:val="24"/>
        </w:rPr>
        <w:t xml:space="preserve">First-generation platelet concentrates, such as platelet-rich plasma (PRP), typically require anticoagulation during preparation and may involve exogenous activation, adding processing steps that are avoided in anticoagulant-free platelet-rich fibrin (PRF) protocols </w:t>
      </w:r>
      <w:r w:rsidR="007B4418" w:rsidRPr="00497923">
        <w:rPr>
          <w:rFonts w:ascii="Times New Roman" w:hAnsi="Times New Roman" w:cs="Times New Roman"/>
          <w:sz w:val="24"/>
          <w:szCs w:val="24"/>
        </w:rPr>
        <w:fldChar w:fldCharType="begin"/>
      </w:r>
      <w:r w:rsidR="00B80C4E">
        <w:rPr>
          <w:rFonts w:ascii="Times New Roman" w:hAnsi="Times New Roman" w:cs="Times New Roman"/>
          <w:sz w:val="24"/>
          <w:szCs w:val="24"/>
        </w:rPr>
        <w:instrText xml:space="preserve"> ADDIN ZOTERO_ITEM CSL_CITATION {"citationID":"F9AVDPT8","properties":{"unsorted":false,"formattedCitation":"[1, 2]","plainCitation":"[1, 2]","noteIndex":0},"citationItems":[{"id":1614,"uris":["http://zotero.org/users/13389697/items/6Z6XZ58M"],"itemData":{"id":1614,"type":"article-journal","abstract":"Platelet concentrates for topical and infiltrative use - commonly termed Platetet-Rich Plasma (PRP) or Platelet-Rich Fibrin (PRF) - are used or tested as surgical adjuvants or regenerative medicine preparations in most medical fields, particularly in sports medicine and orthopaedic surgery. Even if these products offer interesting therapeutic perspectives, their clinical relevance is largely debated, as the literature on the topic is often confused and contradictory. The long history of these products was always associated with confusions, mostly related to the lack of consensual terminology, characterization and classification of the many products that were tested in the last 40 years. The current consensus is based on a simple classification system dividing the many products in 4 main families, based on their fibrin architecture and cell content: Pure Platelet-Rich Plasma (P-PRP), such as the PRGF-Endoret technique; Leukocyte- and Platelet-Rich Plasma (LPRP), such as Biomet GPS system; Pure Platelet-Rich Fibrin (P-PRF), such as Fibrinet; Leukocyte- and Platelet-Rich Fibrin (L-PRF), such as Intra-Spin L-PRF. The 4 main families of products present different biological signatures and mechanisms, and obvious differences for clinical applications. This classification serves as a basis for further investigations of the effects of these products. Perspectives of evolutions of this classification and terminology are also discussed, particularly concerning the impact of the cell content, preservation and activation on these products in sports medicine and orthopaedics.","container-title":"Muscles, Ligaments and Tendons Journal","ISSN":"2240-4554","issue":"1","journalAbbreviation":"Muscles Ligaments Tendons J","language":"eng","page":"3-9","PMID":"24932440","PMCID":"PMC4049647","source":"PubMed","title":"Classification of platelet concentrates (Platelet-Rich Plasma-PRP, Platelet-Rich Fibrin-PRF) for topical and infiltrative use in orthopedic and sports medicine: current consensus, clinical implications and perspectives","title-short":"Classification of platelet concentrates (Platelet-Rich Plasma-PRP, Platelet-Rich Fibrin-PRF) for topical and infiltrative use in orthopedic and sports medicine","volume":"4","author":[{"family":"Dohan Ehrenfest","given":"David M."},{"family":"Andia","given":"Isabel"},{"family":"Zumstein","given":"Matthias A."},{"family":"Zhang","given":"Chang-Qing"},{"family":"Pinto","given":"Nelson R."},{"family":"Bielecki","given":"Tomasz"}],"issued":{"date-parts":[["2014",1]]}}},{"id":"cous972g/sVInWa3g","uris":["http://zotero.org/users/13389697/items/JKGENIZ2"],"itemData":{"id":577,"type":"article-journal","container-title":"Implant Dentistry","DOI":"10.1097/00008505-200110000-00002","ISSN":"1056-6163","issue":"4","journalAbbreviation":"Implant Dent","language":"eng","page":"225-228","PMID":"11813662","source":"PubMed","title":"Platelet-rich plasma (PRP): what is PRP and what is not PRP?","title-short":"Platelet-rich plasma (PRP)","volume":"10","author":[{"family":"Marx","given":"R. E."}],"issued":{"date-parts":[["2001"]]}}}],"schema":"https://github.com/citation-style-language/schema/raw/master/csl-citation.json"} </w:instrText>
      </w:r>
      <w:r w:rsidR="007B4418" w:rsidRPr="00497923">
        <w:rPr>
          <w:rFonts w:ascii="Times New Roman" w:hAnsi="Times New Roman" w:cs="Times New Roman"/>
          <w:sz w:val="24"/>
          <w:szCs w:val="24"/>
        </w:rPr>
        <w:fldChar w:fldCharType="separate"/>
      </w:r>
      <w:r w:rsidR="007B4418" w:rsidRPr="00497923">
        <w:rPr>
          <w:rFonts w:ascii="Calibri" w:hAnsi="Calibri" w:cs="Calibri"/>
          <w:sz w:val="24"/>
        </w:rPr>
        <w:t>[1, 2]</w:t>
      </w:r>
      <w:r w:rsidR="007B4418" w:rsidRPr="00497923">
        <w:rPr>
          <w:rFonts w:ascii="Times New Roman" w:hAnsi="Times New Roman" w:cs="Times New Roman"/>
          <w:sz w:val="24"/>
          <w:szCs w:val="24"/>
        </w:rPr>
        <w:fldChar w:fldCharType="end"/>
      </w:r>
      <w:r w:rsidR="007B4418" w:rsidRPr="00497923">
        <w:rPr>
          <w:rFonts w:ascii="Times New Roman" w:hAnsi="Times New Roman" w:cs="Times New Roman"/>
          <w:sz w:val="24"/>
          <w:szCs w:val="24"/>
        </w:rPr>
        <w:t xml:space="preserve">. </w:t>
      </w:r>
      <w:r w:rsidR="00624D8E" w:rsidRPr="00624D8E">
        <w:rPr>
          <w:rFonts w:ascii="Times New Roman" w:hAnsi="Times New Roman" w:cs="Times New Roman"/>
          <w:sz w:val="24"/>
          <w:szCs w:val="24"/>
        </w:rPr>
        <w:t>To overcome these limitations, PRF, a second-generation platelet concentrate, has emerged as an autologous biomaterial prepared without anticoagulants, allowing natural fibrin polymerization and sustained release of bioactive mediators</w:t>
      </w:r>
      <w:r w:rsidR="007B4418" w:rsidRPr="00497923">
        <w:rPr>
          <w:rFonts w:ascii="Times New Roman" w:hAnsi="Times New Roman" w:cs="Times New Roman"/>
          <w:sz w:val="24"/>
          <w:szCs w:val="24"/>
        </w:rPr>
        <w:t xml:space="preserve">. This biological profile enables PRF to support angiogenesis, soft tissue healing, and bone regeneration through the gradual release of key mediators such as platelet-derived growth factor (PDGF), transforming growth factor-β (TGF-β), and vascular endothelial growth factor (VEGF) </w:t>
      </w:r>
      <w:r w:rsidR="009218E8" w:rsidRPr="00497923">
        <w:rPr>
          <w:rFonts w:ascii="Times New Roman" w:hAnsi="Times New Roman" w:cs="Times New Roman"/>
          <w:sz w:val="24"/>
          <w:szCs w:val="24"/>
        </w:rPr>
        <w:fldChar w:fldCharType="begin"/>
      </w:r>
      <w:r w:rsidR="009218E8" w:rsidRPr="00497923">
        <w:rPr>
          <w:rFonts w:ascii="Times New Roman" w:hAnsi="Times New Roman" w:cs="Times New Roman"/>
          <w:sz w:val="24"/>
          <w:szCs w:val="24"/>
        </w:rPr>
        <w:instrText xml:space="preserve"> ADDIN ZOTERO_ITEM CSL_CITATION {"citationID":"3VVNwXqX","properties":{"unsorted":false,"formattedCitation":"[3, 4]","plainCitation":"[3, 4]","noteIndex":0},"citationItems":[{"id":1619,"uris":["http://zotero.org/users/13389697/items/QJ7RH5MT"],"itemData":{"id":1619,"type":"article-journal","abstract":"Platelet-rich fibrin, a classical autologous-derived bioactive material, consists of a fibrin scaffold and its internal loading of growth factors, platelets, and leukocytes, with the gradual degradation of the fibrin scaffold and the slow release of physiological doses of growth factors. PRF promotes vascular regeneration, promotes the proliferation and migration of osteoblast-related cells such as mesenchymal cells, osteoblasts, and osteoclasts while having certain immunomodulatory and anti-bacterial effects. PRF has excellent osteogenic potential and has been widely used in the field of bone tissue engineering and dentistry. However, there are still some limitations of PRF, and the improvement of its biological properties is one of the most important issues to be solved. Therefore, it is often combined with bone tissue engineering scaffolds to enhance its mechanical properties and delay its degradation. In this paper, we present a systematic review of the development of platelet-rich derivatives, the structure and biological properties of PRF, osteogenic mechanisms, applications, and optimization to broaden their clinical applications and provide guidance for their clinical translation.","container-title":"Frontiers in Bioengineering and Biotechnology","DOI":"10.3389/fbioe.2024.1286035","ISSN":"2296-4185","journalAbbreviation":"Front Bioeng Biotechnol","page":"1286035","PMID":"38689760","PMCID":"PMC11058865","source":"PubMed Central","title":"Platelet-rich fibrin as an autologous biomaterial for bone regeneration: mechanisms, applications, optimization","title-short":"Platelet-rich fibrin as an autologous biomaterial for bone regeneration","volume":"12","author":[{"family":"Jia","given":"Kewen"},{"family":"You","given":"Jiaqian"},{"family":"Zhu","given":"Yuemeng"},{"family":"Li","given":"Minghui"},{"family":"Chen","given":"Sheng"},{"family":"Ren","given":"Sicong"},{"family":"Chen","given":"Siyu"},{"family":"Zhang","given":"Jingqi"},{"family":"Wang","given":"Hanchi"},{"family":"Zhou","given":"Yanmin"}],"issued":{"date-parts":[["2024",4,16]]}}},{"id":1616,"uris":["http://zotero.org/users/13389697/items/8FEYX7DA"],"itemData":{"id":1616,"type":"article-journal","abstract":"Aim: The purpose of this study was to obtain data concerning growth factor release within liquid and solid platelet-rich fibrin (PRF) matrices and to estimate the amount of potential interindividual variations as a basis for further preclinical and clinical trials. Therefore, we aimed to determine possible differences in the release of growth factors between liquid and solid PRF. Materials and Methods: Blood samples obtained from four subjects were processed to both liquid and solid PRF matrices using a standard centrifugation protocol. Five growth factors (vascular endothelial growth factor, VEGF; epidermal growth factor, EGF; platelet-derived growth factor-BB, PDGF-BB; transforming growth factor-β1, TGF-β1; and matrix metallopeptidase 9, MMP-9) have been evaluated at six time points by ELISA over a total observation period of 10 days (1 h, 7 h, 1 d, 2 d, 7 d, and 10 d). Results: Growth factor release could be measured in all samples at each time point. Comparing liquid and solid PRF matrices, no significant differences were detected (p &gt; 0.05). The mean release of VEGF, TGFβ-1, PDGF-BB, and MMP-9 raised to a peak at time point five (day 7) in both liquid and solid PRF matrices. VEGF release was lower in liquid PRF than in solid PRF, whereas those of PDGF-BB and MMP-9 were higher in liquid PRF than in solid PRF at all time points. EGF had its peak release already at time point two after 7 h in liquid and solid matrices (hour 7 EGF solid: mean = 180 pg/mL, SD = 81; EGF liquid: mean = 218 pg/mL, SD = 64), declined rapidly until day 2, and had a second slight peak on day 7 in both groups (day 7 EGF solid: mean = 182 pg/mL, SD = 189; EGF liquid: mean = 81 pg/mL, SD = 70). Conclusions: This study detected growth factor release within liquid and solid PRF matrices with little variations. Further preclinical trials are needed to precisely analyze the growth factor release in larger samples and to better understand their effects on wound healing in different clinical indications.","container-title":"Journal of Clinical Medicine","DOI":"10.3390/jcm11175070","ISSN":"2077-0383","issue":"17","journalAbbreviation":"J Clin Med","page":"5070","PMID":"36078998","PMCID":"PMC9456595","source":"PubMed Central","title":"Growth Factor Release within Liquid and Solid PRF","volume":"11","author":[{"family":"Zwittnig","given":"Katharina"},{"family":"Kirnbauer","given":"Barbara"},{"family":"Jakse","given":"Norbert"},{"family":"Schlenke","given":"Peter"},{"family":"Mischak","given":"Irene"},{"family":"Ghanaati","given":"Shahram"},{"family":"Al-Maawi","given":"Sarah"},{"family":"Végh","given":"Dániel"},{"family":"Payer","given":"Michael"},{"family":"Zrnc","given":"Tomislav A."}],"issued":{"date-parts":[["2022",8,29]]}}}],"schema":"https://github.com/citation-style-language/schema/raw/master/csl-citation.json"} </w:instrText>
      </w:r>
      <w:r w:rsidR="009218E8" w:rsidRPr="00497923">
        <w:rPr>
          <w:rFonts w:ascii="Times New Roman" w:hAnsi="Times New Roman" w:cs="Times New Roman"/>
          <w:sz w:val="24"/>
          <w:szCs w:val="24"/>
        </w:rPr>
        <w:fldChar w:fldCharType="separate"/>
      </w:r>
      <w:r w:rsidR="009218E8" w:rsidRPr="00497923">
        <w:rPr>
          <w:rFonts w:ascii="Calibri" w:hAnsi="Calibri" w:cs="Calibri"/>
          <w:sz w:val="24"/>
        </w:rPr>
        <w:t>[3, 4]</w:t>
      </w:r>
      <w:r w:rsidR="009218E8" w:rsidRPr="00497923">
        <w:rPr>
          <w:rFonts w:ascii="Times New Roman" w:hAnsi="Times New Roman" w:cs="Times New Roman"/>
          <w:sz w:val="24"/>
          <w:szCs w:val="24"/>
        </w:rPr>
        <w:fldChar w:fldCharType="end"/>
      </w:r>
      <w:r w:rsidR="007B4418" w:rsidRPr="00497923">
        <w:rPr>
          <w:rFonts w:ascii="Times New Roman" w:hAnsi="Times New Roman" w:cs="Times New Roman"/>
          <w:sz w:val="24"/>
          <w:szCs w:val="24"/>
        </w:rPr>
        <w:t>.</w:t>
      </w:r>
    </w:p>
    <w:p w14:paraId="005DA585" w14:textId="2F90C936" w:rsidR="007B4418" w:rsidRPr="00497923" w:rsidRDefault="00624D8E" w:rsidP="007B4418">
      <w:pPr>
        <w:spacing w:line="480" w:lineRule="auto"/>
        <w:rPr>
          <w:rFonts w:ascii="Times New Roman" w:hAnsi="Times New Roman" w:cs="Times New Roman"/>
          <w:sz w:val="24"/>
          <w:szCs w:val="24"/>
        </w:rPr>
      </w:pPr>
      <w:r w:rsidRPr="00624D8E">
        <w:rPr>
          <w:rFonts w:ascii="Times New Roman" w:hAnsi="Times New Roman" w:cs="Times New Roman"/>
          <w:sz w:val="24"/>
          <w:szCs w:val="24"/>
        </w:rPr>
        <w:t>Recent systematic reviews and clinical studies have reported potential benefits of PRF across selected dental applications, including periodontal regeneration, oral surgical procedures, sinus floor elevation, and alveolar ridge preservation</w:t>
      </w:r>
      <w:r w:rsidR="0026352C" w:rsidRPr="00497923">
        <w:rPr>
          <w:rFonts w:ascii="Times New Roman" w:hAnsi="Times New Roman" w:cs="Times New Roman"/>
          <w:sz w:val="24"/>
          <w:szCs w:val="24"/>
        </w:rPr>
        <w:t xml:space="preserve"> </w:t>
      </w:r>
      <w:r w:rsidR="0026352C" w:rsidRPr="00497923">
        <w:rPr>
          <w:rFonts w:ascii="Times New Roman" w:hAnsi="Times New Roman" w:cs="Times New Roman"/>
          <w:sz w:val="24"/>
          <w:szCs w:val="24"/>
        </w:rPr>
        <w:fldChar w:fldCharType="begin"/>
      </w:r>
      <w:r w:rsidR="0026352C" w:rsidRPr="00497923">
        <w:rPr>
          <w:rFonts w:ascii="Times New Roman" w:hAnsi="Times New Roman" w:cs="Times New Roman"/>
          <w:sz w:val="24"/>
          <w:szCs w:val="24"/>
        </w:rPr>
        <w:instrText xml:space="preserve"> ADDIN ZOTERO_ITEM CSL_CITATION {"citationID":"tzPatI6n","properties":{"unsorted":false,"formattedCitation":"[5\\uc0\\u8211{}7]","plainCitation":"[5–7]","noteIndex":0},"citationItems":[{"id":1622,"uris":["http://zotero.org/users/13389697/items/S4GS9I7I"],"itemData":{"id":1622,"type":"article-journal","abstract":"AIM: To analyse the regenerative potential of leucocyte- and platelet-rich fibrin (L-PRF) during periodontal surgery.\nMATERIALS AND METHODS: An electronic and hand search were conducted in three databases. Only randomized clinical trials were selected and no follow-up limitation was applied. Pocket depth (PD), clinical attachment level (CAL), bone fill, keratinized tissue width (KTW), recession reduction and root coverage (%) were considered as outcome. When possible, meta-analysis was performed.\nRESULTS: Twenty-four articles fulfilled the inclusion and exclusion criteria. Three subgroups were created: intra-bony defects (IBDs), furcation defects and periodontal plastic surgery. Meta-analysis was performed in all the subgroups. Significant PD reduction (1.1 ± 0.5 mm, p &lt; 0.001), CAL gain (1.2 ± 0.6 mm, p &lt; 0.001) and bone fill (1.7 ± 0.7 mm, p &lt; 0.001) were found when comparing L-PRF to open flap debridement (OFD) in IBDs. For furcation defects, significant PD reduction (1.9 ± 1.5 mm, p = 0.01), CAL gain (1.3 ± 0.4 mm, p &lt; 0.001) and bone fill (1.5 ± 0.3 mm, p &lt; 0.001) were reported when comparing L-PRF to OFD. When L-PRF was compared to a connective tissue graft, similar outcomes were recorded for PD reduction (0.2 ± 0.3 mm, p &gt; 0.05), CAL gain (0.2 ± 0.5 mm, p &gt; 0.05), KTW (0.3 ± 0.4 mm, p &gt; 0.05) and recession reduction (0.2 ± 0.3 mm, p &gt; 0.05).\nCONCLUSIONS: L-PRF enhances periodontal wound healing.","container-title":"Journal of Clinical Periodontology","DOI":"10.1111/jcpe.12643","ISSN":"1600-051X","issue":"1","journalAbbreviation":"J Clin Periodontol","language":"eng","page":"67-82","PMID":"27783851","PMCID":"PMC5248642","source":"PubMed","title":"Regenerative potential of leucocyte- and platelet-rich fibrin. Part A: intra-bony defects, furcation defects and periodontal plastic surgery. A systematic review and meta-analysis","title-short":"Regenerative potential of leucocyte- and platelet-rich fibrin. Part A","volume":"44","author":[{"family":"Castro","given":"Ana B."},{"family":"Meschi","given":"Nastaran"},{"family":"Temmerman","given":"Andy"},{"family":"Pinto","given":"Nelson"},{"family":"Lambrechts","given":"Paul"},{"family":"Teughels","given":"Wim"},{"family":"Quirynen","given":"Marc"}],"issued":{"date-parts":[["2017",1]]}}},{"id":1625,"uris":["http://zotero.org/users/13389697/items/4BHGEE36"],"itemData":{"id":1625,"type":"article-journal","abstract":"The effect of platelet-rich fibrin (PRF) in enhancing the healing after oral surgical interventions is still a matter of debate. The purpose of this study was to identify instances where PRF has been shown to be effective in oral surgical procedures. A comprehensive literature search was performed up to 2017 on PubMed/MEDLINE, Cochrane Library, Web of Science, Scopus and LILACS databases and grey literature. The full-text of potentially relevant studies were reviewed and only randomized clinical trials (RCTs) were included. A total of 559 studies were found, of which 30 were included for qualitative analysis and 13 for quantitative analysis. Three review authors assessed the risk of bias independently. The available literature suggests that PRF has a positive effect in improving alveolar preservation on extraction sockets and around dental implants. The qualitative analysis showed a significantly better effect of PRF in promoting bone regeneration for alveolar cleft reconstruction. The meta-analysis for third molar surgery showed a decrease in prevalence of alveolar osteitis. PRF increased implant stability 1 week and 1 month after surgery (P=0.0005 and 0.0003). Due to the lack of studies with low risk of bias and a limited number of patients available, further RCTs are needed to confirm these results.","container-title":"International Journal of Oral and Maxillofacial Surgery","DOI":"10.1016/j.ijom.2018.07.007","ISSN":"1399-0020","issue":"3","journalAbbreviation":"Int J Oral Maxillofac Surg","language":"eng","page":"395-414","PMID":"30072300","source":"PubMed","title":"Platelet-rich fibrin in oral surgical procedures: a systematic review and meta-analysis","title-short":"Platelet-rich fibrin in oral surgical procedures","volume":"48","author":[{"family":"Canellas","given":"J. V. D. S."},{"family":"Medeiros","given":"P. J. D."},{"family":"Figueredo","given":"C. M. D. S."},{"family":"Fischer","given":"R. G."},{"family":"Ritto","given":"F. G."}],"issued":{"date-parts":[["2019",3]]}}},{"id":1627,"uris":["http://zotero.org/users/13389697/items/847NPQ76"],"itemData":{"id":1627,"type":"article-journal","abstract":"A schematic figure of the applications of I-PRF in soft and hard tissue regeneration in relation to oral and maxillofacial structures, and its preparation method.ga1","container-title":"The Japanese Dental Science Review","DOI":"10.1016/j.jdsr.2022.02.003","ISSN":"1882-7616","journalAbbreviation":"Jpn Dent Sci Rev","page":"89-123","PMID":"35368368","PMCID":"PMC8971935","source":"PubMed Central","title":"The application of injectable platelet-rich fibrin in regenerative dentistry: A systematic scoping review of In vitro and In vivo studies","title-short":"The application of injectable platelet-rich fibrin in regenerative dentistry","volume":"58","author":[{"family":"Farshidfar","given":"Nima"},{"family":"Jafarpour","given":"Dana"},{"family":"Firoozi","given":"Parsa"},{"family":"Sahmeddini","given":"Sarina"},{"family":"Hamedani","given":"Shahram"},{"family":"Souza","given":"Raphael Freitas","non-dropping-particle":"de"},{"family":"Tayebi","given":"Lobat"}],"issued":{"date-parts":[["2022",11]]}}}],"schema":"https://github.com/citation-style-language/schema/raw/master/csl-citation.json"} </w:instrText>
      </w:r>
      <w:r w:rsidR="0026352C" w:rsidRPr="00497923">
        <w:rPr>
          <w:rFonts w:ascii="Times New Roman" w:hAnsi="Times New Roman" w:cs="Times New Roman"/>
          <w:sz w:val="24"/>
          <w:szCs w:val="24"/>
        </w:rPr>
        <w:fldChar w:fldCharType="separate"/>
      </w:r>
      <w:r w:rsidR="0026352C" w:rsidRPr="00497923">
        <w:rPr>
          <w:rFonts w:ascii="Calibri" w:hAnsi="Calibri" w:cs="Calibri"/>
          <w:kern w:val="0"/>
          <w:sz w:val="24"/>
        </w:rPr>
        <w:t>[5–7]</w:t>
      </w:r>
      <w:r w:rsidR="0026352C" w:rsidRPr="00497923">
        <w:rPr>
          <w:rFonts w:ascii="Times New Roman" w:hAnsi="Times New Roman" w:cs="Times New Roman"/>
          <w:sz w:val="24"/>
          <w:szCs w:val="24"/>
        </w:rPr>
        <w:fldChar w:fldCharType="end"/>
      </w:r>
      <w:r w:rsidR="007B4418" w:rsidRPr="00497923">
        <w:rPr>
          <w:rFonts w:ascii="Times New Roman" w:hAnsi="Times New Roman" w:cs="Times New Roman"/>
          <w:sz w:val="24"/>
          <w:szCs w:val="24"/>
        </w:rPr>
        <w:t xml:space="preserve">. </w:t>
      </w:r>
      <w:r w:rsidRPr="00624D8E">
        <w:rPr>
          <w:rFonts w:ascii="Times New Roman" w:hAnsi="Times New Roman" w:cs="Times New Roman"/>
          <w:sz w:val="24"/>
          <w:szCs w:val="24"/>
        </w:rPr>
        <w:t>Compared with first-generation platelet concentrates, PRF avoids anticoagulants during preparation and provides a fibrin matrix capable of retaining cellular components and bioactive mediators</w:t>
      </w:r>
      <w:r w:rsidR="007B4418" w:rsidRPr="00497923">
        <w:rPr>
          <w:rFonts w:ascii="Times New Roman" w:hAnsi="Times New Roman" w:cs="Times New Roman"/>
          <w:sz w:val="24"/>
          <w:szCs w:val="24"/>
        </w:rPr>
        <w:t xml:space="preserve"> </w:t>
      </w:r>
      <w:r w:rsidR="0026352C" w:rsidRPr="00497923">
        <w:rPr>
          <w:rFonts w:ascii="Times New Roman" w:hAnsi="Times New Roman" w:cs="Times New Roman"/>
          <w:sz w:val="24"/>
          <w:szCs w:val="24"/>
        </w:rPr>
        <w:fldChar w:fldCharType="begin"/>
      </w:r>
      <w:r w:rsidR="0026352C" w:rsidRPr="00497923">
        <w:rPr>
          <w:rFonts w:ascii="Times New Roman" w:hAnsi="Times New Roman" w:cs="Times New Roman"/>
          <w:sz w:val="24"/>
          <w:szCs w:val="24"/>
        </w:rPr>
        <w:instrText xml:space="preserve"> ADDIN ZOTERO_ITEM CSL_CITATION {"citationID":"S8d8wFKQ","properties":{"unsorted":false,"formattedCitation":"[8]","plainCitation":"[8]","noteIndex":0},"citationItems":[{"id":1630,"uris":["http://zotero.org/users/13389697/items/X72Y4SX2"],"itemData":{"id":1630,"type":"article-journal","abstract":"Numerous studies have explored the suitability of biocompatible materials in regenerative medicine. Platelet concentrates are derived from centrifuged blood and are named according to their biological characteristics, such as platelet-rich plasma, platelet-rich fibrin and concentrated growth factor. Platelet concentrates have gained considerable attention in soft and hard tissue engineering. Indeed, multiple components of autologous platelet concentrates, such as growth factors, fibrin matrix and platelets, serve essential roles in wound healing. Current studies are focused on cutting-edge strategies to meet the requirements for tissue restoration by improving the properties of autologous platelet concentrates. In the present review, applications of platelet concentrates for tissue engineering are discussed, presenting a selection of recent advances and novel protocols. In addition, several aspects of these strategies, such as the advantages of lyophilized platelet concentrates and the combination of platelet concentrates with biomaterials, stem cells or drugs are discussed. The present review aims to summarize novel strategies using platelet concentrates to improve the outcomes of wound healing.","container-title":"Experimental and Therapeutic Medicine","DOI":"10.3892/etm.2021.9657","ISSN":"1792-0981","issue":"3","journalAbbreviation":"Exp Ther Med","page":"226","PMID":"33603835","PMCID":"PMC7851614","source":"PubMed Central","title":"Novel applications of platelet concentrates in tissue regeneration (Review)","volume":"21","author":[{"family":"Ding","given":"Zhen-Yu"},{"family":"Tan","given":"Ying"},{"family":"Peng","given":"Qian"},{"family":"Zuo","given":"Jun"},{"family":"Li","given":"Ning"}],"issued":{"date-parts":[["2021",3]]}}}],"schema":"https://github.com/citation-style-language/schema/raw/master/csl-citation.json"} </w:instrText>
      </w:r>
      <w:r w:rsidR="0026352C" w:rsidRPr="00497923">
        <w:rPr>
          <w:rFonts w:ascii="Times New Roman" w:hAnsi="Times New Roman" w:cs="Times New Roman"/>
          <w:sz w:val="24"/>
          <w:szCs w:val="24"/>
        </w:rPr>
        <w:fldChar w:fldCharType="separate"/>
      </w:r>
      <w:r w:rsidR="0026352C" w:rsidRPr="00497923">
        <w:rPr>
          <w:rFonts w:ascii="Calibri" w:hAnsi="Calibri" w:cs="Calibri"/>
          <w:sz w:val="24"/>
        </w:rPr>
        <w:t>[8]</w:t>
      </w:r>
      <w:r w:rsidR="0026352C" w:rsidRPr="00497923">
        <w:rPr>
          <w:rFonts w:ascii="Times New Roman" w:hAnsi="Times New Roman" w:cs="Times New Roman"/>
          <w:sz w:val="24"/>
          <w:szCs w:val="24"/>
        </w:rPr>
        <w:fldChar w:fldCharType="end"/>
      </w:r>
      <w:r w:rsidR="007B4418" w:rsidRPr="00497923">
        <w:rPr>
          <w:rFonts w:ascii="Times New Roman" w:hAnsi="Times New Roman" w:cs="Times New Roman"/>
          <w:sz w:val="24"/>
          <w:szCs w:val="24"/>
        </w:rPr>
        <w:t>.</w:t>
      </w:r>
    </w:p>
    <w:p w14:paraId="7481C34D" w14:textId="1C9AE4AC" w:rsidR="00DB1F3F" w:rsidRPr="00497923" w:rsidRDefault="00DB1F3F" w:rsidP="007B4418">
      <w:pPr>
        <w:spacing w:line="480" w:lineRule="auto"/>
        <w:rPr>
          <w:rFonts w:ascii="Times New Roman" w:hAnsi="Times New Roman" w:cs="Times New Roman"/>
          <w:sz w:val="24"/>
          <w:szCs w:val="24"/>
          <w:highlight w:val="yellow"/>
        </w:rPr>
      </w:pPr>
      <w:r w:rsidRPr="00497923">
        <w:rPr>
          <w:rFonts w:ascii="Times New Roman" w:hAnsi="Times New Roman" w:cs="Times New Roman"/>
          <w:sz w:val="24"/>
          <w:szCs w:val="24"/>
          <w:highlight w:val="yellow"/>
        </w:rPr>
        <w:t xml:space="preserve">The term PRF encompasses several protocol-dependent formulations that differ in centrifugation conditions, tube characteristics, cellular distribution, physical form, and subsequent processing. Conventional leukocyte- and platelet-rich fibrin (L-PRF) is produced from whole blood without anticoagulants and forms a solid fibrin clot that can be compressed into a membrane. Subsequent modifications of the centrifugation protocol led to A-PRF and A-PRF+. </w:t>
      </w:r>
      <w:r w:rsidR="007B495F" w:rsidRPr="00497923">
        <w:rPr>
          <w:rFonts w:ascii="Times New Roman" w:hAnsi="Times New Roman" w:cs="Times New Roman"/>
          <w:sz w:val="24"/>
          <w:szCs w:val="24"/>
          <w:highlight w:val="yellow"/>
        </w:rPr>
        <w:t xml:space="preserve">In the original A-PRF protocol, a lower centrifugation intensity and a longer centrifugation period than those used for conventional L-PRF were applied, resulting in a different distribution of platelets and leukocytes within the fibrin matrix. A-PRF+ subsequently modified this low-speed approach by using a shorter centrifugation time; </w:t>
      </w:r>
      <w:r w:rsidR="007B495F" w:rsidRPr="00497923">
        <w:rPr>
          <w:rFonts w:ascii="Times New Roman" w:hAnsi="Times New Roman" w:cs="Times New Roman"/>
          <w:sz w:val="24"/>
          <w:szCs w:val="24"/>
          <w:highlight w:val="yellow"/>
        </w:rPr>
        <w:lastRenderedPageBreak/>
        <w:t>experimental studies reported differences in growth-factor release and cellular responses compared with conventional L-PRF</w:t>
      </w:r>
      <w:r w:rsidRPr="00497923">
        <w:rPr>
          <w:rFonts w:ascii="Times New Roman" w:hAnsi="Times New Roman" w:cs="Times New Roman"/>
          <w:sz w:val="24"/>
          <w:szCs w:val="24"/>
          <w:highlight w:val="yellow"/>
        </w:rPr>
        <w:t xml:space="preserve"> </w:t>
      </w:r>
      <w:r w:rsidR="009968D0" w:rsidRPr="00497923">
        <w:rPr>
          <w:rFonts w:ascii="Times New Roman" w:hAnsi="Times New Roman" w:cs="Times New Roman"/>
          <w:sz w:val="24"/>
          <w:szCs w:val="24"/>
          <w:highlight w:val="yellow"/>
        </w:rPr>
        <w:fldChar w:fldCharType="begin"/>
      </w:r>
      <w:r w:rsidR="00E43428" w:rsidRPr="00497923">
        <w:rPr>
          <w:rFonts w:ascii="Times New Roman" w:hAnsi="Times New Roman" w:cs="Times New Roman"/>
          <w:sz w:val="24"/>
          <w:szCs w:val="24"/>
          <w:highlight w:val="yellow"/>
        </w:rPr>
        <w:instrText xml:space="preserve"> ADDIN ZOTERO_ITEM CSL_CITATION {"citationID":"6Rc2Lz5B","properties":{"unsorted":false,"formattedCitation":"[9\\uc0\\u8211{}11]","plainCitation":"[9–11]","noteIndex":0},"citationItems":[{"id":1633,"uris":["http://zotero.org/users/13389697/items/X4D9EXPB"],"itemData":{"id":1633,"type":"article-journal","abstract":"Choukroun's platelet-rich fibrin (PRF) is obtained from blood without adding anticoagulants. In this study, protocols for standard platelet-rich fibrin (S-PRF) (2700 rpm, 12 minutes) and advanced platelet-rich fibrin (A-PRF) (1500 rpm, 14 minutes) were compared to establish by histological cell detection and histomorphometrical measurement of cell distribution the effects of the centrifugal force (speed and time) on the distribution of cells relevant for wound healing and tissue regeneration. Immunohistochemistry for monocytes, T and B -lymphocytes, neutrophilic granulocytes, CD34-positive stem cells, and platelets was performed on clots produced from four different human donors. Platelets were detected throughout the clot in both groups, although in the A-PRF group, more platelets were found in the distal part, away from the buffy coat (BC). T- and B-lymphocytes, stem cells, and monocytes were detected in the surroundings of the BC in both groups. Decreasing the rpm while increasing the centrifugation time in the A-PRF group gave an enhanced presence of neutrophilic granulocytes in the distal part of the clot. In the S-PRF group, neutrophils were found mostly at the red blood cell (RBC)-BC interface. Neutrophilic granulocytes contribute to monocyte differentiation into macrophages. Accordingly, a higher presence of these cells might be able to influence the differentiation of host macrophages and macrophages within the clot after implantation. Thus, A-PRF might influence bone and soft tissue regeneration, especially through the presence of monocytes/macrophages and their growth factors. The relevance and feasibility of this tissue-engineering concept have to be proven through in vivo studies.","container-title":"The Journal of oral implantology","DOI":"10.1563/aaid-joi-d-14-00138","ISSN":"1548-1336","issue":"6","journalAbbreviation":"J Oral Implantol","language":"eng","page":"679-689","PMID":"24945603","source":"Europe PMC","title":"Advanced platelet-rich fibrin: a new concept for cell-based tissue engineering by means of inflammatory cells","title-short":"Advanced platelet-rich fibrin","volume":"40","author":[{"family":"Ghanaati","given":"Shahram"},{"family":"Booms","given":"Patrick"},{"family":"Orlowska","given":"Anna"},{"family":"Kubesch","given":"Alica"},{"family":"Lorenz","given":"Jonas"},{"family":"Rutkowski","given":"Jim"},{"family":"Landes","given":"Constantin"},{"family":"Sader","given":"Robert"},{"family":"Kirkpatrick","given":"Cj"},{"family":"Choukroun","given":"Joseph"}],"issued":{"date-parts":[["2014",12,1]]}}},{"id":1634,"uris":["http://zotero.org/users/13389697/items/QGCX9XKF"],"itemData":{"id":1634,"type":"article-journal","abstract":"BACKGROUND: Over the past decade, use of leukocyte platelet-rich fibrin (L-PRF) has gained tremendous momentum in regenerative dentistry as a low-cost fibrin matrix used for tissue regeneration. This study characterizes how centrifugation speed (G-force) along with centrifugation time influence growth factor release from fibrin clots, as well as the cellular activity of gingival fibroblasts exposed to each PRF matrix.\nMETHODS: Standard L-PRF served as a control (2,700 revolutions per minute [rpm]-12 minutes). Two test groups using low-speed (1,300 rpm-14 minutes, termed advanced PRF [A-PRF]) and low-speed + time (1,300 rpm-8 minutes; A-PRF+) were investigated. Each PRF matrix was tested for growth factor release up to 10 days (eight donor samples) as well as biocompatibility and cellular activity.\nRESULTS: The low-speed concept (A-PRF, A-PRF+) demonstrated a significant increase in growth factor release of platelet-derived growth factor (PDGF), transforming growth factor (TGF)-β1, epidermal growth factor, and insulin-like growth factor, with A-PRF+ being highest of all groups. Although all PRF formulations were extremely biocompatible due to their autogenous sources, both A-PRF and A-PRF+ demonstrated significantly higher levels of human fibroblast migration and proliferation compared with L-PRF. Furthermore, gingival fibroblasts cultured with A-PRF+ demonstrated significantly higher messenger RNA (mRNA) levels of PDGF, TGF-β, and collagen1 at either 3 or 7 days.\nCONCLUSIONS: The findings from the present study demonstrate modifications to centrifugation speed and time with the low-speed concept favor an increase in growth factor release from PRF clots. This, in turn, may directly influence tissue regeneration by increasing fibroblast migration, proliferation, and collagen mRNA levels. Future animal and clinical studies are now necessary.","container-title":"Journal of Periodontology","DOI":"10.1902/jop.2016.160443","ISSN":"1943-3670","issue":"1","journalAbbreviation":"J Periodontol","language":"eng","page":"112-121","PMID":"27587367","source":"PubMed","title":"Optimized Platelet-Rich Fibrin With the Low-Speed Concept: Growth Factor Release, Biocompatibility, and Cellular Response","title-short":"Optimized Platelet-Rich Fibrin With the Low-Speed Concept","volume":"88","author":[{"family":"Fujioka-Kobayashi","given":"Masako"},{"family":"Miron","given":"Richard J."},{"family":"Hernandez","given":"Maria"},{"family":"Kandalam","given":"Umadevi"},{"family":"Zhang","given":"Yufeng"},{"family":"Choukroun","given":"Joseph"}],"issued":{"date-parts":[["2017",1]]}}},{"id":1943,"uris":["http://zotero.org/users/13389697/items/KX3SW2AZ"],"itemData":{"id":1943,"type":"article-journal","abstract":"Platelet-rich fibrin (PRF) belongs to a new generation of platelet concentrates geared to simplified preparation without biochemical blood handling. In this initial article, we describe the conceptual and technical evolution from fibrin glues to platelet concentrates. This retrospective analysis is necessary for the understanding of fibrin technologies and the evaluation of the biochemical properties of 3 generations of surgical additives, respectively fibrin adhesives, concentrated platelet-rich plasma (cPRP) and PRF. Indeed, the 3-dimensional fibrin architecture is deeply dependent on artificial clinical polymerization processes, such as massive bovine thrombin addition. Currently, the slow polymerization during PRF preparation seems to generate a fibrin network very similar to the natural one. Such a network leads to a more efficient cell migration and proliferation and thus cicatrization.","container-title":"Oral Surgery, Oral Medicine, Oral Pathology, Oral Radiology, and Endodontics","DOI":"10.1016/j.tripleo.2005.07.008","ISSN":"1528-395X","issue":"3","journalAbbreviation":"Oral Surg Oral Med Oral Pathol Oral Radiol Endod","language":"eng","page":"e37-44","PMID":"16504849","source":"PubMed","title":"Platelet-rich fibrin (PRF): a second-generation platelet concentrate. Part I: technological concepts and evolution","title-short":"Platelet-rich fibrin (PRF)","volume":"101","author":[{"family":"Dohan","given":"David M."},{"family":"Choukroun","given":"Joseph"},{"family":"Diss","given":"Antoine"},{"family":"Dohan","given":"Steve L."},{"family":"Dohan","given":"Anthony J. J."},{"family":"Mouhyi","given":"Jaafar"},{"family":"Gogly","given":"Bruno"}],"issued":{"date-parts":[["2006",3]]}}}],"schema":"https://github.com/citation-style-language/schema/raw/master/csl-citation.json"} </w:instrText>
      </w:r>
      <w:r w:rsidR="009968D0" w:rsidRPr="00497923">
        <w:rPr>
          <w:rFonts w:ascii="Times New Roman" w:hAnsi="Times New Roman" w:cs="Times New Roman"/>
          <w:sz w:val="24"/>
          <w:szCs w:val="24"/>
          <w:highlight w:val="yellow"/>
        </w:rPr>
        <w:fldChar w:fldCharType="separate"/>
      </w:r>
      <w:r w:rsidR="00E43428" w:rsidRPr="00497923">
        <w:rPr>
          <w:rFonts w:ascii="Calibri" w:hAnsi="Calibri" w:cs="Calibri"/>
          <w:kern w:val="0"/>
          <w:sz w:val="24"/>
        </w:rPr>
        <w:t>[9–11]</w:t>
      </w:r>
      <w:r w:rsidR="009968D0" w:rsidRPr="00497923">
        <w:rPr>
          <w:rFonts w:ascii="Times New Roman" w:hAnsi="Times New Roman" w:cs="Times New Roman"/>
          <w:sz w:val="24"/>
          <w:szCs w:val="24"/>
          <w:highlight w:val="yellow"/>
        </w:rPr>
        <w:fldChar w:fldCharType="end"/>
      </w:r>
      <w:r w:rsidR="007B4418" w:rsidRPr="00497923">
        <w:rPr>
          <w:rFonts w:ascii="Times New Roman" w:hAnsi="Times New Roman" w:cs="Times New Roman"/>
          <w:sz w:val="24"/>
          <w:szCs w:val="24"/>
          <w:highlight w:val="yellow"/>
        </w:rPr>
        <w:t xml:space="preserve">. </w:t>
      </w:r>
    </w:p>
    <w:p w14:paraId="23A38B4D" w14:textId="547655E4" w:rsidR="007B4418" w:rsidRPr="00497923" w:rsidRDefault="00DB1F3F" w:rsidP="007B4418">
      <w:pPr>
        <w:spacing w:line="480" w:lineRule="auto"/>
        <w:rPr>
          <w:rFonts w:ascii="Times New Roman" w:hAnsi="Times New Roman" w:cs="Times New Roman"/>
          <w:sz w:val="24"/>
          <w:szCs w:val="24"/>
        </w:rPr>
      </w:pPr>
      <w:r w:rsidRPr="00497923">
        <w:rPr>
          <w:rFonts w:ascii="Times New Roman" w:hAnsi="Times New Roman" w:cs="Times New Roman"/>
          <w:sz w:val="24"/>
          <w:szCs w:val="24"/>
          <w:highlight w:val="yellow"/>
        </w:rPr>
        <w:t>Other PRF derivatives involve changes beyond centrifugation speed and duration. T-PRF is prepared using titanium tubes rather than the glass or glass-coated tubes traditionally associated with L-PRF, providing a different platelet-activation surface and fibrin architecture</w:t>
      </w:r>
      <w:r w:rsidR="007B4418" w:rsidRPr="00497923">
        <w:rPr>
          <w:rFonts w:ascii="Times New Roman" w:hAnsi="Times New Roman" w:cs="Times New Roman"/>
          <w:sz w:val="24"/>
          <w:szCs w:val="24"/>
          <w:highlight w:val="yellow"/>
        </w:rPr>
        <w:t xml:space="preserve"> </w:t>
      </w:r>
      <w:r w:rsidR="009968D0" w:rsidRPr="00497923">
        <w:rPr>
          <w:rFonts w:ascii="Times New Roman" w:hAnsi="Times New Roman" w:cs="Times New Roman"/>
          <w:sz w:val="24"/>
          <w:szCs w:val="24"/>
          <w:highlight w:val="yellow"/>
        </w:rPr>
        <w:fldChar w:fldCharType="begin"/>
      </w:r>
      <w:r w:rsidR="00600E6E">
        <w:rPr>
          <w:rFonts w:ascii="Times New Roman" w:hAnsi="Times New Roman" w:cs="Times New Roman"/>
          <w:sz w:val="24"/>
          <w:szCs w:val="24"/>
          <w:highlight w:val="yellow"/>
        </w:rPr>
        <w:instrText xml:space="preserve"> ADDIN ZOTERO_ITEM CSL_CITATION {"citationID":"OBDgKgJj","properties":{"unsorted":false,"formattedCitation":"[12]","plainCitation":"[12]","noteIndex":0},"citationItems":[{"id":1636,"uris":["http://zotero.org/users/13389697/items/8BM69MES"],"itemData":{"id":1636,"type":"article-journal","abstract":"We have developed a new, titanium-prepared, platelet-rich fibrin (T-PRF) together with the protocol for forming it, which is based on the hypothesis that titanium tubes may be more effective at activating platelets than the glass tubes used by Chouckroun in his platelet-rich fibrin (PRF) method. The aim of this study was to find a suitable animal model in which to evaluate the method and to investigate the efficacy of T-PRF for wound healing. Blood samples from 6 rabbits were used to confirm the protocol for formation of T-PRF. We evaluated T-PRF or T-PRF-like clots morphologically using scanning electron microscopy (EM). Blood samples from 5 rabbits were used to develop an experiment in which to evaluate the effects of T-PRF on wound healing. The mucoperiosteal flaps were filled with autologous T-PRF membranes from the vestibule in the anterior mandibular regions. Samples collected from the surgical sites were stained with haematoxylin and eosin. We found a mature fibrin network in T-PRF clots that had been centrifuged for 15 min at 3500 rpm and, 15 days after placement of the membrane, we found newly-forming connective tissue and islets of bony tissue in the T-PRF membrane. These results show that T-PRF could induce the formation of new bone with new connective tissue in a rabbit model of wound healing within 30 days of treatment.","container-title":"The British Journal of Oral &amp; Maxillofacial Surgery","DOI":"10.1016/j.bjoms.2012.08.003","ISSN":"1532-1940","issue":"5","journalAbbreviation":"Br J Oral Maxillofac Surg","language":"eng","page":"438-443","PMID":"22951383","source":"PubMed","title":"In vivo evaluation of titanium-prepared platelet-rich fibrin (T-PRF): a new platelet concentrate","title-short":"In vivo evaluation of titanium-prepared platelet-rich fibrin (T-PRF)","volume":"51","author":[{"family":"Tunalı","given":"Mustafa"},{"family":"Özdemir","given":"Hakan"},{"family":"Küçükodacı","given":"Zafer"},{"family":"Akman","given":"Serhan"},{"family":"Fıratlı","given":"Erhan"}],"issued":{"date-parts":[["2013",7]]}}}],"schema":"https://github.com/citation-style-language/schema/raw/master/csl-citation.json"} </w:instrText>
      </w:r>
      <w:r w:rsidR="009968D0" w:rsidRPr="00497923">
        <w:rPr>
          <w:rFonts w:ascii="Times New Roman" w:hAnsi="Times New Roman" w:cs="Times New Roman"/>
          <w:sz w:val="24"/>
          <w:szCs w:val="24"/>
          <w:highlight w:val="yellow"/>
        </w:rPr>
        <w:fldChar w:fldCharType="separate"/>
      </w:r>
      <w:r w:rsidR="00600E6E" w:rsidRPr="00600E6E">
        <w:rPr>
          <w:rFonts w:ascii="Calibri" w:hAnsi="Calibri" w:cs="Calibri"/>
          <w:sz w:val="24"/>
          <w:highlight w:val="yellow"/>
        </w:rPr>
        <w:t>[12]</w:t>
      </w:r>
      <w:r w:rsidR="009968D0" w:rsidRPr="00497923">
        <w:rPr>
          <w:rFonts w:ascii="Times New Roman" w:hAnsi="Times New Roman" w:cs="Times New Roman"/>
          <w:sz w:val="24"/>
          <w:szCs w:val="24"/>
          <w:highlight w:val="yellow"/>
        </w:rPr>
        <w:fldChar w:fldCharType="end"/>
      </w:r>
      <w:r w:rsidR="007B4418" w:rsidRPr="00497923">
        <w:rPr>
          <w:rFonts w:ascii="Times New Roman" w:hAnsi="Times New Roman" w:cs="Times New Roman"/>
          <w:sz w:val="24"/>
          <w:szCs w:val="24"/>
          <w:highlight w:val="yellow"/>
        </w:rPr>
        <w:t xml:space="preserve">. </w:t>
      </w:r>
      <w:r w:rsidRPr="00497923">
        <w:rPr>
          <w:rFonts w:ascii="Times New Roman" w:hAnsi="Times New Roman" w:cs="Times New Roman"/>
          <w:sz w:val="24"/>
          <w:szCs w:val="24"/>
          <w:highlight w:val="yellow"/>
        </w:rPr>
        <w:t xml:space="preserve">In contrast to solid PRF matrices, </w:t>
      </w:r>
      <w:proofErr w:type="spellStart"/>
      <w:r w:rsidRPr="00497923">
        <w:rPr>
          <w:rFonts w:ascii="Times New Roman" w:hAnsi="Times New Roman" w:cs="Times New Roman"/>
          <w:sz w:val="24"/>
          <w:szCs w:val="24"/>
          <w:highlight w:val="yellow"/>
        </w:rPr>
        <w:t>i</w:t>
      </w:r>
      <w:proofErr w:type="spellEnd"/>
      <w:r w:rsidRPr="00497923">
        <w:rPr>
          <w:rFonts w:ascii="Times New Roman" w:hAnsi="Times New Roman" w:cs="Times New Roman"/>
          <w:sz w:val="24"/>
          <w:szCs w:val="24"/>
          <w:highlight w:val="yellow"/>
        </w:rPr>
        <w:t xml:space="preserve">-PRF is obtained using short-duration, low-force centrifugation and remains temporarily liquid, allowing injection or incorporation into particulate graft materials before fibrin polymerization. Alb-PRF involves thermal denaturation of the platelet-poor plasma albumin fraction followed by recombination with the cellular liquid-PRF fraction, producing a biomaterial designed to provide greater structural and volumetric stability than conventional PRF. These protocol-specific differences are clinically relevant because the resulting products differ in physical form and handling characteristics and are not directly interchangeable. Moreover, centrifugation parameters cannot be interpreted solely by revolutions per minute, as relative centrifugal force is influenced by centrifuge and rotor characteristics; tube composition may also affect the properties of the resulting PRF matrix. Therefore, familiarity with conventional PRF does not necessarily indicate knowledge of the preparation principles or potential applications of newer derivatives. The present survey consequently assessed both established and advanced PRF formulations to identify whether practitioners’ knowledge extends beyond general PRF concepts to the protocol-specific characteristics increasingly encountered in regenerative dentistry </w:t>
      </w:r>
      <w:r w:rsidRPr="00497923">
        <w:rPr>
          <w:rFonts w:ascii="Times New Roman" w:hAnsi="Times New Roman" w:cs="Times New Roman"/>
          <w:sz w:val="24"/>
          <w:szCs w:val="24"/>
          <w:highlight w:val="yellow"/>
        </w:rPr>
        <w:fldChar w:fldCharType="begin"/>
      </w:r>
      <w:r w:rsidR="00600E6E">
        <w:rPr>
          <w:rFonts w:ascii="Times New Roman" w:hAnsi="Times New Roman" w:cs="Times New Roman"/>
          <w:sz w:val="24"/>
          <w:szCs w:val="24"/>
          <w:highlight w:val="yellow"/>
        </w:rPr>
        <w:instrText xml:space="preserve"> ADDIN ZOTERO_ITEM CSL_CITATION {"citationID":"qgova3rK","properties":{"unsorted":false,"formattedCitation":"[7, 13\\uc0\\u8211{}15]","plainCitation":"[7, 13–15]","noteIndex":0},"citationItems":[{"id":1627,"uris":["http://zotero.org/users/13389697/items/847NPQ76"],"itemData":{"id":1627,"type":"article-journal","abstract":"A schematic figure of the applications of I-PRF in soft and hard tissue regeneration in relation to oral and maxillofacial structures, and its preparation method.ga1","container-title":"The Japanese Dental Science Review","DOI":"10.1016/j.jdsr.2022.02.003","ISSN":"1882-7616","journalAbbreviation":"Jpn Dent Sci Rev","page":"89-123","PMID":"35368368","PMCID":"PMC8971935","source":"PubMed Central","title":"The application of injectable platelet-rich fibrin in regenerative dentistry: A systematic scoping review of In vitro and In vivo studies","title-short":"The application of injectable platelet-rich fibrin in regenerative dentistry","volume":"58","author":[{"family":"Farshidfar","given":"Nima"},{"family":"Jafarpour","given":"Dana"},{"family":"Firoozi","given":"Parsa"},{"family":"Sahmeddini","given":"Sarina"},{"family":"Hamedani","given":"Shahram"},{"family":"Souza","given":"Raphael Freitas","non-dropping-particle":"de"},{"family":"Tayebi","given":"Lobat"}],"issued":{"date-parts":[["2022",11]]}}},{"id":1638,"uris":["http://zotero.org/users/13389697/items/ZC8V2MN2"],"itemData":{"id":1638,"type":"article-journal","abstract":"The growing multidisciplinary field of tissue engineering aims at predictably regenerating, enhancing, or replacing damaged or missing tissues for a variety of conditions caused by trauma, disease, and old age. One area of research that has gained tremendous awareness in recent years is that of platelet-rich fibrin (PRF), which has been utilized across a wide variety of medical fields for the regeneration of soft tissues. This systematic review gathered all the currently available in vitro, in vivo, and clinical literature utilizing PRF for soft tissue regeneration, augmentation, and/or wound healing. In total, 164 publications met the original search criteria, with a total of 48 publications meeting inclusion criteria (kappa score = 94%). These studies were divided into 7 in vitro, 11 in vivo, and 31 clinical studies. In summary, 6 out of 7 (85.7%) and 11 out of 11 (100%) of the in vitro and in vivo studies, respectively, demonstrated a statistically significant advantage for combining PRF to their regenerative therapies. Out of the remaining 31 clinical studies, a total of 8 reported the effects of PRF in a randomized clinical trial, with 5 additional studies (13 total) reporting appropriate controls. In those clinical studies, 9 out of the 13 studies (69.2%) demonstrated a statistically relevant positive outcome for the primary endpoints measured. In total, 18 studies (58% of clinical studies) reported positive wound-healing events associated with the use of PRF, despite using controls. Furthermore, 27 of the 31 clinical studies (87%) supported the use of PRF for soft tissue regeneration and wound healing for a variety of procedures in medicine and dentistry. In conclusion, the results from the present systematic review highlight the positive effects of PRF on wound healing after regenerative therapy for the management of various soft tissue defects found in medicine and dentistry.","container-title":"Tissue Engineering. Part B, Reviews","DOI":"10.1089/ten.TEB.2016.0233","ISSN":"1937-3376","issue":"1","journalAbbreviation":"Tissue Eng Part B Rev","language":"eng","page":"83-99","PMID":"27672729","source":"PubMed","title":"Platelet-Rich Fibrin and Soft Tissue Wound Healing: A Systematic Review","title-short":"Platelet-Rich Fibrin and Soft Tissue Wound Healing","volume":"23","author":[{"family":"Miron","given":"Richard J."},{"family":"Fujioka-Kobayashi","given":"Masako"},{"family":"Bishara","given":"Mark"},{"family":"Zhang","given":"Yufeng"},{"family":"Hernandez","given":"Maria"},{"family":"Choukroun","given":"Joseph"}],"issued":{"date-parts":[["2017",2]]}}},{"id":1640,"uris":["http://zotero.org/users/13389697/items/XMUZAYL5"],"itemData":{"id":1640,"type":"article-journal","container-title":"The Saudi Dental Journal","DOI":"10.1016/j.sdentj.2023.07.008","ISSN":"1013-9052","issue":"7","journalAbbreviation":"Saudi Dent J","page":"797-802","PMID":"38025602","PMCID":"PMC10658391","source":"PubMed Central","title":"Novel approaches to the use of platelet-rich fibrin: A literature review","title-short":"Novel approaches to the use of platelet-rich fibrin","volume":"35","author":[{"family":"Elver","given":"Atalay"},{"family":"Caymaz","given":"Mehmet Gagari"}],"issued":{"date-parts":[["2023",11]]}}},{"id":1941,"uris":["http://zotero.org/users/13389697/items/7NSKFFKP"],"itemData":{"id":1941,"type":"article-journal","abstract":"Platelet-rich fibrin (PRF) has been proposed as an autologous membrane with the advantages of host accumulation of platelets and leukocytes with entrapment of growth factors. However, limitations include its faster resorption properties (~2 weeks). Interestingly, recent studies have demonstrated that by heating a liquid platelet-poor plasma (PPP) layer, the resorption properties of heated albumin (albumin gel) can be extended from 2 weeks to greater than 4 months (e-PRF). The aim of the present study was to characterize the biological properties of this novel regenerative modality. Whole blood collected from peripheral blood in 9-mL plastic tubes was centrifuged at 700 g for 8 minutes. Thereafter, the platelet-poor plasma layer was heated at 75°C for 10 minutes to create denatured albumin (albumin gel). The remaining cells and growth factor found within the buffy coat layer (liquid PRF) were thereafter mixed back together with the cooled albumin gel to form Alb-PRF. Histological analysis, including the distribution of cells within Alb-PRF, was then performed. Seven different growth factor release kinetics from Alb-PRF were characterized up to 10 days, including PDGF-AA, PDGF-AB, PDGF-BB, TGF-β1, VEGF, IGF and EGF. Thereafter, gingival fibroblast cell responses to Alb-PRF were investigated by means of a live/dead assay at 24 hours; migration assay at 24 hours; proliferation assay at 1, 3 and 5 days; real-time PCR for the expression of TGF-β and collagen 1a2 at 3 and 7 days; and collagen 1 immunostaining at 14 days. It was first observed histologically that viable cells were evenly distributed throughout the Alb-PRF formulation. Growth factor release demonstrated a slow and gradual release, particularly for TGF-β1 and PDGF-AA/AB, during the entire 10-day period. Alb-PRF also exhibited statistically significantly higher cell biocompatibility at 24 hours and statistically significantly induced greater fibroblast proliferation at 5 days when compared to those of control TCP. Alb-PRF further induced statistically significantly greater mRNA levels of TGF-β at 3 and 7 days, as well as collagen 1 at 7 days. The present results indicate that Alb-PRF possesses regenerative properties induced by the slow and gradual release of growth factors found in liquid PRF via albumin gel degradation. Future studies are thus warranted to fully characterize the degradation properties of Alb-PRF in vivo and explore future clinical applications in various fields of medicine.","container-title":"Platelets","DOI":"10.1080/09537104.2020.1717455","ISSN":"1369-1635","issue":"1","journalAbbreviation":"Platelets","language":"eng","page":"74-81","PMID":"31959025","source":"PubMed","title":"Biological characterization of an injectable platelet-rich fibrin mixture consisting of autologous albumin gel and liquid platelet-rich fibrin (Alb-PRF)","volume":"32","author":[{"family":"Fujioka-Kobayashi","given":"Masako"},{"family":"Schaller","given":"Benoit"},{"family":"Mourão","given":"Carlos Fernando De Almeida Barros"},{"family":"Zhang","given":"Yufeng"},{"family":"Sculean","given":"Anton"},{"family":"Miron","given":"Richard J."}],"issued":{"date-parts":[["2021",1,2]]}}}],"schema":"https://github.com/citation-style-language/schema/raw/master/csl-citation.json"} </w:instrText>
      </w:r>
      <w:r w:rsidRPr="00497923">
        <w:rPr>
          <w:rFonts w:ascii="Times New Roman" w:hAnsi="Times New Roman" w:cs="Times New Roman"/>
          <w:sz w:val="24"/>
          <w:szCs w:val="24"/>
          <w:highlight w:val="yellow"/>
        </w:rPr>
        <w:fldChar w:fldCharType="separate"/>
      </w:r>
      <w:r w:rsidR="00600E6E" w:rsidRPr="00600E6E">
        <w:rPr>
          <w:rFonts w:ascii="Times New Roman" w:hAnsi="Times New Roman" w:cs="Times New Roman"/>
          <w:kern w:val="0"/>
          <w:sz w:val="24"/>
        </w:rPr>
        <w:t>[7, 13–15]</w:t>
      </w:r>
      <w:r w:rsidRPr="00497923">
        <w:rPr>
          <w:rFonts w:ascii="Times New Roman" w:hAnsi="Times New Roman" w:cs="Times New Roman"/>
          <w:sz w:val="24"/>
          <w:szCs w:val="24"/>
          <w:highlight w:val="yellow"/>
        </w:rPr>
        <w:fldChar w:fldCharType="end"/>
      </w:r>
      <w:r w:rsidRPr="00497923">
        <w:rPr>
          <w:rFonts w:ascii="Times New Roman" w:hAnsi="Times New Roman" w:cs="Times New Roman"/>
          <w:sz w:val="24"/>
          <w:szCs w:val="24"/>
          <w:highlight w:val="yellow"/>
        </w:rPr>
        <w:t>.</w:t>
      </w:r>
      <w:r w:rsidRPr="00497923">
        <w:rPr>
          <w:rFonts w:ascii="Times New Roman" w:hAnsi="Times New Roman" w:cs="Times New Roman"/>
          <w:sz w:val="24"/>
          <w:szCs w:val="24"/>
        </w:rPr>
        <w:t xml:space="preserve"> </w:t>
      </w:r>
    </w:p>
    <w:p w14:paraId="5423D45A" w14:textId="44136987" w:rsidR="007B4418" w:rsidRPr="00497923" w:rsidRDefault="007B495F" w:rsidP="007B4418">
      <w:pPr>
        <w:spacing w:line="480" w:lineRule="auto"/>
        <w:rPr>
          <w:rFonts w:ascii="Times New Roman" w:hAnsi="Times New Roman" w:cs="Times New Roman"/>
          <w:sz w:val="24"/>
          <w:szCs w:val="24"/>
        </w:rPr>
      </w:pPr>
      <w:r w:rsidRPr="00497923">
        <w:rPr>
          <w:rFonts w:ascii="Times New Roman" w:hAnsi="Times New Roman" w:cs="Times New Roman"/>
          <w:sz w:val="24"/>
          <w:szCs w:val="24"/>
        </w:rPr>
        <w:t xml:space="preserve">Despite increasing interest in PRF, substantial heterogeneity remains in preparation protocols, terminology, and clinical application. Recent survey data from oral and maxillofacial surgery also demonstrate variable clinical adoption of PRF, ranging from routine use to selective use or non-use. However, comprehensive data evaluating dentists’ knowledge, attitudes, and </w:t>
      </w:r>
      <w:r w:rsidRPr="00497923">
        <w:rPr>
          <w:rFonts w:ascii="Times New Roman" w:hAnsi="Times New Roman" w:cs="Times New Roman"/>
          <w:sz w:val="24"/>
          <w:szCs w:val="24"/>
        </w:rPr>
        <w:lastRenderedPageBreak/>
        <w:t xml:space="preserve">clinical use of PRF remain limited, particularly with regard to newer derivatives and their protocol-specific preparation principles </w:t>
      </w:r>
      <w:r w:rsidR="00701142" w:rsidRPr="00497923">
        <w:rPr>
          <w:rFonts w:ascii="Times New Roman" w:hAnsi="Times New Roman" w:cs="Times New Roman"/>
          <w:sz w:val="24"/>
          <w:szCs w:val="24"/>
        </w:rPr>
        <w:fldChar w:fldCharType="begin"/>
      </w:r>
      <w:r w:rsidRPr="00497923">
        <w:rPr>
          <w:rFonts w:ascii="Times New Roman" w:hAnsi="Times New Roman" w:cs="Times New Roman"/>
          <w:sz w:val="24"/>
          <w:szCs w:val="24"/>
        </w:rPr>
        <w:instrText xml:space="preserve"> ADDIN ZOTERO_ITEM CSL_CITATION {"citationID":"Zxq69W1Z","properties":{"unsorted":false,"formattedCitation":"[11, 16\\uc0\\u8211{}18]","plainCitation":"[11, 16–18]","noteIndex":0},"citationItems":[{"id":1943,"uris":["http://zotero.org/users/13389697/items/KX3SW2AZ"],"itemData":{"id":1943,"type":"article-journal","abstract":"Platelet-rich fibrin (PRF) belongs to a new generation of platelet concentrates geared to simplified preparation without biochemical blood handling. In this initial article, we describe the conceptual and technical evolution from fibrin glues to platelet concentrates. This retrospective analysis is necessary for the understanding of fibrin technologies and the evaluation of the biochemical properties of 3 generations of surgical additives, respectively fibrin adhesives, concentrated platelet-rich plasma (cPRP) and PRF. Indeed, the 3-dimensional fibrin architecture is deeply dependent on artificial clinical polymerization processes, such as massive bovine thrombin addition. Currently, the slow polymerization during PRF preparation seems to generate a fibrin network very similar to the natural one. Such a network leads to a more efficient cell migration and proliferation and thus cicatrization.","container-title":"Oral Surgery, Oral Medicine, Oral Pathology, Oral Radiology, and Endodontics","DOI":"10.1016/j.tripleo.2005.07.008","ISSN":"1528-395X","issue":"3","journalAbbreviation":"Oral Surg Oral Med Oral Pathol Oral Radiol Endod","language":"eng","page":"e37-44","PMID":"16504849","source":"PubMed","title":"Platelet-rich fibrin (PRF): a second-generation platelet concentrate. Part I: technological concepts and evolution","title-short":"Platelet-rich fibrin (PRF)","volume":"101","author":[{"family":"Dohan","given":"David M."},{"family":"Choukroun","given":"Joseph"},{"family":"Diss","given":"Antoine"},{"family":"Dohan","given":"Steve L."},{"family":"Dohan","given":"Anthony J. J."},{"family":"Mouhyi","given":"Jaafar"},{"family":"Gogly","given":"Bruno"}],"issued":{"date-parts":[["2006",3]]}}},{"id":1652,"uris":["http://zotero.org/users/13389697/items/B4EHA5P9"],"itemData":{"id":1652,"type":"article-journal","abstract":"Introduction: Platelet-rich fibrin (PRF) and platelet-rich plasma (PRP) utilize autologous blood and share the objective of leveraging blood-derived growth factors to enhance the body's natural healing process. A large extensive use has been made in various branches of dentistry. Methods: A total of 4175 records were identified from the electronic search, specifically 291 from BioMed Central, 3406 from MEDLINE/PubMed, 304 from the Cochrane library databases, and 174 from the PROSPERO register. This review was performed in relation to the PRISMA flow chart and was annotated in the PROSPERO register. Results: In total, 3416 title abstracts were screened, and a total of 40 systematic reviews were finally included in the present umbrella review. Conclusions: Research supports the use of PRF and PRP in different fields of dentistry. This is a huge potential for the patient but also for the doctor as these products are from the patient and have zero cost. However, further studies are needed, especially RCTs, to have clearer evidence on the role of PRF and PRP.","container-title":"Journal of Clinical Medicine","DOI":"10.3390/jcm14093224","ISSN":"2077-0383","issue":"9","journalAbbreviation":"J Clin Med","language":"eng","page":"3224","PMID":"40364255","PMCID":"PMC12072518","source":"PubMed","title":"PRF and PRP in Dentistry: An Umbrella Review","title-short":"PRF and PRP in Dentistry","volume":"14","author":[{"family":"Acerra","given":"Alfonso"},{"family":"Caggiano","given":"Mario"},{"family":"Chiacchio","given":"Andrea"},{"family":"Scognamiglio","given":"Bruno"},{"family":"D'Ambrosio","given":"Francesco"}],"issued":{"date-parts":[["2025",5,6]]}}},{"id":1655,"uris":["http://zotero.org/users/13389697/items/KDZ5LRJ2"],"itemData":{"id":1655,"type":"article-journal","abstract":"INTRODUCTION: Dental implantology is a core competency of Oral and Maxillofacial Surgery (OMFS). However, detailed data on the current treatment concepts in implantology in OMFS in Germany are limited. This study analyzed current treatment concepts, clinical practices, decision-making factors, and the adoption of advanced technologies in implantology in OMFS in Germany.\nMATERIAL AND METHODS: A dynamic online questionnaire with up to 38 questions was sent to 1391 OMFS members of the German Association of Oral and Maxillofacial Surgery (DGMKG). The questionnaire collected general and specific data, such as implantological experience, time points of implant placement (immediate vs. delayed), implant systems and designs, imaging modalities, digital planning, guided surgery, healing, (immediate) prosthetic restorations, follow-up, pre- and postoperative management, and the use of platelet-rich fibrin (PRF). Data analysis was descriptive and anonymous.\nRESULTS: 276 OMF surgeons participated in the study, with an average of 20 years of experience in implantology. Most worked in private practices without inpatient facilities (66.3%). Most placed 201-500 implants per year (34.78%). 78.99% performed immediate implant placement, mainly to shorten treatment time and preserve alveolar bone. Cone beam CT (88.42%) and panoramic radiographs (68.34%) were the most common imaging modalities. Virtual planning was used by 73.08%, and guided surgery was used by 66.54%, mainly with externally produced guides. Most participants preferred closed implant healing (83.53%). Immediate prosthetic restorations (PR) were rarely performed (57.83% never), and 70.92% did not carry out definitive PR. Risk factors for implant failure were poor oral hygiene (84.72%), limited surgical experience (76.39%), and smoking (75%). PRF was used routinely by 9.72%, and selectively by 45.83% CONCLUSION: The results indicate high implantological standards and heterogeneity in current treatment concepts in OMFS implantology in Germany. Possible reasons may include the surgeon's training and experience, the private practices' and clinics' organizational and structural features, and the referral network.\nCLINICAL RELEVANCE: This study underscores the importance of implantological education and training, interdisciplinary communication, and the further implementation of guidelines.","container-title":"International Journal of Implant Dentistry","DOI":"10.1186/s40729-026-00668-4","ISSN":"2198-4034","issue":"1","journalAbbreviation":"Int J Implant Dent","language":"eng","page":"9","PMID":"41729359","PMCID":"PMC12929735","source":"PubMed","title":"Current treatment concepts in implantology in oral and maxillofacial surgery in Germany","volume":"12","author":[{"family":"Pabst","given":"Andreas"},{"family":"Wiegner","given":"Jörg"},{"family":"Schneider","given":"Matthias"},{"family":"Weyer","given":"Nils"},{"family":"Bartella","given":"Alexander"},{"family":"Becker","given":"Philipp"},{"family":"Zeller","given":"Alexander-N."}],"issued":{"date-parts":[["2026",2,23]]}}},{"id":1658,"uris":["http://zotero.org/users/13389697/items/TA9D7E3M"],"itemData":{"id":1658,"type":"article-journal","abstract":"Background\nThe application of blood concentrates has gained popularity in dentistry in recent years. Platelet-rich fibrin (PRF) has been discussed frequently due to a high content of growth factors and the option of chair-side manufacturing in a simple centrifugation process. PRF is free from adjuvants and inexpensive to produce. The number of studies reporting beneficial effects of PRF in various clinical applications such as alveolar ridge preservation, sinus floor elevation, management and prevention of medical-related osteonecrosis of the jaw, third molar extractions, and guided bone regeneration in dentistry has increased recently. However, to date, neither clinical recommendations nor guidelines are available. The present narrative review aims to summarize the level of evidence on the clinical application of PRF within the field of oral surgery and implantology.\n\nSummary\nA literature search in Pubmed and Medline has identified 34 articles as a basis for this narrative review. The effectiveness of the clinical application of PRF has been analyzed for five indications within dentistry: medical-related osteonecrosis of the jaw, wisdom tooth extraction, guided bone regeneration, sinus floor elevation, and alveolar ridge preservation. The amount of data for third molar extractions, socket preservation, and guided bone regeneration is extensive. Less data were available for the use of PRF in combination with sinus floor elevations. There is a lack of studies with scientific evidence on PRF and medical-related osteonecrosis of the jaw; however, studies positively impact patient-related outcome measures. Most studies report on beneficial effects when PRF is additionally applied in intrabony defects. There is no evidence of the positive effects of PRF combined with bone graft materials during sinus floor elevation. However, some benefits are reported with PRF as a sole filling material.\n\nKey Messages\nMany recently published studies show the positive clinical impact of PRF. Yet, further research is needed to ensure the validity of the evidence.","container-title":"Transfusion Medicine and Hemotherapy","DOI":"10.1159/000527526","ISSN":"1660-3796","issue":"4","journalAbbreviation":"Transfus Med Hemother","page":"348-359","PMID":"37767284","PMCID":"PMC10521222","source":"PubMed Central","title":"Platelet-Rich Fibrin in Oral Surgery and Implantology: A Narrative Review","title-short":"Platelet-Rich Fibrin in Oral Surgery and Implantology","volume":"50","author":[{"family":"Zwittnig","given":"Katharina"},{"family":"Mukaddam","given":"Khaled"},{"family":"Vegh","given":"Daniel"},{"family":"Herber","given":"Valentin"},{"family":"Jakse","given":"Norbert"},{"family":"Schlenke","given":"Peter"},{"family":"Zrnc","given":"Tomislav Ante"},{"family":"Payer","given":"Michael"}],"issued":{"date-parts":[["2022",12,22]]}}}],"schema":"https://github.com/citation-style-language/schema/raw/master/csl-citation.json"} </w:instrText>
      </w:r>
      <w:r w:rsidR="00701142" w:rsidRPr="00497923">
        <w:rPr>
          <w:rFonts w:ascii="Times New Roman" w:hAnsi="Times New Roman" w:cs="Times New Roman"/>
          <w:sz w:val="24"/>
          <w:szCs w:val="24"/>
        </w:rPr>
        <w:fldChar w:fldCharType="separate"/>
      </w:r>
      <w:r w:rsidRPr="00497923">
        <w:rPr>
          <w:rFonts w:ascii="Calibri" w:hAnsi="Calibri" w:cs="Calibri"/>
          <w:kern w:val="0"/>
          <w:sz w:val="24"/>
        </w:rPr>
        <w:t>[11, 16–18]</w:t>
      </w:r>
      <w:r w:rsidR="00701142" w:rsidRPr="00497923">
        <w:rPr>
          <w:rFonts w:ascii="Times New Roman" w:hAnsi="Times New Roman" w:cs="Times New Roman"/>
          <w:sz w:val="24"/>
          <w:szCs w:val="24"/>
        </w:rPr>
        <w:fldChar w:fldCharType="end"/>
      </w:r>
      <w:r w:rsidR="007B4418" w:rsidRPr="00497923">
        <w:rPr>
          <w:rFonts w:ascii="Times New Roman" w:hAnsi="Times New Roman" w:cs="Times New Roman"/>
          <w:sz w:val="24"/>
          <w:szCs w:val="24"/>
        </w:rPr>
        <w:t>.</w:t>
      </w:r>
    </w:p>
    <w:p w14:paraId="75BC94DC" w14:textId="745ECC07" w:rsidR="000C5B49" w:rsidRPr="00497923" w:rsidRDefault="007B4418" w:rsidP="008E68C3">
      <w:pPr>
        <w:spacing w:line="480" w:lineRule="auto"/>
        <w:rPr>
          <w:rFonts w:ascii="Times New Roman" w:hAnsi="Times New Roman" w:cs="Times New Roman"/>
          <w:b/>
          <w:bCs/>
          <w:sz w:val="24"/>
          <w:szCs w:val="24"/>
        </w:rPr>
      </w:pPr>
      <w:r w:rsidRPr="00497923">
        <w:rPr>
          <w:rFonts w:ascii="Times New Roman" w:hAnsi="Times New Roman" w:cs="Times New Roman"/>
          <w:sz w:val="24"/>
          <w:szCs w:val="24"/>
        </w:rPr>
        <w:t xml:space="preserve">Therefore, the aim of this study was to evaluate dentists’ knowledge, attitudes, and clinical use of PRF and its advanced derivatives, and to investigate the association of these parameters with demographic and professional characteristics. </w:t>
      </w:r>
      <w:r w:rsidR="00624D8E" w:rsidRPr="00624D8E">
        <w:rPr>
          <w:rFonts w:ascii="Times New Roman" w:hAnsi="Times New Roman" w:cs="Times New Roman"/>
          <w:sz w:val="24"/>
          <w:szCs w:val="24"/>
        </w:rPr>
        <w:t>It was hypothesized that formal education and structured training in PRF would be associated with higher knowledge levels and more positive attitudes, and that knowledge gaps would be particularly evident in protocol-specific and technically demanding aspects of PRF preparation.</w:t>
      </w:r>
    </w:p>
    <w:p w14:paraId="62ACB799" w14:textId="77777777" w:rsidR="000C5B49" w:rsidRPr="00497923" w:rsidRDefault="000C5B49" w:rsidP="008E68C3">
      <w:pPr>
        <w:spacing w:line="480" w:lineRule="auto"/>
        <w:rPr>
          <w:rFonts w:ascii="Times New Roman" w:hAnsi="Times New Roman" w:cs="Times New Roman"/>
          <w:b/>
          <w:bCs/>
          <w:sz w:val="24"/>
          <w:szCs w:val="24"/>
        </w:rPr>
      </w:pPr>
    </w:p>
    <w:p w14:paraId="21767970" w14:textId="77777777" w:rsidR="00B800B2" w:rsidRDefault="00B800B2" w:rsidP="008E68C3">
      <w:pPr>
        <w:spacing w:line="480" w:lineRule="auto"/>
        <w:rPr>
          <w:rFonts w:ascii="Times New Roman" w:hAnsi="Times New Roman" w:cs="Times New Roman"/>
          <w:b/>
          <w:bCs/>
          <w:sz w:val="24"/>
          <w:szCs w:val="24"/>
        </w:rPr>
      </w:pPr>
    </w:p>
    <w:p w14:paraId="5CDB23C7" w14:textId="77777777" w:rsidR="00B800B2" w:rsidRDefault="00B800B2" w:rsidP="008E68C3">
      <w:pPr>
        <w:spacing w:line="480" w:lineRule="auto"/>
        <w:rPr>
          <w:rFonts w:ascii="Times New Roman" w:hAnsi="Times New Roman" w:cs="Times New Roman"/>
          <w:b/>
          <w:bCs/>
          <w:sz w:val="24"/>
          <w:szCs w:val="24"/>
        </w:rPr>
      </w:pPr>
    </w:p>
    <w:p w14:paraId="1EB7AD3D" w14:textId="77777777" w:rsidR="00B800B2" w:rsidRDefault="00B800B2" w:rsidP="008E68C3">
      <w:pPr>
        <w:spacing w:line="480" w:lineRule="auto"/>
        <w:rPr>
          <w:rFonts w:ascii="Times New Roman" w:hAnsi="Times New Roman" w:cs="Times New Roman"/>
          <w:b/>
          <w:bCs/>
          <w:sz w:val="24"/>
          <w:szCs w:val="24"/>
        </w:rPr>
      </w:pPr>
    </w:p>
    <w:p w14:paraId="7F1BAA49" w14:textId="77777777" w:rsidR="00B800B2" w:rsidRDefault="00B800B2" w:rsidP="008E68C3">
      <w:pPr>
        <w:spacing w:line="480" w:lineRule="auto"/>
        <w:rPr>
          <w:rFonts w:ascii="Times New Roman" w:hAnsi="Times New Roman" w:cs="Times New Roman"/>
          <w:b/>
          <w:bCs/>
          <w:sz w:val="24"/>
          <w:szCs w:val="24"/>
        </w:rPr>
      </w:pPr>
    </w:p>
    <w:p w14:paraId="0D56B02C" w14:textId="77777777" w:rsidR="00B800B2" w:rsidRDefault="00B800B2" w:rsidP="008E68C3">
      <w:pPr>
        <w:spacing w:line="480" w:lineRule="auto"/>
        <w:rPr>
          <w:rFonts w:ascii="Times New Roman" w:hAnsi="Times New Roman" w:cs="Times New Roman"/>
          <w:b/>
          <w:bCs/>
          <w:sz w:val="24"/>
          <w:szCs w:val="24"/>
        </w:rPr>
      </w:pPr>
    </w:p>
    <w:p w14:paraId="1546266F" w14:textId="77777777" w:rsidR="00B800B2" w:rsidRDefault="00B800B2" w:rsidP="008E68C3">
      <w:pPr>
        <w:spacing w:line="480" w:lineRule="auto"/>
        <w:rPr>
          <w:rFonts w:ascii="Times New Roman" w:hAnsi="Times New Roman" w:cs="Times New Roman"/>
          <w:b/>
          <w:bCs/>
          <w:sz w:val="24"/>
          <w:szCs w:val="24"/>
        </w:rPr>
      </w:pPr>
    </w:p>
    <w:p w14:paraId="27962104" w14:textId="77777777" w:rsidR="00B800B2" w:rsidRDefault="00B800B2" w:rsidP="008E68C3">
      <w:pPr>
        <w:spacing w:line="480" w:lineRule="auto"/>
        <w:rPr>
          <w:rFonts w:ascii="Times New Roman" w:hAnsi="Times New Roman" w:cs="Times New Roman"/>
          <w:b/>
          <w:bCs/>
          <w:sz w:val="24"/>
          <w:szCs w:val="24"/>
        </w:rPr>
      </w:pPr>
    </w:p>
    <w:p w14:paraId="779A66CE" w14:textId="77777777" w:rsidR="00B800B2" w:rsidRDefault="00B800B2" w:rsidP="008E68C3">
      <w:pPr>
        <w:spacing w:line="480" w:lineRule="auto"/>
        <w:rPr>
          <w:rFonts w:ascii="Times New Roman" w:hAnsi="Times New Roman" w:cs="Times New Roman"/>
          <w:b/>
          <w:bCs/>
          <w:sz w:val="24"/>
          <w:szCs w:val="24"/>
        </w:rPr>
      </w:pPr>
    </w:p>
    <w:p w14:paraId="79FCE8B1" w14:textId="77777777" w:rsidR="00B800B2" w:rsidRDefault="00B800B2" w:rsidP="008E68C3">
      <w:pPr>
        <w:spacing w:line="480" w:lineRule="auto"/>
        <w:rPr>
          <w:rFonts w:ascii="Times New Roman" w:hAnsi="Times New Roman" w:cs="Times New Roman"/>
          <w:b/>
          <w:bCs/>
          <w:sz w:val="24"/>
          <w:szCs w:val="24"/>
        </w:rPr>
      </w:pPr>
    </w:p>
    <w:p w14:paraId="6E92ED17" w14:textId="77777777" w:rsidR="00B800B2" w:rsidRDefault="00B800B2" w:rsidP="008E68C3">
      <w:pPr>
        <w:spacing w:line="480" w:lineRule="auto"/>
        <w:rPr>
          <w:rFonts w:ascii="Times New Roman" w:hAnsi="Times New Roman" w:cs="Times New Roman"/>
          <w:b/>
          <w:bCs/>
          <w:sz w:val="24"/>
          <w:szCs w:val="24"/>
        </w:rPr>
      </w:pPr>
    </w:p>
    <w:p w14:paraId="7A3AEE49" w14:textId="77777777" w:rsidR="00B800B2" w:rsidRDefault="00B800B2" w:rsidP="008E68C3">
      <w:pPr>
        <w:spacing w:line="480" w:lineRule="auto"/>
        <w:rPr>
          <w:rFonts w:ascii="Times New Roman" w:hAnsi="Times New Roman" w:cs="Times New Roman"/>
          <w:b/>
          <w:bCs/>
          <w:sz w:val="24"/>
          <w:szCs w:val="24"/>
        </w:rPr>
      </w:pPr>
    </w:p>
    <w:p w14:paraId="0ABDCCD2" w14:textId="77777777" w:rsidR="00B800B2" w:rsidRDefault="00B800B2" w:rsidP="008E68C3">
      <w:pPr>
        <w:spacing w:line="480" w:lineRule="auto"/>
        <w:rPr>
          <w:rFonts w:ascii="Times New Roman" w:hAnsi="Times New Roman" w:cs="Times New Roman"/>
          <w:b/>
          <w:bCs/>
          <w:sz w:val="24"/>
          <w:szCs w:val="24"/>
        </w:rPr>
      </w:pPr>
    </w:p>
    <w:p w14:paraId="19B6CE57" w14:textId="41D45B42" w:rsidR="00ED42DA" w:rsidRPr="00497923" w:rsidRDefault="008E68C3" w:rsidP="008E68C3">
      <w:pPr>
        <w:spacing w:line="480" w:lineRule="auto"/>
        <w:rPr>
          <w:rFonts w:ascii="Times New Roman" w:hAnsi="Times New Roman" w:cs="Times New Roman"/>
          <w:sz w:val="24"/>
          <w:szCs w:val="24"/>
        </w:rPr>
      </w:pPr>
      <w:r w:rsidRPr="00497923">
        <w:rPr>
          <w:rFonts w:ascii="Times New Roman" w:hAnsi="Times New Roman" w:cs="Times New Roman"/>
          <w:b/>
          <w:bCs/>
          <w:sz w:val="24"/>
          <w:szCs w:val="24"/>
        </w:rPr>
        <w:lastRenderedPageBreak/>
        <w:t xml:space="preserve">Materials and Methods </w:t>
      </w:r>
    </w:p>
    <w:p w14:paraId="151692B6" w14:textId="77777777" w:rsidR="00ED42DA" w:rsidRPr="00497923" w:rsidRDefault="00ED42DA" w:rsidP="008E68C3">
      <w:pPr>
        <w:spacing w:line="480" w:lineRule="auto"/>
        <w:rPr>
          <w:rFonts w:ascii="Times New Roman" w:hAnsi="Times New Roman" w:cs="Times New Roman"/>
          <w:b/>
          <w:bCs/>
          <w:sz w:val="24"/>
          <w:szCs w:val="24"/>
        </w:rPr>
      </w:pPr>
      <w:r w:rsidRPr="00497923">
        <w:rPr>
          <w:rFonts w:ascii="Times New Roman" w:hAnsi="Times New Roman" w:cs="Times New Roman"/>
          <w:b/>
          <w:bCs/>
          <w:sz w:val="24"/>
          <w:szCs w:val="24"/>
        </w:rPr>
        <w:t>Study Design and Ethical Approval</w:t>
      </w:r>
    </w:p>
    <w:p w14:paraId="0D6F77EA" w14:textId="01595197" w:rsidR="00ED42DA" w:rsidRPr="00497923" w:rsidRDefault="00ED42DA" w:rsidP="008E68C3">
      <w:pPr>
        <w:spacing w:line="480" w:lineRule="auto"/>
        <w:rPr>
          <w:rFonts w:ascii="Times New Roman" w:hAnsi="Times New Roman" w:cs="Times New Roman"/>
          <w:sz w:val="24"/>
          <w:szCs w:val="24"/>
        </w:rPr>
      </w:pPr>
      <w:r w:rsidRPr="00497923">
        <w:rPr>
          <w:rFonts w:ascii="Times New Roman" w:hAnsi="Times New Roman" w:cs="Times New Roman"/>
          <w:sz w:val="24"/>
          <w:szCs w:val="24"/>
        </w:rPr>
        <w:t xml:space="preserve">This cross-sectional study was conducted using an online questionnaire to assess dentists’ knowledge, attitudes, and clinical use of PRF and its advanced derivatives. </w:t>
      </w:r>
      <w:r w:rsidR="00624D8E">
        <w:rPr>
          <w:rFonts w:ascii="Times New Roman" w:hAnsi="Times New Roman" w:cs="Times New Roman"/>
          <w:sz w:val="24"/>
          <w:szCs w:val="24"/>
        </w:rPr>
        <w:t>E</w:t>
      </w:r>
      <w:r w:rsidR="00624D8E" w:rsidRPr="00624D8E">
        <w:rPr>
          <w:rFonts w:ascii="Times New Roman" w:hAnsi="Times New Roman" w:cs="Times New Roman"/>
          <w:sz w:val="24"/>
          <w:szCs w:val="24"/>
        </w:rPr>
        <w:t xml:space="preserve">thical approval for the study was obtained from the Van </w:t>
      </w:r>
      <w:proofErr w:type="spellStart"/>
      <w:r w:rsidR="00624D8E" w:rsidRPr="00624D8E">
        <w:rPr>
          <w:rFonts w:ascii="Times New Roman" w:hAnsi="Times New Roman" w:cs="Times New Roman"/>
          <w:sz w:val="24"/>
          <w:szCs w:val="24"/>
        </w:rPr>
        <w:t>Yuzuncu</w:t>
      </w:r>
      <w:proofErr w:type="spellEnd"/>
      <w:r w:rsidR="00624D8E" w:rsidRPr="00624D8E">
        <w:rPr>
          <w:rFonts w:ascii="Times New Roman" w:hAnsi="Times New Roman" w:cs="Times New Roman"/>
          <w:sz w:val="24"/>
          <w:szCs w:val="24"/>
        </w:rPr>
        <w:t xml:space="preserve"> </w:t>
      </w:r>
      <w:proofErr w:type="spellStart"/>
      <w:r w:rsidR="00624D8E" w:rsidRPr="00624D8E">
        <w:rPr>
          <w:rFonts w:ascii="Times New Roman" w:hAnsi="Times New Roman" w:cs="Times New Roman"/>
          <w:sz w:val="24"/>
          <w:szCs w:val="24"/>
        </w:rPr>
        <w:t>Yil</w:t>
      </w:r>
      <w:proofErr w:type="spellEnd"/>
      <w:r w:rsidR="00624D8E" w:rsidRPr="00624D8E">
        <w:rPr>
          <w:rFonts w:ascii="Times New Roman" w:hAnsi="Times New Roman" w:cs="Times New Roman"/>
          <w:sz w:val="24"/>
          <w:szCs w:val="24"/>
        </w:rPr>
        <w:t xml:space="preserve"> University Health Sciences Ethics Committee on December 19, 2025 (decision no. 2025/12-14).</w:t>
      </w:r>
      <w:r w:rsidRPr="00497923">
        <w:rPr>
          <w:rFonts w:ascii="Times New Roman" w:hAnsi="Times New Roman" w:cs="Times New Roman"/>
          <w:sz w:val="24"/>
          <w:szCs w:val="24"/>
        </w:rPr>
        <w:t xml:space="preserve"> The study was carried out in accordance with the principles of the Declaration of Helsinki.</w:t>
      </w:r>
    </w:p>
    <w:p w14:paraId="5D231497" w14:textId="77777777" w:rsidR="00BF3B0F" w:rsidRPr="00497923" w:rsidRDefault="00BF3B0F" w:rsidP="004B049B">
      <w:pPr>
        <w:spacing w:line="480" w:lineRule="auto"/>
        <w:rPr>
          <w:rFonts w:ascii="Times New Roman" w:hAnsi="Times New Roman" w:cs="Times New Roman"/>
          <w:sz w:val="24"/>
          <w:szCs w:val="24"/>
        </w:rPr>
      </w:pPr>
      <w:r w:rsidRPr="00497923">
        <w:rPr>
          <w:rFonts w:ascii="Times New Roman" w:hAnsi="Times New Roman" w:cs="Times New Roman"/>
          <w:sz w:val="24"/>
          <w:szCs w:val="24"/>
          <w:highlight w:val="yellow"/>
        </w:rPr>
        <w:t>No formal a priori sample-size calculation was performed. Because recruitment was based on voluntary convenience sampling through open professional networks, all eligible and fully completed questionnaires obtained during the predefined data-collection period were included in the analysis, resulting in a final sample of 501 dentists.</w:t>
      </w:r>
    </w:p>
    <w:p w14:paraId="61309EF2" w14:textId="1A1FD5FE" w:rsidR="004B049B" w:rsidRPr="004B049B" w:rsidRDefault="004B049B" w:rsidP="004B049B">
      <w:pPr>
        <w:spacing w:line="480" w:lineRule="auto"/>
        <w:rPr>
          <w:rFonts w:ascii="Times New Roman" w:hAnsi="Times New Roman" w:cs="Times New Roman"/>
          <w:sz w:val="24"/>
          <w:szCs w:val="24"/>
          <w:highlight w:val="yellow"/>
        </w:rPr>
      </w:pPr>
      <w:r w:rsidRPr="004B049B">
        <w:rPr>
          <w:rFonts w:ascii="Times New Roman" w:hAnsi="Times New Roman" w:cs="Times New Roman"/>
          <w:b/>
          <w:bCs/>
          <w:sz w:val="24"/>
          <w:szCs w:val="24"/>
        </w:rPr>
        <w:t>Participants and Data Collection</w:t>
      </w:r>
      <w:r w:rsidRPr="004B049B">
        <w:rPr>
          <w:rFonts w:ascii="Times New Roman" w:hAnsi="Times New Roman" w:cs="Times New Roman"/>
          <w:sz w:val="24"/>
          <w:szCs w:val="24"/>
        </w:rPr>
        <w:br/>
      </w:r>
      <w:r w:rsidRPr="004B049B">
        <w:rPr>
          <w:rFonts w:ascii="Times New Roman" w:hAnsi="Times New Roman" w:cs="Times New Roman"/>
          <w:sz w:val="24"/>
          <w:szCs w:val="24"/>
          <w:highlight w:val="yellow"/>
        </w:rPr>
        <w:t>The target population consisted of actively practicing dentists. Participants were recruited using a non-probability convenience sampling approach. Following ethical approval obtained on December 19, 2025, the questionnaire was distributed electronically between January and March 2026 through professional communication networks and social media platforms commonly used by dental practitioners. Participation was voluntary, and no financial or other incentives were provided.</w:t>
      </w:r>
      <w:r w:rsidR="00624D8E">
        <w:rPr>
          <w:rFonts w:ascii="Times New Roman" w:hAnsi="Times New Roman" w:cs="Times New Roman"/>
          <w:sz w:val="24"/>
          <w:szCs w:val="24"/>
          <w:highlight w:val="yellow"/>
        </w:rPr>
        <w:t xml:space="preserve"> </w:t>
      </w:r>
      <w:r w:rsidR="00624D8E" w:rsidRPr="00624D8E">
        <w:rPr>
          <w:rFonts w:ascii="Times New Roman" w:hAnsi="Times New Roman" w:cs="Times New Roman"/>
          <w:sz w:val="24"/>
          <w:szCs w:val="24"/>
          <w:highlight w:val="yellow"/>
        </w:rPr>
        <w:t>Before accessing the questionnaire, participants were informed about the purpose of the study and provided electronic informed consent.</w:t>
      </w:r>
    </w:p>
    <w:p w14:paraId="214E8E78" w14:textId="77777777" w:rsidR="004B049B" w:rsidRPr="004B049B" w:rsidRDefault="004B049B" w:rsidP="004B049B">
      <w:pPr>
        <w:spacing w:line="480" w:lineRule="auto"/>
        <w:rPr>
          <w:rFonts w:ascii="Times New Roman" w:hAnsi="Times New Roman" w:cs="Times New Roman"/>
          <w:sz w:val="24"/>
          <w:szCs w:val="24"/>
        </w:rPr>
      </w:pPr>
      <w:r w:rsidRPr="004B049B">
        <w:rPr>
          <w:rFonts w:ascii="Times New Roman" w:hAnsi="Times New Roman" w:cs="Times New Roman"/>
          <w:sz w:val="24"/>
          <w:szCs w:val="24"/>
          <w:highlight w:val="yellow"/>
        </w:rPr>
        <w:t>The survey link was disseminated through open professional networks rather than through a predefined closed sampling frame. Consequently, the exact number of dentists who received or viewed the survey invitation could not be reliably determined, and a conventional response rate could not be calculated. Only fully completed questionnaires were included in the analysis, resulting in a final analytic sample of 501 participants.</w:t>
      </w:r>
    </w:p>
    <w:p w14:paraId="3D861BAC" w14:textId="77777777" w:rsidR="00243A35" w:rsidRPr="00497923" w:rsidRDefault="00243A35" w:rsidP="008E68C3">
      <w:pPr>
        <w:spacing w:line="480" w:lineRule="auto"/>
        <w:rPr>
          <w:rFonts w:ascii="Times New Roman" w:hAnsi="Times New Roman" w:cs="Times New Roman"/>
          <w:b/>
          <w:bCs/>
          <w:sz w:val="24"/>
          <w:szCs w:val="24"/>
        </w:rPr>
      </w:pPr>
    </w:p>
    <w:p w14:paraId="386CB975" w14:textId="2262A5FA" w:rsidR="00610CCA" w:rsidRPr="00497923" w:rsidRDefault="00610CCA" w:rsidP="008E68C3">
      <w:pPr>
        <w:spacing w:line="480" w:lineRule="auto"/>
        <w:rPr>
          <w:rFonts w:ascii="Times New Roman" w:hAnsi="Times New Roman" w:cs="Times New Roman"/>
          <w:b/>
          <w:bCs/>
          <w:sz w:val="24"/>
          <w:szCs w:val="24"/>
        </w:rPr>
      </w:pPr>
      <w:r w:rsidRPr="00497923">
        <w:rPr>
          <w:rFonts w:ascii="Times New Roman" w:hAnsi="Times New Roman" w:cs="Times New Roman"/>
          <w:b/>
          <w:bCs/>
          <w:sz w:val="24"/>
          <w:szCs w:val="24"/>
        </w:rPr>
        <w:t>Questionnaire Design</w:t>
      </w:r>
    </w:p>
    <w:p w14:paraId="460C2784" w14:textId="261F84CF" w:rsidR="00A713E1" w:rsidRPr="00497923" w:rsidRDefault="00B85636" w:rsidP="008E68C3">
      <w:pPr>
        <w:spacing w:line="480" w:lineRule="auto"/>
        <w:rPr>
          <w:rFonts w:ascii="Times New Roman" w:hAnsi="Times New Roman" w:cs="Times New Roman"/>
          <w:b/>
          <w:bCs/>
          <w:sz w:val="24"/>
          <w:szCs w:val="24"/>
        </w:rPr>
      </w:pPr>
      <w:r w:rsidRPr="00497923">
        <w:rPr>
          <w:rFonts w:ascii="Times New Roman" w:hAnsi="Times New Roman" w:cs="Times New Roman"/>
          <w:sz w:val="24"/>
          <w:szCs w:val="24"/>
        </w:rPr>
        <w:t>The questionnaire was developed based on the current literature on PRF and its derivatives, as well as previously published studies and established concepts described in standard references, including widely accepted protocols and classification systems. The questionnaire was specifically developed by the authors for this study. The full English version of the questionnaire is provided as Supplementary File 1.</w:t>
      </w:r>
      <w:r w:rsidRPr="00497923">
        <w:rPr>
          <w:rFonts w:ascii="Times New Roman" w:hAnsi="Times New Roman" w:cs="Times New Roman"/>
          <w:b/>
          <w:bCs/>
          <w:sz w:val="24"/>
          <w:szCs w:val="24"/>
        </w:rPr>
        <w:t xml:space="preserve"> </w:t>
      </w:r>
    </w:p>
    <w:p w14:paraId="2F1E36B8" w14:textId="6F20528F" w:rsidR="00256F58" w:rsidRPr="00497923" w:rsidRDefault="00256F58" w:rsidP="008E68C3">
      <w:pPr>
        <w:spacing w:line="480" w:lineRule="auto"/>
        <w:rPr>
          <w:rFonts w:ascii="Times New Roman" w:hAnsi="Times New Roman" w:cs="Times New Roman"/>
          <w:sz w:val="24"/>
          <w:szCs w:val="24"/>
        </w:rPr>
      </w:pPr>
      <w:r w:rsidRPr="00497923">
        <w:rPr>
          <w:rFonts w:ascii="Times New Roman" w:hAnsi="Times New Roman" w:cs="Times New Roman"/>
          <w:sz w:val="24"/>
          <w:szCs w:val="24"/>
        </w:rPr>
        <w:t>The first section collected demographic and professional information, including age, sex, years of professional experience, workplace (public or private), annual surgical case volume, PRF training status, frequency of PRF use, primary source of PRF knowledge, and reasons for not using PRF.</w:t>
      </w:r>
    </w:p>
    <w:p w14:paraId="3439EC47" w14:textId="34C25796" w:rsidR="00953075" w:rsidRPr="003D1A20" w:rsidRDefault="00283326" w:rsidP="00953075">
      <w:pPr>
        <w:spacing w:line="480" w:lineRule="auto"/>
        <w:jc w:val="both"/>
        <w:rPr>
          <w:rFonts w:ascii="Times New Roman" w:hAnsi="Times New Roman" w:cs="Times New Roman"/>
          <w:sz w:val="24"/>
          <w:szCs w:val="24"/>
        </w:rPr>
      </w:pPr>
      <w:r w:rsidRPr="00283326">
        <w:rPr>
          <w:rFonts w:ascii="Times New Roman" w:hAnsi="Times New Roman" w:cs="Times New Roman"/>
          <w:sz w:val="24"/>
          <w:szCs w:val="24"/>
        </w:rPr>
        <w:t xml:space="preserve">The second section assessed knowledge using 21 five-option multiple-choice questions covering fundamental PRF concepts, preparation protocols, and the characteristics of L-PRF, A-PRF, A-PRF+, T-PRF, Alb-PRF, and </w:t>
      </w:r>
      <w:proofErr w:type="spellStart"/>
      <w:r w:rsidRPr="00283326">
        <w:rPr>
          <w:rFonts w:ascii="Times New Roman" w:hAnsi="Times New Roman" w:cs="Times New Roman"/>
          <w:sz w:val="24"/>
          <w:szCs w:val="24"/>
        </w:rPr>
        <w:t>i</w:t>
      </w:r>
      <w:proofErr w:type="spellEnd"/>
      <w:r w:rsidRPr="00283326">
        <w:rPr>
          <w:rFonts w:ascii="Times New Roman" w:hAnsi="Times New Roman" w:cs="Times New Roman"/>
          <w:sz w:val="24"/>
          <w:szCs w:val="24"/>
        </w:rPr>
        <w:t>-PRF.</w:t>
      </w:r>
      <w:r>
        <w:rPr>
          <w:rFonts w:ascii="Times New Roman" w:hAnsi="Times New Roman" w:cs="Times New Roman"/>
          <w:sz w:val="24"/>
          <w:szCs w:val="24"/>
        </w:rPr>
        <w:t xml:space="preserve"> </w:t>
      </w:r>
      <w:r w:rsidRPr="00283326">
        <w:rPr>
          <w:rFonts w:ascii="Times New Roman" w:hAnsi="Times New Roman" w:cs="Times New Roman"/>
          <w:sz w:val="24"/>
          <w:szCs w:val="24"/>
        </w:rPr>
        <w:t xml:space="preserve">Each item included five response options, with one prespecified reference answer used for scoring. </w:t>
      </w:r>
      <w:r w:rsidRPr="00283326">
        <w:rPr>
          <w:rFonts w:ascii="Times New Roman" w:hAnsi="Times New Roman" w:cs="Times New Roman"/>
          <w:sz w:val="24"/>
          <w:szCs w:val="24"/>
          <w:highlight w:val="yellow"/>
        </w:rPr>
        <w:t>A response matching the prespecified reference answer received one point, whereas all other responses received zero points, yielding a total knowledge score ranging from 0 to 21. The reference answers were based primarily on the original or protocol-defining literature for the respective PRF formulations. For technical parameters that may vary according to centrifuge, rotor, tube characteristics, or later protocol modifications, the scoring key reflected the specific classical or protocol-defined context of the administered question rather than a universally applicable preparation standard.</w:t>
      </w:r>
    </w:p>
    <w:p w14:paraId="72BEDECB" w14:textId="3D5BEAB5" w:rsidR="00610CCA" w:rsidRPr="00497923" w:rsidRDefault="00610CCA" w:rsidP="008E68C3">
      <w:pPr>
        <w:spacing w:line="480" w:lineRule="auto"/>
        <w:rPr>
          <w:rFonts w:ascii="Times New Roman" w:hAnsi="Times New Roman" w:cs="Times New Roman"/>
          <w:sz w:val="24"/>
          <w:szCs w:val="24"/>
        </w:rPr>
      </w:pPr>
      <w:r w:rsidRPr="00497923">
        <w:rPr>
          <w:rFonts w:ascii="Times New Roman" w:hAnsi="Times New Roman" w:cs="Times New Roman"/>
          <w:sz w:val="24"/>
          <w:szCs w:val="24"/>
        </w:rPr>
        <w:t xml:space="preserve">The third section evaluated participants’ attitudes toward PRF using a 5-point Likert scale (1 = strongly disagree, 5 = strongly agree). This section consisted of seven items addressing perceived effectiveness, </w:t>
      </w:r>
      <w:r w:rsidR="00352E08" w:rsidRPr="00497923">
        <w:rPr>
          <w:rFonts w:ascii="Times New Roman" w:hAnsi="Times New Roman" w:cs="Times New Roman"/>
          <w:sz w:val="24"/>
          <w:szCs w:val="24"/>
        </w:rPr>
        <w:t xml:space="preserve">self-reported </w:t>
      </w:r>
      <w:r w:rsidRPr="00497923">
        <w:rPr>
          <w:rFonts w:ascii="Times New Roman" w:hAnsi="Times New Roman" w:cs="Times New Roman"/>
          <w:sz w:val="24"/>
          <w:szCs w:val="24"/>
        </w:rPr>
        <w:t xml:space="preserve">clinical competence, cost-effectiveness, the need for </w:t>
      </w:r>
      <w:r w:rsidRPr="00497923">
        <w:rPr>
          <w:rFonts w:ascii="Times New Roman" w:hAnsi="Times New Roman" w:cs="Times New Roman"/>
          <w:sz w:val="24"/>
          <w:szCs w:val="24"/>
        </w:rPr>
        <w:lastRenderedPageBreak/>
        <w:t>further training, and the availability of infrastructure. The total attitude score ranged from 7 to 35, with higher scores indicating more positive attitudes.</w:t>
      </w:r>
    </w:p>
    <w:p w14:paraId="0567E0AC" w14:textId="6A255E31" w:rsidR="00037CCF" w:rsidRPr="00497923" w:rsidRDefault="00037CCF" w:rsidP="008E68C3">
      <w:pPr>
        <w:spacing w:line="480" w:lineRule="auto"/>
        <w:rPr>
          <w:rFonts w:ascii="Times New Roman" w:hAnsi="Times New Roman" w:cs="Times New Roman"/>
          <w:sz w:val="24"/>
          <w:szCs w:val="24"/>
        </w:rPr>
      </w:pPr>
      <w:r w:rsidRPr="00497923">
        <w:rPr>
          <w:rFonts w:ascii="Times New Roman" w:hAnsi="Times New Roman" w:cs="Times New Roman"/>
          <w:sz w:val="24"/>
          <w:szCs w:val="24"/>
        </w:rPr>
        <w:t>All responses were self-reported by the participants.</w:t>
      </w:r>
    </w:p>
    <w:p w14:paraId="32147D8A" w14:textId="0BB69BC7" w:rsidR="006C08F7" w:rsidRPr="00497923" w:rsidRDefault="00256F58" w:rsidP="008E68C3">
      <w:pPr>
        <w:spacing w:line="480" w:lineRule="auto"/>
        <w:rPr>
          <w:rFonts w:ascii="Times New Roman" w:hAnsi="Times New Roman" w:cs="Times New Roman"/>
          <w:sz w:val="24"/>
          <w:szCs w:val="24"/>
        </w:rPr>
      </w:pPr>
      <w:r w:rsidRPr="00497923">
        <w:rPr>
          <w:rFonts w:ascii="Times New Roman" w:hAnsi="Times New Roman" w:cs="Times New Roman"/>
          <w:sz w:val="24"/>
          <w:szCs w:val="24"/>
        </w:rPr>
        <w:t>A pilot study was conducted with 28 dentists to assess the clarity, relevance, and comprehensibility of the questionnaire. Based on the feedback obtained, minor modifications were made, and data from the pilot study were not included in the final analysis</w:t>
      </w:r>
      <w:r w:rsidR="00860062" w:rsidRPr="00497923">
        <w:rPr>
          <w:rFonts w:ascii="Times New Roman" w:hAnsi="Times New Roman" w:cs="Times New Roman"/>
          <w:sz w:val="24"/>
          <w:szCs w:val="24"/>
        </w:rPr>
        <w:t>.</w:t>
      </w:r>
    </w:p>
    <w:p w14:paraId="64B38D3C" w14:textId="4CCD7A34" w:rsidR="006C08F7" w:rsidRPr="00497923" w:rsidRDefault="00953075" w:rsidP="008E68C3">
      <w:pPr>
        <w:spacing w:line="480" w:lineRule="auto"/>
        <w:rPr>
          <w:rFonts w:ascii="Times New Roman" w:hAnsi="Times New Roman" w:cs="Times New Roman"/>
          <w:b/>
          <w:bCs/>
          <w:sz w:val="24"/>
          <w:szCs w:val="24"/>
        </w:rPr>
      </w:pPr>
      <w:r w:rsidRPr="00497923">
        <w:rPr>
          <w:rFonts w:ascii="Times New Roman" w:hAnsi="Times New Roman" w:cs="Times New Roman"/>
          <w:b/>
          <w:bCs/>
          <w:sz w:val="24"/>
          <w:szCs w:val="24"/>
        </w:rPr>
        <w:t>Statistica</w:t>
      </w:r>
      <w:r>
        <w:rPr>
          <w:rFonts w:ascii="Times New Roman" w:hAnsi="Times New Roman" w:cs="Times New Roman"/>
          <w:b/>
          <w:bCs/>
          <w:sz w:val="24"/>
          <w:szCs w:val="24"/>
        </w:rPr>
        <w:t>l</w:t>
      </w:r>
      <w:r w:rsidR="006C08F7" w:rsidRPr="00497923">
        <w:rPr>
          <w:rFonts w:ascii="Times New Roman" w:hAnsi="Times New Roman" w:cs="Times New Roman"/>
          <w:b/>
          <w:bCs/>
          <w:sz w:val="24"/>
          <w:szCs w:val="24"/>
        </w:rPr>
        <w:t xml:space="preserve"> Analysis</w:t>
      </w:r>
    </w:p>
    <w:p w14:paraId="251CF48C" w14:textId="026AE03A" w:rsidR="00953075" w:rsidRPr="00953075" w:rsidRDefault="00953075" w:rsidP="00953075">
      <w:pPr>
        <w:spacing w:line="480" w:lineRule="auto"/>
        <w:jc w:val="both"/>
        <w:rPr>
          <w:rFonts w:ascii="Times New Roman" w:hAnsi="Times New Roman" w:cs="Times New Roman"/>
          <w:sz w:val="24"/>
          <w:szCs w:val="24"/>
          <w:highlight w:val="yellow"/>
        </w:rPr>
      </w:pPr>
      <w:r w:rsidRPr="00953075">
        <w:rPr>
          <w:rFonts w:ascii="Times New Roman" w:hAnsi="Times New Roman" w:cs="Times New Roman"/>
          <w:sz w:val="24"/>
          <w:szCs w:val="24"/>
          <w:highlight w:val="yellow"/>
        </w:rPr>
        <w:t xml:space="preserve">Internal consistency was assessed using Cronbach’s alpha. </w:t>
      </w:r>
      <w:r w:rsidR="00B80C4E" w:rsidRPr="00B80C4E">
        <w:rPr>
          <w:rFonts w:ascii="Times New Roman" w:hAnsi="Times New Roman" w:cs="Times New Roman"/>
          <w:sz w:val="24"/>
          <w:szCs w:val="24"/>
          <w:highlight w:val="yellow"/>
        </w:rPr>
        <w:t>The alpha coefficient was 0.879 for the 21-item knowledge score after correction of four item-level coding errors.</w:t>
      </w:r>
    </w:p>
    <w:p w14:paraId="055E5992" w14:textId="77777777" w:rsidR="00B80C4E" w:rsidRPr="00B80C4E" w:rsidRDefault="00B80C4E" w:rsidP="00953075">
      <w:pPr>
        <w:spacing w:line="480" w:lineRule="auto"/>
        <w:jc w:val="both"/>
        <w:rPr>
          <w:rFonts w:ascii="Times New Roman" w:hAnsi="Times New Roman" w:cs="Times New Roman"/>
          <w:sz w:val="24"/>
          <w:szCs w:val="24"/>
        </w:rPr>
      </w:pPr>
      <w:r w:rsidRPr="00B80C4E">
        <w:rPr>
          <w:rFonts w:ascii="Times New Roman" w:hAnsi="Times New Roman" w:cs="Times New Roman"/>
          <w:sz w:val="24"/>
          <w:szCs w:val="24"/>
        </w:rPr>
        <w:t>Statistical analyses were performed using IBM SPSS Statistics version 23.0 (IBM Corp., Armonk, NY, USA) and SciPy version 1.17.0 in Python.</w:t>
      </w:r>
    </w:p>
    <w:p w14:paraId="097ED716" w14:textId="546A196D" w:rsidR="00953075" w:rsidRPr="00953075" w:rsidRDefault="00953075" w:rsidP="00953075">
      <w:pPr>
        <w:spacing w:line="480" w:lineRule="auto"/>
        <w:jc w:val="both"/>
        <w:rPr>
          <w:rFonts w:ascii="Times New Roman" w:hAnsi="Times New Roman" w:cs="Times New Roman"/>
          <w:sz w:val="24"/>
          <w:szCs w:val="24"/>
          <w:highlight w:val="yellow"/>
        </w:rPr>
      </w:pPr>
      <w:r w:rsidRPr="00953075">
        <w:rPr>
          <w:rFonts w:ascii="Times New Roman" w:hAnsi="Times New Roman" w:cs="Times New Roman"/>
          <w:sz w:val="24"/>
          <w:szCs w:val="24"/>
          <w:highlight w:val="yellow"/>
        </w:rPr>
        <w:t>The Shapiro–Wilk test was used to assess normality. Mann–Whitney U and Kruskal–Wallis H tests were used for two-group and multigroup comparisons of total scores, respectively. Item-level associations were assessed with Pearson chi-square statistics; where at least one expected cell count was below five, conditional Monte Carlo p-values were estimated from 100,000 random tables with the observed margins. All 140 item-level comparisons across Tables 5 and 6 were treated as one exploratory family and their p-values were adjusted using the Holm procedure. Effect sizes were quantified as absolute rank-biserial correlation for Mann–Whitney comparisons, epsilon-squared for Kruskal–Wallis tests [</w:t>
      </w:r>
      <w:proofErr w:type="gramStart"/>
      <w:r w:rsidRPr="00953075">
        <w:rPr>
          <w:rFonts w:ascii="Times New Roman" w:hAnsi="Times New Roman" w:cs="Times New Roman"/>
          <w:sz w:val="24"/>
          <w:szCs w:val="24"/>
          <w:highlight w:val="yellow"/>
        </w:rPr>
        <w:t>max(</w:t>
      </w:r>
      <w:proofErr w:type="gramEnd"/>
      <w:r w:rsidRPr="00953075">
        <w:rPr>
          <w:rFonts w:ascii="Times New Roman" w:hAnsi="Times New Roman" w:cs="Times New Roman"/>
          <w:sz w:val="24"/>
          <w:szCs w:val="24"/>
          <w:highlight w:val="yellow"/>
        </w:rPr>
        <w:t>0, (H − k + 1)</w:t>
      </w:r>
      <w:proofErr w:type="gramStart"/>
      <w:r w:rsidRPr="00953075">
        <w:rPr>
          <w:rFonts w:ascii="Times New Roman" w:hAnsi="Times New Roman" w:cs="Times New Roman"/>
          <w:sz w:val="24"/>
          <w:szCs w:val="24"/>
          <w:highlight w:val="yellow"/>
        </w:rPr>
        <w:t>/(</w:t>
      </w:r>
      <w:proofErr w:type="gramEnd"/>
      <w:r w:rsidRPr="00953075">
        <w:rPr>
          <w:rFonts w:ascii="Times New Roman" w:hAnsi="Times New Roman" w:cs="Times New Roman"/>
          <w:sz w:val="24"/>
          <w:szCs w:val="24"/>
          <w:highlight w:val="yellow"/>
        </w:rPr>
        <w:t xml:space="preserve">N − k))], and Cramér’s V for item-level chi-square tests. The absolute rank-biserial value describes magnitude without direction; negative epsilon-squared estimates were truncated to zero. Normal Q–Q plots of the total knowledge and attitude scores were also inspected. After significant multigroup omnibus tests, pairwise Mann–Whitney U comparisons were performed, </w:t>
      </w:r>
      <w:r w:rsidRPr="00953075">
        <w:rPr>
          <w:rFonts w:ascii="Times New Roman" w:hAnsi="Times New Roman" w:cs="Times New Roman"/>
          <w:sz w:val="24"/>
          <w:szCs w:val="24"/>
          <w:highlight w:val="yellow"/>
        </w:rPr>
        <w:lastRenderedPageBreak/>
        <w:t>with Holm adjustment across the pairs within each outcome and grouping variable; these post hoc adjustments were separate from the 140 item-level tests.</w:t>
      </w:r>
    </w:p>
    <w:p w14:paraId="620E16B8" w14:textId="77777777" w:rsidR="00953075" w:rsidRPr="00953075" w:rsidRDefault="00953075" w:rsidP="00953075">
      <w:pPr>
        <w:spacing w:line="480" w:lineRule="auto"/>
        <w:jc w:val="both"/>
        <w:rPr>
          <w:rFonts w:ascii="Times New Roman" w:hAnsi="Times New Roman" w:cs="Times New Roman"/>
          <w:sz w:val="24"/>
          <w:szCs w:val="24"/>
          <w:highlight w:val="yellow"/>
        </w:rPr>
      </w:pPr>
      <w:r w:rsidRPr="00953075">
        <w:rPr>
          <w:rFonts w:ascii="Times New Roman" w:hAnsi="Times New Roman" w:cs="Times New Roman"/>
          <w:sz w:val="24"/>
          <w:szCs w:val="24"/>
          <w:highlight w:val="yellow"/>
        </w:rPr>
        <w:t>Knowledge and attitude scores were summarized as median and interquartile range (25th–75th percentiles), with mean ± standard deviation provided for comparison with previous reports. Age was summarized as mean ± standard deviation; categorical variables were summarized as number and percentage.</w:t>
      </w:r>
    </w:p>
    <w:p w14:paraId="518A85BB" w14:textId="77777777" w:rsidR="00953075" w:rsidRPr="003D1A20" w:rsidRDefault="00953075" w:rsidP="00953075">
      <w:pPr>
        <w:spacing w:line="480" w:lineRule="auto"/>
        <w:jc w:val="both"/>
        <w:rPr>
          <w:rFonts w:ascii="Times New Roman" w:hAnsi="Times New Roman" w:cs="Times New Roman"/>
          <w:sz w:val="24"/>
          <w:szCs w:val="24"/>
        </w:rPr>
      </w:pPr>
      <w:r w:rsidRPr="00953075">
        <w:rPr>
          <w:rFonts w:ascii="Times New Roman" w:hAnsi="Times New Roman" w:cs="Times New Roman"/>
          <w:sz w:val="24"/>
          <w:szCs w:val="24"/>
          <w:highlight w:val="yellow"/>
        </w:rPr>
        <w:t>Unadjusted and Holm-adjusted p-values are presented for item-level analyses; adjusted p &lt; 0.05 was considered significant for these analyses. The total-score analyses used a two-sided significance threshold of p &lt; 0.05.</w:t>
      </w:r>
    </w:p>
    <w:p w14:paraId="6E16AA24" w14:textId="4A393E8F" w:rsidR="008E68C3" w:rsidRPr="00497923" w:rsidRDefault="008E68C3" w:rsidP="00953075">
      <w:pPr>
        <w:spacing w:line="480" w:lineRule="auto"/>
        <w:rPr>
          <w:rFonts w:ascii="Times New Roman" w:hAnsi="Times New Roman" w:cs="Times New Roman"/>
          <w:sz w:val="24"/>
          <w:szCs w:val="24"/>
        </w:rPr>
      </w:pPr>
      <w:r w:rsidRPr="00497923">
        <w:rPr>
          <w:rFonts w:ascii="Times New Roman" w:hAnsi="Times New Roman" w:cs="Times New Roman"/>
          <w:sz w:val="24"/>
          <w:szCs w:val="24"/>
        </w:rPr>
        <w:br w:type="page"/>
      </w:r>
    </w:p>
    <w:p w14:paraId="633CDB0F" w14:textId="0B8D021B" w:rsidR="00610CCA" w:rsidRPr="00497923" w:rsidRDefault="008E68C3" w:rsidP="008E68C3">
      <w:pPr>
        <w:spacing w:line="480" w:lineRule="auto"/>
        <w:rPr>
          <w:rFonts w:ascii="Times New Roman" w:hAnsi="Times New Roman" w:cs="Times New Roman"/>
          <w:b/>
          <w:bCs/>
          <w:sz w:val="28"/>
          <w:szCs w:val="28"/>
        </w:rPr>
      </w:pPr>
      <w:r w:rsidRPr="00497923">
        <w:rPr>
          <w:rFonts w:ascii="Times New Roman" w:hAnsi="Times New Roman" w:cs="Times New Roman"/>
          <w:b/>
          <w:bCs/>
          <w:sz w:val="28"/>
          <w:szCs w:val="28"/>
        </w:rPr>
        <w:lastRenderedPageBreak/>
        <w:t>Results</w:t>
      </w:r>
    </w:p>
    <w:p w14:paraId="7408F5A2" w14:textId="2C13D894" w:rsidR="00937AD1" w:rsidRPr="00497923" w:rsidRDefault="001252AC" w:rsidP="00937AD1">
      <w:pPr>
        <w:spacing w:line="480" w:lineRule="auto"/>
        <w:rPr>
          <w:rFonts w:ascii="Times New Roman" w:hAnsi="Times New Roman" w:cs="Times New Roman"/>
          <w:sz w:val="24"/>
          <w:szCs w:val="24"/>
        </w:rPr>
      </w:pPr>
      <w:r w:rsidRPr="00497923">
        <w:rPr>
          <w:rFonts w:ascii="Times New Roman" w:hAnsi="Times New Roman" w:cs="Times New Roman"/>
          <w:sz w:val="24"/>
          <w:szCs w:val="24"/>
        </w:rPr>
        <w:t>Demographic characteristics of the participants are presented in Table 1</w:t>
      </w:r>
      <w:r w:rsidR="00937AD1" w:rsidRPr="00497923">
        <w:rPr>
          <w:rFonts w:ascii="Times New Roman" w:hAnsi="Times New Roman" w:cs="Times New Roman"/>
          <w:sz w:val="24"/>
          <w:szCs w:val="24"/>
        </w:rPr>
        <w:t>. The study included a total of 501 dentists, with a mean age of 33.91 ± 9.26 years.</w:t>
      </w:r>
    </w:p>
    <w:p w14:paraId="22C0107B" w14:textId="77777777" w:rsidR="00953075" w:rsidRPr="00953075" w:rsidRDefault="00953075" w:rsidP="00953075">
      <w:pPr>
        <w:spacing w:line="480" w:lineRule="auto"/>
        <w:jc w:val="both"/>
        <w:rPr>
          <w:rFonts w:ascii="Times New Roman" w:hAnsi="Times New Roman" w:cs="Times New Roman"/>
          <w:sz w:val="24"/>
          <w:szCs w:val="24"/>
          <w:highlight w:val="yellow"/>
        </w:rPr>
      </w:pPr>
      <w:r w:rsidRPr="00953075">
        <w:rPr>
          <w:rFonts w:ascii="Times New Roman" w:hAnsi="Times New Roman" w:cs="Times New Roman"/>
          <w:sz w:val="24"/>
          <w:szCs w:val="24"/>
          <w:highlight w:val="yellow"/>
        </w:rPr>
        <w:t>Regarding PRF-related training, 59.9% (n = 300) of the participants reported no formal training, 20.8% (n = 104) reported undergraduate or postgraduate training, 18.6% (n = 93) a short course or seminar, and 0.8% (n = 4) a comprehensive course (≥1 day). On the monthly PRF-use-frequency question, 87.4% (n = 438) selected “never,” 5.0% (n = 25) “less than once per month,” 5.6% (n = 28) “1–5 times per month,” 1.2% (n = 6) “5–10 times per month,” and 0.8% (n = 4) “more than 10 times per month.”</w:t>
      </w:r>
    </w:p>
    <w:p w14:paraId="3D44FCF3" w14:textId="77777777" w:rsidR="00953075" w:rsidRPr="00953075" w:rsidRDefault="00953075" w:rsidP="00953075">
      <w:pPr>
        <w:spacing w:line="480" w:lineRule="auto"/>
        <w:jc w:val="both"/>
        <w:rPr>
          <w:rFonts w:ascii="Times New Roman" w:hAnsi="Times New Roman" w:cs="Times New Roman"/>
          <w:sz w:val="24"/>
          <w:szCs w:val="24"/>
          <w:highlight w:val="yellow"/>
        </w:rPr>
      </w:pPr>
      <w:r w:rsidRPr="00953075">
        <w:rPr>
          <w:rFonts w:ascii="Times New Roman" w:hAnsi="Times New Roman" w:cs="Times New Roman"/>
          <w:sz w:val="24"/>
          <w:szCs w:val="24"/>
          <w:highlight w:val="yellow"/>
        </w:rPr>
        <w:t>The most frequently reported primary source of PRF knowledge was undergraduate or postgraduate education (n = 356; 71.1%). In response to the single-choice question asking for the main reason for not using PRF or using it infrequently, 144 participants (28.7% of all 501 respondents) selected insufficient preparation knowledge, 121 (24.2%) selected the response option labelled “I use it; no substantial barrier,” 103 (20.6%) lack of equipment or tubes, 74 (14.8%) cost, 46 (9.2%) lack of time or motivation, and 13 (2.6%) patient nonacceptance. These percentages use all 501 respondents as the denominator. Of the 121 who selected the no-barrier option, 98 selected “never” on the separate monthly use-frequency question; this response option therefore cannot be interpreted as identifying 121 current PRF users.</w:t>
      </w:r>
    </w:p>
    <w:p w14:paraId="1AA8CDF2" w14:textId="77777777" w:rsidR="00953075" w:rsidRPr="00953075" w:rsidRDefault="00953075" w:rsidP="00953075">
      <w:pPr>
        <w:spacing w:line="480" w:lineRule="auto"/>
        <w:jc w:val="both"/>
        <w:rPr>
          <w:rFonts w:ascii="Times New Roman" w:hAnsi="Times New Roman" w:cs="Times New Roman"/>
          <w:sz w:val="24"/>
          <w:szCs w:val="24"/>
          <w:highlight w:val="yellow"/>
        </w:rPr>
      </w:pPr>
      <w:r w:rsidRPr="00953075">
        <w:rPr>
          <w:rFonts w:ascii="Times New Roman" w:hAnsi="Times New Roman" w:cs="Times New Roman"/>
          <w:sz w:val="24"/>
          <w:szCs w:val="24"/>
          <w:highlight w:val="yellow"/>
        </w:rPr>
        <w:t>The attitude score had a median of 23 (interquartile range, 21–26) and a mean of 23.08 ± 4.60 (maximum 35). Following correction of four miscoded knowledge items, the knowledge score had a median of 9 (interquartile range, 6–15) and a mean of 10.25 ± 5.60 (maximum 21).</w:t>
      </w:r>
    </w:p>
    <w:p w14:paraId="4DDB3410" w14:textId="77777777" w:rsidR="00C460BB" w:rsidRPr="00C460BB" w:rsidRDefault="00C460BB" w:rsidP="00953075">
      <w:pPr>
        <w:spacing w:line="480" w:lineRule="auto"/>
        <w:jc w:val="both"/>
        <w:rPr>
          <w:rFonts w:ascii="Times New Roman" w:hAnsi="Times New Roman" w:cs="Times New Roman"/>
          <w:sz w:val="24"/>
          <w:szCs w:val="24"/>
        </w:rPr>
      </w:pPr>
      <w:r w:rsidRPr="00C460BB">
        <w:rPr>
          <w:rFonts w:ascii="Times New Roman" w:hAnsi="Times New Roman" w:cs="Times New Roman"/>
          <w:sz w:val="24"/>
          <w:szCs w:val="24"/>
        </w:rPr>
        <w:t xml:space="preserve">Reference-answer frequencies for the 21 knowledge items are presented in Table 2. The highest response rates were observed for the clinical application of A-PRF+ (61.7%), the classical L-PRF centrifugation protocol (61.1%), and the principal protocol difference between A-PRF and </w:t>
      </w:r>
      <w:r w:rsidRPr="00C460BB">
        <w:rPr>
          <w:rFonts w:ascii="Times New Roman" w:hAnsi="Times New Roman" w:cs="Times New Roman"/>
          <w:sz w:val="24"/>
          <w:szCs w:val="24"/>
        </w:rPr>
        <w:lastRenderedPageBreak/>
        <w:t xml:space="preserve">L-PRF (57.9%). More than half of the participants also selected the prespecified reference answers for the T-PRF tube item (55.9%), the liquid form of </w:t>
      </w:r>
      <w:proofErr w:type="spellStart"/>
      <w:r w:rsidRPr="00C460BB">
        <w:rPr>
          <w:rFonts w:ascii="Times New Roman" w:hAnsi="Times New Roman" w:cs="Times New Roman"/>
          <w:sz w:val="24"/>
          <w:szCs w:val="24"/>
        </w:rPr>
        <w:t>i</w:t>
      </w:r>
      <w:proofErr w:type="spellEnd"/>
      <w:r w:rsidRPr="00C460BB">
        <w:rPr>
          <w:rFonts w:ascii="Times New Roman" w:hAnsi="Times New Roman" w:cs="Times New Roman"/>
          <w:sz w:val="24"/>
          <w:szCs w:val="24"/>
        </w:rPr>
        <w:t>-PRF (55.5%), the reported resorption characteristics of T-PRF (54.3%), and the classification of PRF as an autologous fibrin clot containing platelets and leukocytes (52.9%). Lower response rates were observed for the fibrin architecture of A-PRF+ (31.5%), the biological activity of A-PRF (35.9%), the purpose of heat treatment in Alb-PRF (38.9%), and the histological fibrin characteristics of T-PRF (39.5%).</w:t>
      </w:r>
    </w:p>
    <w:p w14:paraId="446E1B99" w14:textId="7C2FB90D" w:rsidR="00953075" w:rsidRPr="00953075" w:rsidRDefault="00953075" w:rsidP="00953075">
      <w:pPr>
        <w:spacing w:line="480" w:lineRule="auto"/>
        <w:jc w:val="both"/>
        <w:rPr>
          <w:rFonts w:ascii="Times New Roman" w:hAnsi="Times New Roman" w:cs="Times New Roman"/>
          <w:sz w:val="24"/>
          <w:szCs w:val="24"/>
          <w:highlight w:val="yellow"/>
        </w:rPr>
      </w:pPr>
      <w:r w:rsidRPr="00953075">
        <w:rPr>
          <w:rFonts w:ascii="Times New Roman" w:hAnsi="Times New Roman" w:cs="Times New Roman"/>
          <w:sz w:val="24"/>
          <w:szCs w:val="24"/>
          <w:highlight w:val="yellow"/>
        </w:rPr>
        <w:t>Participants tended to agree that PRF enhances soft tissue healing (307/501, 61.3%) and supports bone regeneration (313/501, 62.5%). Agreement was less common for self-reported knowledge of preparation protocols (144/501, 28.7%) and self-reported competence in clinical application (103/501, 20.6%). A total of 354 participants (70.7%) agreed or strongly agreed that they would like further PRF training. Cost-effectiveness was endorsed by 245 (48.9%). Regarding availability of preparation infrastructure at their institution, 197 (39.3%) agreed or strongly agreed, 212 (42.3%) were undecided, and 92 (18.4%) disagreed or strongly disagreed (Table 3).</w:t>
      </w:r>
    </w:p>
    <w:p w14:paraId="4F25A64E" w14:textId="77777777" w:rsidR="00953075" w:rsidRPr="00953075" w:rsidRDefault="00953075" w:rsidP="00953075">
      <w:pPr>
        <w:spacing w:line="480" w:lineRule="auto"/>
        <w:jc w:val="both"/>
        <w:rPr>
          <w:rFonts w:ascii="Times New Roman" w:hAnsi="Times New Roman" w:cs="Times New Roman"/>
          <w:sz w:val="24"/>
          <w:szCs w:val="24"/>
          <w:highlight w:val="yellow"/>
        </w:rPr>
      </w:pPr>
      <w:r w:rsidRPr="00953075">
        <w:rPr>
          <w:rFonts w:ascii="Times New Roman" w:hAnsi="Times New Roman" w:cs="Times New Roman"/>
          <w:sz w:val="24"/>
          <w:szCs w:val="24"/>
          <w:highlight w:val="yellow"/>
        </w:rPr>
        <w:t xml:space="preserve">Total attitude and corrected knowledge scores did not differ significantly according to sex, workplace, professional experience, annual surgical case volume, or PRF use frequency (all omnibus p &gt; 0.05). Training status and primary source of PRF knowledge were associated with both scores (all omnibus p &lt; 0.001; Table 4). In Holm-adjusted post hoc comparisons, dentists without formal training had lower attitude and knowledge scores than those reporting undergraduate/postgraduate training or a short course/seminar (all adjusted p &lt; 0.001). No pairwise comparison involving the comprehensive-course subgroup (n = 4) remained significant after Holm adjustment.  For primary knowledge source, the attitude score differed between undergraduate/postgraduate education and social media/internet (adjusted p = 0.0034) and between congress/course/seminar and social media/internet (adjusted p = 0.0177). The </w:t>
      </w:r>
      <w:r w:rsidRPr="00953075">
        <w:rPr>
          <w:rFonts w:ascii="Times New Roman" w:hAnsi="Times New Roman" w:cs="Times New Roman"/>
          <w:sz w:val="24"/>
          <w:szCs w:val="24"/>
          <w:highlight w:val="yellow"/>
        </w:rPr>
        <w:lastRenderedPageBreak/>
        <w:t>knowledge score differed between undergraduate/postgraduate education and own clinical experience (adjusted p = 0.0033). No other pairwise comparison remained significant after Holm adjustment. By training status (no training, n = 300; undergraduate/postgraduate training, n = 104; short course/seminar, n = 93; comprehensive course, n = 4), median (interquartile range) corrected knowledge scores were 7 (5–10), 15 (11–18), 16 (10–18), and 16 (11.75–18.75), respectively. Corresponding attitude scores were 21 (20–23.25), 26 (24–27.25), 26 (23–28), and 30.5 (24.75–35), respectively. The comprehensive-course subgroup comprised only four respondents.</w:t>
      </w:r>
    </w:p>
    <w:p w14:paraId="7269E37D" w14:textId="77777777" w:rsidR="00953075" w:rsidRPr="00953075" w:rsidRDefault="00953075" w:rsidP="00953075">
      <w:pPr>
        <w:spacing w:line="480" w:lineRule="auto"/>
        <w:jc w:val="both"/>
        <w:rPr>
          <w:rFonts w:ascii="Times New Roman" w:hAnsi="Times New Roman" w:cs="Times New Roman"/>
          <w:sz w:val="24"/>
          <w:szCs w:val="24"/>
          <w:highlight w:val="yellow"/>
        </w:rPr>
      </w:pPr>
      <w:r w:rsidRPr="00953075">
        <w:rPr>
          <w:rFonts w:ascii="Times New Roman" w:hAnsi="Times New Roman" w:cs="Times New Roman"/>
          <w:sz w:val="24"/>
          <w:szCs w:val="24"/>
          <w:highlight w:val="yellow"/>
        </w:rPr>
        <w:t>After Holm adjustment across 140 item-level comparisons, PRF training status was associated with responses to 19 of the 21 knowledge items (Table 5). No item-level association with sex, professional experience, workplace, or annual surgical case volume remained significant after adjustment. These exploratory associations do not establish the direction or causal effect of training.</w:t>
      </w:r>
    </w:p>
    <w:p w14:paraId="6349147D" w14:textId="77777777" w:rsidR="00953075" w:rsidRPr="003D1A20" w:rsidRDefault="00953075" w:rsidP="00953075">
      <w:pPr>
        <w:spacing w:line="480" w:lineRule="auto"/>
        <w:jc w:val="both"/>
        <w:rPr>
          <w:rFonts w:ascii="Times New Roman" w:hAnsi="Times New Roman" w:cs="Times New Roman"/>
          <w:sz w:val="24"/>
          <w:szCs w:val="24"/>
        </w:rPr>
      </w:pPr>
      <w:r w:rsidRPr="00953075">
        <w:rPr>
          <w:rFonts w:ascii="Times New Roman" w:hAnsi="Times New Roman" w:cs="Times New Roman"/>
          <w:sz w:val="24"/>
          <w:szCs w:val="24"/>
          <w:highlight w:val="yellow"/>
        </w:rPr>
        <w:t>After Holm adjustment, PRF training status was associated with responses to six of the seven attitude items. Sex was associated with the item on self-reported competence in clinical PRF application (adjusted p = 0.029). No other item-level attitude association with sex, professional experience, workplace, or annual surgical case volume remained significant (Table 6).</w:t>
      </w:r>
    </w:p>
    <w:p w14:paraId="59332DD6" w14:textId="77777777" w:rsidR="00402CB9" w:rsidRPr="00497923" w:rsidRDefault="00402CB9" w:rsidP="00402CB9">
      <w:pPr>
        <w:spacing w:line="480" w:lineRule="auto"/>
        <w:rPr>
          <w:rFonts w:ascii="Times New Roman" w:hAnsi="Times New Roman" w:cs="Times New Roman"/>
          <w:sz w:val="24"/>
          <w:szCs w:val="24"/>
        </w:rPr>
      </w:pPr>
    </w:p>
    <w:p w14:paraId="03A5220C" w14:textId="77777777" w:rsidR="008B3742" w:rsidRDefault="008B3742" w:rsidP="00057164">
      <w:pPr>
        <w:spacing w:line="480" w:lineRule="auto"/>
        <w:rPr>
          <w:rFonts w:ascii="Times New Roman" w:hAnsi="Times New Roman" w:cs="Times New Roman"/>
          <w:b/>
          <w:bCs/>
          <w:sz w:val="32"/>
          <w:szCs w:val="32"/>
        </w:rPr>
      </w:pPr>
    </w:p>
    <w:p w14:paraId="3AF44984" w14:textId="77777777" w:rsidR="008B3742" w:rsidRDefault="008B3742" w:rsidP="00057164">
      <w:pPr>
        <w:spacing w:line="480" w:lineRule="auto"/>
        <w:rPr>
          <w:rFonts w:ascii="Times New Roman" w:hAnsi="Times New Roman" w:cs="Times New Roman"/>
          <w:b/>
          <w:bCs/>
          <w:sz w:val="32"/>
          <w:szCs w:val="32"/>
        </w:rPr>
      </w:pPr>
    </w:p>
    <w:p w14:paraId="652E72FD" w14:textId="77777777" w:rsidR="008B3742" w:rsidRDefault="008B3742" w:rsidP="00057164">
      <w:pPr>
        <w:spacing w:line="480" w:lineRule="auto"/>
        <w:rPr>
          <w:rFonts w:ascii="Times New Roman" w:hAnsi="Times New Roman" w:cs="Times New Roman"/>
          <w:b/>
          <w:bCs/>
          <w:sz w:val="32"/>
          <w:szCs w:val="32"/>
        </w:rPr>
      </w:pPr>
    </w:p>
    <w:p w14:paraId="541EB784" w14:textId="77777777" w:rsidR="008B3742" w:rsidRDefault="008B3742" w:rsidP="00057164">
      <w:pPr>
        <w:spacing w:line="480" w:lineRule="auto"/>
        <w:rPr>
          <w:rFonts w:ascii="Times New Roman" w:hAnsi="Times New Roman" w:cs="Times New Roman"/>
          <w:b/>
          <w:bCs/>
          <w:sz w:val="32"/>
          <w:szCs w:val="32"/>
        </w:rPr>
      </w:pPr>
    </w:p>
    <w:p w14:paraId="6E2EE883" w14:textId="6CEA8137" w:rsidR="00057164" w:rsidRPr="00497923" w:rsidRDefault="00A71E5B" w:rsidP="00057164">
      <w:pPr>
        <w:spacing w:line="480" w:lineRule="auto"/>
        <w:rPr>
          <w:rFonts w:ascii="Times New Roman" w:hAnsi="Times New Roman" w:cs="Times New Roman"/>
          <w:b/>
          <w:bCs/>
          <w:sz w:val="32"/>
          <w:szCs w:val="32"/>
        </w:rPr>
      </w:pPr>
      <w:r w:rsidRPr="00497923">
        <w:rPr>
          <w:rFonts w:ascii="Times New Roman" w:hAnsi="Times New Roman" w:cs="Times New Roman"/>
          <w:b/>
          <w:bCs/>
          <w:sz w:val="32"/>
          <w:szCs w:val="32"/>
        </w:rPr>
        <w:lastRenderedPageBreak/>
        <w:t>Discussion</w:t>
      </w:r>
    </w:p>
    <w:p w14:paraId="57D68D41" w14:textId="77777777" w:rsidR="00953075" w:rsidRPr="003D1A20" w:rsidRDefault="00953075" w:rsidP="00953075">
      <w:pPr>
        <w:spacing w:line="480" w:lineRule="auto"/>
        <w:jc w:val="both"/>
        <w:rPr>
          <w:rFonts w:ascii="Times New Roman" w:hAnsi="Times New Roman" w:cs="Times New Roman"/>
          <w:sz w:val="24"/>
          <w:szCs w:val="24"/>
        </w:rPr>
      </w:pPr>
      <w:r w:rsidRPr="00953075">
        <w:rPr>
          <w:rFonts w:ascii="Times New Roman" w:hAnsi="Times New Roman" w:cs="Times New Roman"/>
          <w:sz w:val="24"/>
          <w:szCs w:val="24"/>
        </w:rPr>
        <w:t xml:space="preserve">The present cross-sectional study evaluated the knowledge, attitudes, and self-reported clinical use of PRF among dental practitioners. </w:t>
      </w:r>
      <w:r w:rsidRPr="00953075">
        <w:rPr>
          <w:rFonts w:ascii="Times New Roman" w:hAnsi="Times New Roman" w:cs="Times New Roman"/>
          <w:sz w:val="24"/>
          <w:szCs w:val="24"/>
          <w:highlight w:val="yellow"/>
        </w:rPr>
        <w:t>Respondents expressed favorable attitudes toward several PRF applications, while knowledge varied across preparation concepts and 438 of 501 respondents selected no current use on the monthly frequency question. Insufficient preparation knowledge was the most frequently selected reason for non-use or limited use. Some responses to the barriers and monthly-use questions were discordant and should be interpreted descriptively. Formal PRF training was associated with higher knowledge and attitude scores, although the cross-sectional design precludes causal interpretation.</w:t>
      </w:r>
    </w:p>
    <w:p w14:paraId="79FF0274" w14:textId="0ECA5879" w:rsidR="005D14D6" w:rsidRPr="00497923" w:rsidRDefault="00953075" w:rsidP="00057164">
      <w:pPr>
        <w:spacing w:line="480" w:lineRule="auto"/>
        <w:rPr>
          <w:rFonts w:ascii="Times New Roman" w:hAnsi="Times New Roman" w:cs="Times New Roman"/>
          <w:sz w:val="24"/>
          <w:szCs w:val="24"/>
        </w:rPr>
      </w:pPr>
      <w:r w:rsidRPr="009948F3">
        <w:rPr>
          <w:rFonts w:ascii="Times New Roman" w:hAnsi="Times New Roman" w:cs="Times New Roman"/>
          <w:sz w:val="24"/>
          <w:szCs w:val="24"/>
          <w:highlight w:val="yellow"/>
        </w:rPr>
        <w:t xml:space="preserve">Although PRF has been investigated as an adjunct in oral surgical and regenerative procedures, 438 of 501 respondents (87.4%) selected “never” on the monthly use-frequency question. In the single-choice question on the principal reason for non-use or infrequent use, 144 respondents (28.7%) selected insufficient preparation knowledge, 103 (20.6%) lack of equipment or tubes, and 74 (14.8%) cost. Another 121 (24.2%) selected the response option labelled “I use it; no substantial barrier,” although 98 of these 121 selected “never” on the monthly-use question. Thus, the no-barrier category should not be interpreted as a count of PRF users. Percentages refer to the full sample, and discordant self-reports limit inference about individual practice. </w:t>
      </w:r>
      <w:r w:rsidR="00E50D5B" w:rsidRPr="00E50D5B">
        <w:rPr>
          <w:rFonts w:ascii="Times New Roman" w:hAnsi="Times New Roman" w:cs="Times New Roman"/>
          <w:sz w:val="24"/>
          <w:szCs w:val="24"/>
          <w:highlight w:val="yellow"/>
        </w:rPr>
        <w:t>Previous survey data have also shown variation in awareness and clinical experience with PRF</w:t>
      </w:r>
      <w:r w:rsidR="00E50D5B">
        <w:rPr>
          <w:rFonts w:ascii="Times New Roman" w:hAnsi="Times New Roman" w:cs="Times New Roman"/>
          <w:sz w:val="24"/>
          <w:szCs w:val="24"/>
          <w:highlight w:val="yellow"/>
        </w:rPr>
        <w:t xml:space="preserve"> </w:t>
      </w:r>
      <w:r w:rsidR="00B80C4E">
        <w:rPr>
          <w:rFonts w:ascii="Times New Roman" w:hAnsi="Times New Roman" w:cs="Times New Roman"/>
          <w:sz w:val="24"/>
          <w:szCs w:val="24"/>
          <w:highlight w:val="yellow"/>
        </w:rPr>
        <w:fldChar w:fldCharType="begin"/>
      </w:r>
      <w:r w:rsidR="00B80C4E">
        <w:rPr>
          <w:rFonts w:ascii="Times New Roman" w:hAnsi="Times New Roman" w:cs="Times New Roman"/>
          <w:sz w:val="24"/>
          <w:szCs w:val="24"/>
          <w:highlight w:val="yellow"/>
        </w:rPr>
        <w:instrText xml:space="preserve"> ADDIN ZOTERO_ITEM CSL_CITATION {"citationID":"iu8dXJnY","properties":{"unsorted":false,"formattedCitation":"[19]","plainCitation":"[19]","noteIndex":0},"citationItems":[{"id":1682,"uris":["http://zotero.org/users/13389697/items/SACKAU33"],"itemData":{"id":1682,"type":"article-journal","abstract":"BACKGROUND: The aim of the present review is to systematically evaluate the effects of autogenous platelet concentrates on clinical outcomes of the surgical treatment of periodontal diseases.\nMETHODS: MEDLINE, EMBASE, and the Cochrane Central Register of Controlled Trials were searched using a combination of specific search terms. Furthermore, a hand search of relevant journals and bibliographies of reviews was performed. Only randomized clinical trials were included. For periodontal intrabony defects, the primary outcome variable was the clinical attachment level. For gingival recession, outcome variables were root coverage and keratinized tissue increase. Data were adjusted for baseline values. The methodologic quality of the included studies was assessed. The results of studies in which the only difference between test and control groups was the adjunct of platelet concentrates were aggregated using a meta-analysis. For intrabony defects, the influences of guided tissue regeneration (GTR) and study type (split-mouth versus parallel studies) were also evaluated.\nRESULTS: The initial search yielded 424 studies. Of the 29 eligible studies, 24 studies were included. There were 16 studies on the treatment of periodontal intrabony defects, all of which used platelet-rich plasma (PRP); six studies on gingival recession treatment; and two studies on the treatment of furcation defects. A significant positive effect of the adjunct of PRP was found for intrabony defects. Such an effect was magnified in studies in which GTR was not used, whereas in studies using GTR, the use of PRP had no adjunctive effect. No effect of the study type was found. No significant effect of platelet concentrates was found for gingival recession treatment in which only studies with a follow-up ≤6 months displayed positive results. No significant benefit of PRP could be demonstrated for furcation treatment.\nCONCLUSIONS: PRP may exert a positive adjunctive effect when used in combination with graft materials, but not with GTR, for the treatment of intrabony defects. No significant benefit of platelet concentrates was found for the treatment of gingival recession.","container-title":"Journal of Periodontology","DOI":"10.1902/jop.2010.100605","ISSN":"1943-3670","issue":"8","journalAbbreviation":"J Periodontol","language":"eng","page":"1100-1111","PMID":"21189090","source":"PubMed","title":"Is platelet concentrate advantageous for the surgical treatment of periodontal diseases? A systematic review and meta-analysis","title-short":"Is platelet concentrate advantageous for the surgical treatment of periodontal diseases?","volume":"82","author":[{"family":"Del Fabbro","given":"Massimo"},{"family":"Bortolin","given":"Monica"},{"family":"Taschieri","given":"Silvio"},{"family":"Weinstein","given":"Roberto"}],"issued":{"date-parts":[["2011",8]]}}}],"schema":"https://github.com/citation-style-language/schema/raw/master/csl-citation.json"} </w:instrText>
      </w:r>
      <w:r w:rsidR="00B80C4E">
        <w:rPr>
          <w:rFonts w:ascii="Times New Roman" w:hAnsi="Times New Roman" w:cs="Times New Roman"/>
          <w:sz w:val="24"/>
          <w:szCs w:val="24"/>
          <w:highlight w:val="yellow"/>
        </w:rPr>
        <w:fldChar w:fldCharType="separate"/>
      </w:r>
      <w:r w:rsidR="00B80C4E" w:rsidRPr="00B80C4E">
        <w:rPr>
          <w:rFonts w:ascii="Times New Roman" w:hAnsi="Times New Roman" w:cs="Times New Roman"/>
          <w:sz w:val="24"/>
          <w:highlight w:val="yellow"/>
        </w:rPr>
        <w:t>[19]</w:t>
      </w:r>
      <w:r w:rsidR="00B80C4E">
        <w:rPr>
          <w:rFonts w:ascii="Times New Roman" w:hAnsi="Times New Roman" w:cs="Times New Roman"/>
          <w:sz w:val="24"/>
          <w:szCs w:val="24"/>
          <w:highlight w:val="yellow"/>
        </w:rPr>
        <w:fldChar w:fldCharType="end"/>
      </w:r>
      <w:r w:rsidR="00B80C4E">
        <w:rPr>
          <w:rFonts w:ascii="Times New Roman" w:hAnsi="Times New Roman" w:cs="Times New Roman"/>
          <w:sz w:val="24"/>
          <w:szCs w:val="24"/>
          <w:highlight w:val="yellow"/>
        </w:rPr>
        <w:t>.</w:t>
      </w:r>
      <w:r w:rsidR="00E50D5B">
        <w:rPr>
          <w:rFonts w:ascii="Times New Roman" w:hAnsi="Times New Roman" w:cs="Times New Roman"/>
          <w:sz w:val="24"/>
          <w:szCs w:val="24"/>
          <w:highlight w:val="yellow"/>
        </w:rPr>
        <w:t xml:space="preserve"> </w:t>
      </w:r>
      <w:r w:rsidR="00B80C4E" w:rsidRPr="00B80C4E">
        <w:rPr>
          <w:rFonts w:ascii="Times New Roman" w:hAnsi="Times New Roman" w:cs="Times New Roman"/>
          <w:sz w:val="24"/>
          <w:szCs w:val="24"/>
          <w:highlight w:val="yellow"/>
        </w:rPr>
        <w:t>Broader review and bibliometric literature further illustrates the heterogeneity of platelet-concentrate applications and research in dentistry</w:t>
      </w:r>
      <w:r w:rsidR="00565ED8" w:rsidRPr="009948F3">
        <w:rPr>
          <w:rFonts w:ascii="Times New Roman" w:hAnsi="Times New Roman" w:cs="Times New Roman"/>
          <w:sz w:val="24"/>
          <w:szCs w:val="24"/>
          <w:highlight w:val="yellow"/>
        </w:rPr>
        <w:t xml:space="preserve"> </w:t>
      </w:r>
      <w:r w:rsidR="005D14D6" w:rsidRPr="009948F3">
        <w:rPr>
          <w:rFonts w:ascii="Times New Roman" w:hAnsi="Times New Roman" w:cs="Times New Roman"/>
          <w:sz w:val="24"/>
          <w:szCs w:val="24"/>
          <w:highlight w:val="yellow"/>
        </w:rPr>
        <w:fldChar w:fldCharType="begin"/>
      </w:r>
      <w:r w:rsidR="00B80C4E">
        <w:rPr>
          <w:rFonts w:ascii="Times New Roman" w:hAnsi="Times New Roman" w:cs="Times New Roman"/>
          <w:sz w:val="24"/>
          <w:szCs w:val="24"/>
          <w:highlight w:val="yellow"/>
        </w:rPr>
        <w:instrText xml:space="preserve"> ADDIN ZOTERO_ITEM CSL_CITATION {"citationID":"RdK2sCvJ","properties":{"unsorted":false,"formattedCitation":"[20\\uc0\\u8211{}22]","plainCitation":"[20–22]","noteIndex":0},"citationItems":[{"id":1684,"uris":["http://zotero.org/users/13389697/items/H622ZN6M"],"itemData":{"id":1684,"type":"article-journal","abstract":"The clinical use of platelet-rich plasma (PRP) is based on the increase in the concentration of growth factors and in the secretion of proteins which are able to maximize the healing process at the cellular level. Since PRP is an autologous biologic material, it involves a minimum risk of immune reactions and transmission of infectious and contagious diseases, and it has been widely used for the recovery of musculoskeletal lesions. Despite the great potential for applicability, the implementation of the therapeutic employment of PRP as a clinical alternative has become difficult, due to the lack of studies related to the standardization of the techniques and/or insufficient description of the adopted procedures. Therefore, it is required establish standard criteria to be followed for obtaining a PRP of high quality, as well as a larger number of studies which should establish the proper concentration of platelets for the different clinical conditions. In this context, the purpose of this review is to discuss some methodological aspects used for achieving the PRP, as well as to discuss the bioactive properties of PRP, and to point out its therapeutic use in different fields of regenerative medicine.","container-title":"Platelets","DOI":"10.3109/09537104.2014.881991","ISSN":"1369-1635","issue":"2","journalAbbreviation":"Platelets","language":"eng","page":"101-113","PMID":"24512369","source":"PubMed","title":"Platelet-rich plasma (PRP): methodological aspects and clinical applications","title-short":"Platelet-rich plasma (PRP)","volume":"26","author":[{"family":"Marques","given":"Laís Fernanda"},{"family":"Stessuk","given":"Talita"},{"family":"Camargo","given":"Isabel Cristina Cherici"},{"family":"Sabeh Junior","given":"Nemi"},{"family":"Santos","given":"Lucinéia","non-dropping-particle":"dos"},{"family":"Ribeiro-Paes","given":"João Tadeu"}],"issued":{"date-parts":[["2015"]]}}},{"id":1686,"uris":["http://zotero.org/users/13389697/items/84VPG6F4"],"itemData":{"id":1686,"type":"article-journal","abstract":"Platelet-rich fibrin (PRF), a second-generation platelet concentrate, has been widely recognized in numerous studies for its performance of wound healing and regeneration in dentistry. However, bibliometric analysis of PRF in dentistry is still scarce. Thus, this study aimed to conduct and delineate a bibliometric analysis of the application of PRF and its changing trend in dentistry. All papers concerning PRF up to 30 June 2022 were included in the literature search from the Web of Science Core Collection database. These data were then entered into Microsoft Excel, analyzed by the SAS statistical software, and visualized by the VOSviewer software. A total of 562 articles were retrieved following the exclusive criteria. The results demonstrated that the trend of annual publication increased continually (p for trend &lt; 0.01), more notably in the last five years. The majority of the articles were original (58.01%), followed by reviews (17.08%), and case reports (10.14%). The three major study designs were clinical studies (20.11%), randomized controlled trials (17.62%), and review/meta-analysis (17.08%). PRF was most frequently employed in oral surgery (31.14%), periodontal regeneration (22.42%), and implant therapy (18.68%). Turkey (16.19%), India (12.28%) and China (7.12%) were the top 3 countries publishing PRF studies. By comparing the total number of publications, total citation counts and varying counting methods, a combination of numerous counting methods was suggested for use since each counting method yields different results. Taken together, we hope with these informative findings, researchers could focus on the future direction or advancement in PRF, laying a foundation for evidence-based dentistry.","container-title":"International Journal of Environmental Research and Public Health","DOI":"10.3390/ijerph191912545","ISSN":"1660-4601","issue":"19","journalAbbreviation":"Int J Environ Res Public Health","language":"eng","page":"12545","PMID":"36231859","PMCID":"PMC9564518","source":"PubMed","title":"A Bibliometric Analysis of Platelet-Rich Fibrin in Dentistry","volume":"19","author":[{"family":"Yu","given":"Hsin-Ying"},{"family":"Chang","given":"Yu-Chao"}],"issued":{"date-parts":[["2022",10,1]]}}},{"id":1663,"uris":["http://zotero.org/users/13389697/items/9LYJ7AHP"],"itemData":{"id":1663,"type":"article-journal","abstract":"Progress in regenerative endodontic procedures needs approval by clinicians, but there is little or noevidence. This study aimed to examine the awareness, mindset and experience of regenerative endodonticsamong Indian dental residents. For the survey they used a self-administered questionnaire which consistedof three parts; part A focused on the background and experience of dentists, part B pursued the viewpoint,views and decision of the dentist about the utilize of PRF and Regenerative techniques, Whereas part Ccontained questions focused on their clinical experience. Findings indicate that maximum respondents knewabout PRF during postgraduate training but 90% are willing to attend PRF and REP training. However,few claimed to have used any form of regenerative therapy in their work. Finally, it can be concludedthat findings are an indication of optimistic dental residents concerning the use of regenerative endodonticmethods; however, further analysis and routine training is needed.","container-title":"Indian Journal of Forensic Medicine &amp; Toxicology","DOI":"10.37506/ijfmt.v15i2.14973","ISSN":"0973-9130","issue":"2","language":"en","page":"3840-3845","source":"medicopublication.com","title":"A Questionnaire based Cross-Sectional Survey on PRF","volume":"15","author":[{"family":"Mohanty","given":"Monika"},{"family":"Govind","given":"Shashirekha"},{"family":"Jena","given":"Amit"},{"family":"Singh","given":"Naomi R."}],"issued":{"date-parts":[["2021",3,24]]}}}],"schema":"https://github.com/citation-style-language/schema/raw/master/csl-citation.json"} </w:instrText>
      </w:r>
      <w:r w:rsidR="005D14D6" w:rsidRPr="009948F3">
        <w:rPr>
          <w:rFonts w:ascii="Times New Roman" w:hAnsi="Times New Roman" w:cs="Times New Roman"/>
          <w:sz w:val="24"/>
          <w:szCs w:val="24"/>
          <w:highlight w:val="yellow"/>
        </w:rPr>
        <w:fldChar w:fldCharType="separate"/>
      </w:r>
      <w:r w:rsidR="00B80C4E" w:rsidRPr="00B80C4E">
        <w:rPr>
          <w:rFonts w:ascii="Calibri" w:hAnsi="Calibri" w:cs="Calibri"/>
          <w:kern w:val="0"/>
          <w:sz w:val="24"/>
        </w:rPr>
        <w:t>[20–22]</w:t>
      </w:r>
      <w:r w:rsidR="005D14D6" w:rsidRPr="009948F3">
        <w:rPr>
          <w:rFonts w:ascii="Times New Roman" w:hAnsi="Times New Roman" w:cs="Times New Roman"/>
          <w:sz w:val="24"/>
          <w:szCs w:val="24"/>
          <w:highlight w:val="yellow"/>
        </w:rPr>
        <w:fldChar w:fldCharType="end"/>
      </w:r>
      <w:r w:rsidR="005D14D6" w:rsidRPr="009948F3">
        <w:rPr>
          <w:rFonts w:ascii="Times New Roman" w:hAnsi="Times New Roman" w:cs="Times New Roman"/>
          <w:sz w:val="24"/>
          <w:szCs w:val="24"/>
          <w:highlight w:val="yellow"/>
        </w:rPr>
        <w:t>.</w:t>
      </w:r>
    </w:p>
    <w:p w14:paraId="6162A5EA" w14:textId="77777777" w:rsidR="00600E6E" w:rsidRDefault="00283326" w:rsidP="009948F3">
      <w:pPr>
        <w:spacing w:line="480" w:lineRule="auto"/>
        <w:jc w:val="both"/>
        <w:rPr>
          <w:rFonts w:ascii="Times New Roman" w:hAnsi="Times New Roman" w:cs="Times New Roman"/>
          <w:noProof/>
          <w:sz w:val="24"/>
          <w:szCs w:val="24"/>
        </w:rPr>
      </w:pPr>
      <w:r w:rsidRPr="00283326">
        <w:rPr>
          <w:rFonts w:ascii="Times New Roman" w:hAnsi="Times New Roman" w:cs="Times New Roman"/>
          <w:noProof/>
          <w:sz w:val="24"/>
          <w:szCs w:val="24"/>
          <w:highlight w:val="yellow"/>
        </w:rPr>
        <w:t xml:space="preserve">The corrected knowledge score had a mean of 10.25 out of 21 and a median of 9 (interquartile range, 6–15). Reference-answer rates varied considerably among the administered items. For example, 61.1% selected the prespecified answer for the classical L-PRF centrifugation </w:t>
      </w:r>
      <w:r w:rsidRPr="00283326">
        <w:rPr>
          <w:rFonts w:ascii="Times New Roman" w:hAnsi="Times New Roman" w:cs="Times New Roman"/>
          <w:noProof/>
          <w:sz w:val="24"/>
          <w:szCs w:val="24"/>
          <w:highlight w:val="yellow"/>
        </w:rPr>
        <w:lastRenderedPageBreak/>
        <w:t>protocol, whereas 55.9% identified titanium tubes as the reference answer for T-PRF preparation. Lower response rates were observed for more specific biological and structural concepts, including A-PRF+ fibrin architecture (31.5%), A-PRF biological activity (35.9%), Alb-PRF heat-treatment purpose (38.9%), and T-PRF fibrin architecture (39.5%). These percentages describe responses to individual questionnaire items and should not be interpreted as overall proficiency with a particular PRF formulation</w:t>
      </w:r>
      <w:r w:rsidR="009948F3" w:rsidRPr="009948F3">
        <w:rPr>
          <w:rFonts w:ascii="Times New Roman" w:hAnsi="Times New Roman" w:cs="Times New Roman"/>
          <w:noProof/>
          <w:sz w:val="24"/>
          <w:szCs w:val="24"/>
          <w:highlight w:val="yellow"/>
        </w:rPr>
        <w:t xml:space="preserve">. Surveys of dental students have likewise examined PRF awareness and knowledge of its different types </w:t>
      </w:r>
      <w:r w:rsidR="00D21E16" w:rsidRPr="009948F3">
        <w:rPr>
          <w:rFonts w:ascii="Times New Roman" w:hAnsi="Times New Roman" w:cs="Times New Roman"/>
          <w:sz w:val="24"/>
          <w:szCs w:val="24"/>
          <w:highlight w:val="yellow"/>
        </w:rPr>
        <w:fldChar w:fldCharType="begin"/>
      </w:r>
      <w:r w:rsidR="00B80C4E">
        <w:rPr>
          <w:rFonts w:ascii="Times New Roman" w:hAnsi="Times New Roman" w:cs="Times New Roman"/>
          <w:sz w:val="24"/>
          <w:szCs w:val="24"/>
          <w:highlight w:val="yellow"/>
        </w:rPr>
        <w:instrText xml:space="preserve"> ADDIN ZOTERO_ITEM CSL_CITATION {"citationID":"jLCkqg6U","properties":{"unsorted":false,"formattedCitation":"[23, 24]","plainCitation":"[23, 24]","noteIndex":0},"citationItems":[{"id":1689,"uris":["http://zotero.org/users/13389697/items/9RJTX8WL","http://zotero.org/users/13389697/items/NA2DBWEI"],"itemData":{"id":1689,"type":"article-journal","container-title":"Journal of Pharmaceutical Research International","DOI":"10.9734/jpri/2020/v32i1730673","ISSN":"2456-9119","language":"en","page":"101-113","source":"journaljpri.com","title":"Awareness of Dental Students on the Application of PRF in Dental Practice - A Survey","author":[{"family":"Sriram","given":"Kadambari"},{"family":"Ganapathy","given":"Dhanraj"},{"family":"Duraisamy","given":"Revathi"}],"issued":{"date-parts":[["2020",8,25]]}}},{"id":1704,"uris":["http://zotero.org/users/13389697/items/4PARQCB2"],"itemData":{"id":1704,"type":"article-journal","abstract":"Introduction: Platelet-rich fibrin (PRF) is a fibrin matrix in which platelet cytokines, growth factors and cells are retained, released after a certain time, possibly acting as an absorbable membrane. The purpose of this study is to determine the knowledge, awareness, and clinical practice of PRF techniques among dental students. Materials and methods: The study was done in an online setting among the dental students of Turkey. The sample included 132 students (82 in the 5th grade and 50 in the 4th grade), all belonging to the age group 20-23 years. The questionnaire covered general basic information and assessed the knowledge and awareness of dental students regarding the PRF technique in dentistry. Results and discussion: 92% of the persons participating in the study were aware of the term PRF, and also that the awareness of women and of 5th grade students about PRF was statistically significantly higher than in the other groups, while among all participants there was insufficient knowledge and awareness about the advantages of PRF over PRP, types of PRF, T-PRF and I-PRF. Conclusions: Within the limitations of this study, it can be recommended to expand the training curriculum about PRF and organize more courses, conferences, workshops and seminars, to grant that the advantages of PRF can be used effectively and to increase its awareness among dental students.","container-title":"International Journal of Medical Dentistry","issue":"2","language":"en","source":"Zotero","title":"EVALUATION OF DENTISTRY STUDENTS’ KNOWLEDGE AND AWARENESS ON PLATELET RICH FIBRIN","volume":"26","author":[{"family":"Babayi̇Ği̇T","given":"Osman"},{"family":"Yarkaç","given":"Fatma UÇAN"}],"issued":{"date-parts":[["2022"]]}}}],"schema":"https://github.com/citation-style-language/schema/raw/master/csl-citation.json"} </w:instrText>
      </w:r>
      <w:r w:rsidR="00D21E16" w:rsidRPr="009948F3">
        <w:rPr>
          <w:rFonts w:ascii="Times New Roman" w:hAnsi="Times New Roman" w:cs="Times New Roman"/>
          <w:sz w:val="24"/>
          <w:szCs w:val="24"/>
          <w:highlight w:val="yellow"/>
        </w:rPr>
        <w:fldChar w:fldCharType="separate"/>
      </w:r>
      <w:r w:rsidR="00B80C4E" w:rsidRPr="00B80C4E">
        <w:rPr>
          <w:rFonts w:ascii="Calibri" w:hAnsi="Calibri" w:cs="Calibri"/>
          <w:sz w:val="24"/>
          <w:highlight w:val="yellow"/>
        </w:rPr>
        <w:t>[23, 24]</w:t>
      </w:r>
      <w:r w:rsidR="00D21E16" w:rsidRPr="009948F3">
        <w:rPr>
          <w:rFonts w:ascii="Times New Roman" w:hAnsi="Times New Roman" w:cs="Times New Roman"/>
          <w:sz w:val="24"/>
          <w:szCs w:val="24"/>
          <w:highlight w:val="yellow"/>
        </w:rPr>
        <w:fldChar w:fldCharType="end"/>
      </w:r>
      <w:r w:rsidR="00D21E16" w:rsidRPr="009948F3">
        <w:rPr>
          <w:rFonts w:ascii="Times New Roman" w:hAnsi="Times New Roman" w:cs="Times New Roman"/>
          <w:sz w:val="24"/>
          <w:szCs w:val="24"/>
          <w:highlight w:val="yellow"/>
        </w:rPr>
        <w:t xml:space="preserve">. </w:t>
      </w:r>
      <w:r w:rsidR="009948F3" w:rsidRPr="009948F3">
        <w:rPr>
          <w:rFonts w:ascii="Times New Roman" w:hAnsi="Times New Roman" w:cs="Times New Roman"/>
          <w:noProof/>
          <w:sz w:val="24"/>
          <w:szCs w:val="24"/>
          <w:highlight w:val="yellow"/>
        </w:rPr>
        <w:t>Other questionnaire studies have addressed dentists’ perceptions of PRP in orthodontics and their knowledge of regenerative endodontic protocols</w:t>
      </w:r>
      <w:r w:rsidR="0045025C" w:rsidRPr="009948F3">
        <w:rPr>
          <w:rFonts w:ascii="Times New Roman" w:hAnsi="Times New Roman" w:cs="Times New Roman"/>
          <w:sz w:val="24"/>
          <w:szCs w:val="24"/>
          <w:highlight w:val="yellow"/>
        </w:rPr>
        <w:t xml:space="preserve"> </w:t>
      </w:r>
      <w:r w:rsidR="008D646D" w:rsidRPr="009948F3">
        <w:rPr>
          <w:rFonts w:ascii="Times New Roman" w:hAnsi="Times New Roman" w:cs="Times New Roman"/>
          <w:sz w:val="24"/>
          <w:szCs w:val="24"/>
          <w:highlight w:val="yellow"/>
        </w:rPr>
        <w:fldChar w:fldCharType="begin"/>
      </w:r>
      <w:r w:rsidR="00B80C4E">
        <w:rPr>
          <w:rFonts w:ascii="Times New Roman" w:hAnsi="Times New Roman" w:cs="Times New Roman"/>
          <w:sz w:val="24"/>
          <w:szCs w:val="24"/>
          <w:highlight w:val="yellow"/>
        </w:rPr>
        <w:instrText xml:space="preserve"> ADDIN ZOTERO_ITEM CSL_CITATION {"citationID":"CXZJRVQZ","properties":{"unsorted":false,"formattedCitation":"[25, 26]","plainCitation":"[25, 26]","noteIndex":0},"citationItems":[{"id":1691,"uris":["http://zotero.org/users/13389697/items/TI6WUQB7"],"itemData":{"id":1691,"type":"article-journal","abstract":"The current survey was conducted to assess the knowledge, awareness and perception of platelet-rich plasma (PRP) on accelerated tooth movement among dentist present in the state of Tamil Nadu. Tamil Nadu dentists were the subjects of the cross-sectional questionnaire survey. 500 participants completed self-administered questionnaires about their knowledge, awareness, and perception of PRP’s effect on accelerated tooth movement. The Statistical Package for the Social Sciences (SPSS) (V 22.0) was used to do the statistical analysis. It computed the frequency distribution.The result showed that 466 (93.2%) had prior knowledge of PRP, whereas 34 (6.4%) had no previous experience with it. A total of 156 (31.2%) dentists were aware that PRP procedures are used for teeth rotation and canine retraction.15.2% of participants stated that PRP facilitates accelerated tooth movement.Therefore, results of the study show that the dentists were a little aware of PRP as an additional therapeutic strategy for accelerating tooth movement.More awareness required among the dentist regarding application and its benefits of PRP in accelerated tooth movement.","container-title":"Journal of Pharmacy &amp; Bioallied Sciences","DOI":"10.4103/jpbs.jpbs_1187_23","ISSN":"0976-4879","issue":"Suppl 2","journalAbbreviation":"J Pharm Bioallied Sci","page":"S1591-S1593","PMID":"38882770","PMCID":"PMC11174160","source":"PubMed Central","title":"Evaluation of Dentist Perception of Platelet Rich Plasma (PRP) for Accelerated Tooth Movement - Cross Sectional Survey","volume":"16","author":[{"family":"Nagappan","given":"Nagappan"},{"family":"Dcruz","given":"Thomson Mariadasan"},{"family":"Loganathan","given":"Archana"},{"family":"Gupte","given":"Shreyas H."},{"family":"Ali","given":"Rajab"},{"family":"Karthik","given":"Prasanna"},{"family":"Mani","given":"Bhuvaneswari"},{"family":"Moulvi","given":"S. M. M."}],"issued":{"date-parts":[["2024",4]]}}},{"id":1693,"uris":["http://zotero.org/users/13389697/items/ZF2PDYDQ"],"itemData":{"id":1693,"type":"article-journal","abstract":"null\nThere are many inconsistencies in the protocols followed for Regenerative Endodontic Procedures (REP’s).This study was formulated with an aim to conduct a survey among Pediatric Dentists, Endodontists and General Practioners treating Necrotic young permanent teeth to examine their awareness and Knowledge on Current Regenerative Endodontic Protocols and Scaffolds used in regenerative dentistry.\n\nMethods\nA Cross-Sectional Survey was carried out amongst 100 Pediatric dentists,100 Endodontists and 100 General Practioners. It was web-based survey and the questionnaire was formulated and all the items in the questionnaire were tested for reliability and validity before circulation of the questionnaire for the purpose of the study.\n\nResults\nThe results of the study indicated that all the three groups were unaware that failure of cases should be reported to AEE (American Academy of Endodontics) REP Database and only 20.2, 20.1 and 0.3 % of Pediatric dentists,Endodontists and General Dentists preferred Regenerative Dentistry as a clinical protocol for REP. With respect to knowledge regarding irrigation and disinfection procedures all three groups were lacking in the knowledge regarding intracanal medicament for disinfection and the irrigation solutions.\n\nConclusion\nThere is a lack of homogeneity in protocols followed for REP among those practicing Regenerative Endodontics as a protocol. Since it’s an evolving science there is a need to bring about a uniformity in practices to increase the evidences to support the causal effect relation of regenerative endodontics.","container-title":"The Saudi Dental Journal","DOI":"10.1016/j.sdentj.2023.05.010","ISSN":"1013-9052","issue":"5","journalAbbreviation":"Saudi Dent J","page":"559-566","PMID":"37520602","PMCID":"PMC10373079","source":"PubMed Central","title":"A survey on awareness and knowledge among dentist practicing regenerative endodontics towards current regenerative endodontic protocols and the scaffolds used in regenerative dentistry","volume":"35","author":[{"family":"Naik","given":"Saraswathi V."},{"family":"Prakash","given":"Aarathi J."},{"family":"Prabhakar Attiguppe","given":"R."}],"issued":{"date-parts":[["2023",7]]}}}],"schema":"https://github.com/citation-style-language/schema/raw/master/csl-citation.json"} </w:instrText>
      </w:r>
      <w:r w:rsidR="008D646D" w:rsidRPr="009948F3">
        <w:rPr>
          <w:rFonts w:ascii="Times New Roman" w:hAnsi="Times New Roman" w:cs="Times New Roman"/>
          <w:sz w:val="24"/>
          <w:szCs w:val="24"/>
          <w:highlight w:val="yellow"/>
        </w:rPr>
        <w:fldChar w:fldCharType="separate"/>
      </w:r>
      <w:r w:rsidR="00B80C4E" w:rsidRPr="00B80C4E">
        <w:rPr>
          <w:rFonts w:ascii="Calibri" w:hAnsi="Calibri" w:cs="Calibri"/>
          <w:sz w:val="24"/>
          <w:highlight w:val="yellow"/>
        </w:rPr>
        <w:t>[25, 26]</w:t>
      </w:r>
      <w:r w:rsidR="008D646D" w:rsidRPr="009948F3">
        <w:rPr>
          <w:rFonts w:ascii="Times New Roman" w:hAnsi="Times New Roman" w:cs="Times New Roman"/>
          <w:sz w:val="24"/>
          <w:szCs w:val="24"/>
          <w:highlight w:val="yellow"/>
        </w:rPr>
        <w:fldChar w:fldCharType="end"/>
      </w:r>
      <w:r w:rsidR="00057164" w:rsidRPr="009948F3">
        <w:rPr>
          <w:rFonts w:ascii="Times New Roman" w:hAnsi="Times New Roman" w:cs="Times New Roman"/>
          <w:sz w:val="24"/>
          <w:szCs w:val="24"/>
          <w:highlight w:val="yellow"/>
        </w:rPr>
        <w:t>.</w:t>
      </w:r>
      <w:r w:rsidR="00D21E16" w:rsidRPr="009948F3">
        <w:rPr>
          <w:rFonts w:ascii="Times New Roman" w:hAnsi="Times New Roman" w:cs="Times New Roman"/>
          <w:sz w:val="24"/>
          <w:szCs w:val="24"/>
          <w:highlight w:val="yellow"/>
        </w:rPr>
        <w:t xml:space="preserve"> </w:t>
      </w:r>
      <w:r w:rsidR="00600E6E" w:rsidRPr="00600E6E">
        <w:rPr>
          <w:rFonts w:ascii="Times New Roman" w:hAnsi="Times New Roman" w:cs="Times New Roman"/>
          <w:noProof/>
          <w:sz w:val="24"/>
          <w:szCs w:val="24"/>
          <w:highlight w:val="yellow"/>
        </w:rPr>
        <w:t>Given the differences in study populations and questionnaire content, these studies provide contextual rather than directly comparable data for the present knowledge score.</w:t>
      </w:r>
    </w:p>
    <w:p w14:paraId="78FA2F49" w14:textId="1EEF6782" w:rsidR="009948F3" w:rsidRPr="008B3742" w:rsidRDefault="00C460BB" w:rsidP="009948F3">
      <w:pPr>
        <w:spacing w:line="480" w:lineRule="auto"/>
        <w:jc w:val="both"/>
        <w:rPr>
          <w:rFonts w:ascii="Times New Roman" w:hAnsi="Times New Roman" w:cs="Times New Roman"/>
          <w:noProof/>
          <w:sz w:val="24"/>
          <w:szCs w:val="24"/>
        </w:rPr>
      </w:pPr>
      <w:r w:rsidRPr="00C460BB">
        <w:rPr>
          <w:rFonts w:ascii="Times New Roman" w:hAnsi="Times New Roman" w:cs="Times New Roman"/>
          <w:noProof/>
          <w:sz w:val="24"/>
          <w:szCs w:val="24"/>
        </w:rPr>
        <w:t>The present questionnaire included items on L-PRF, A-PRF, A-PRF+, T-PRF, Alb-PRF, and i-PRF. Among the T-PRF items, 55.9% of participants identified titanium tubes as the prespecified reference answer, whereas 39.5% selected the reference description of its histological fibrin architecture and 54.3% selected the reference answer regarding its reported resorption characteristics. Knowledge of Alb-PRF was also variable, with 46.1% identifying thermal modification as part of its preparation, 38.9% selecting albumin denaturation as the purpose of heat treatment, and 48.9% recognizing longer resorption time and improved volumetric stability as the prespecified advantage over conventional PRF.</w:t>
      </w:r>
      <w:r>
        <w:rPr>
          <w:rFonts w:ascii="Times New Roman" w:hAnsi="Times New Roman" w:cs="Times New Roman"/>
          <w:noProof/>
          <w:sz w:val="24"/>
          <w:szCs w:val="24"/>
        </w:rPr>
        <w:t xml:space="preserve"> </w:t>
      </w:r>
      <w:r w:rsidR="009948F3" w:rsidRPr="008B3742">
        <w:rPr>
          <w:rFonts w:ascii="Times New Roman" w:hAnsi="Times New Roman" w:cs="Times New Roman"/>
          <w:noProof/>
          <w:sz w:val="24"/>
          <w:szCs w:val="24"/>
        </w:rPr>
        <w:t>Published descriptions of PRF preparation emphasize differences among protocols and resulting products</w:t>
      </w:r>
      <w:r w:rsidR="00057164" w:rsidRPr="008B3742">
        <w:rPr>
          <w:rFonts w:ascii="Times New Roman" w:hAnsi="Times New Roman" w:cs="Times New Roman"/>
          <w:sz w:val="24"/>
          <w:szCs w:val="24"/>
        </w:rPr>
        <w:t xml:space="preserve"> </w:t>
      </w:r>
      <w:r w:rsidR="00FA3D90" w:rsidRPr="008B3742">
        <w:rPr>
          <w:rFonts w:ascii="Times New Roman" w:hAnsi="Times New Roman" w:cs="Times New Roman"/>
          <w:sz w:val="24"/>
          <w:szCs w:val="24"/>
        </w:rPr>
        <w:fldChar w:fldCharType="begin"/>
      </w:r>
      <w:r w:rsidR="00B80C4E">
        <w:rPr>
          <w:rFonts w:ascii="Times New Roman" w:hAnsi="Times New Roman" w:cs="Times New Roman"/>
          <w:sz w:val="24"/>
          <w:szCs w:val="24"/>
        </w:rPr>
        <w:instrText xml:space="preserve"> ADDIN ZOTERO_ITEM CSL_CITATION {"citationID":"fe3YKWwo","properties":{"unsorted":false,"formattedCitation":"[27]","plainCitation":"[27]","noteIndex":0},"citationItems":[{"id":1650,"uris":["http://zotero.org/users/13389697/items/UXDACKJ9"],"itemData":{"id":1650,"type":"article-journal","abstract":"Blood concentrates, such as platelet rich plasma and platelet rich fibrin, have been proposed to speed up tissue healing and regeneration in many dental fields. This was based on the fact that upon platelet activation, α-granules, which are reservoirs for many growth factors, fuse with the plasma membrane and release their cargo. The released growth factors exhibit chemotactic and mitogenic properties that promote and modulate cellular functions involved in tissue healing, cell proliferation, and tissue regeneration. Platelet rich fibrin (PRF) products were introduced as a grafting biomaterial to be used in surgical periodontics, because of their regenerative qualities. PRF variants are totally autogenous, easy to prepare, fast, economic and most importantly, they do not involve a donor site, therefore PRF was suggested as a connective tissue graft (CTG) substitute, to avoid complications relating to the second surgical site to harvest the CTG. It is important to highlight that the quality and the content of the PRF matrix depends largely on the preparation conditions of the patients’ blood sample. Based on the centrifugation speed of the extracted blood, different PRF matrices can be produced, such as Leukocyte- platelet rich fibrin (L-PRF), Advanced platelet rich fibrin (A-PRF) and Advanced platelet rich fibrin plus (A-PRF+), in addition to the injectable form of platelet rich fibrin (i-PRF) and lyophilised PRF (Ly-PRF). All these variants are currently used in different dental and periodontal procedures. This article aims to provide an overview of different PRF preparations and their applications in periodontal surgery.","container-title":"Frontiers in Dental Medicine","DOI":"10.3389/fdmed.2026.1810175","ISSN":"2673-4915","journalAbbreviation":"Front. Dent. Med.","language":"English","publisher":"Frontiers","source":"Frontiers","title":"Preparation protocols and periodontal applications of platelet rich fibrin, a review","URL":"https://www.frontiersin.org/journals/dental-medicine/articles/10.3389/fdmed.2026.1810175/full","volume":"7","author":[{"family":"Barakat","given":"Sanabel O."},{"family":"AlHawamdeh","given":"Nebras I."},{"family":"Marar","given":"Rama"}],"accessed":{"date-parts":[["2026",4,15]]},"issued":{"date-parts":[["2026",3,26]]}}}],"schema":"https://github.com/citation-style-language/schema/raw/master/csl-citation.json"} </w:instrText>
      </w:r>
      <w:r w:rsidR="00FA3D90" w:rsidRPr="008B3742">
        <w:rPr>
          <w:rFonts w:ascii="Times New Roman" w:hAnsi="Times New Roman" w:cs="Times New Roman"/>
          <w:sz w:val="24"/>
          <w:szCs w:val="24"/>
        </w:rPr>
        <w:fldChar w:fldCharType="separate"/>
      </w:r>
      <w:r w:rsidR="00B80C4E" w:rsidRPr="00B80C4E">
        <w:rPr>
          <w:rFonts w:ascii="Calibri" w:hAnsi="Calibri" w:cs="Calibri"/>
          <w:sz w:val="24"/>
        </w:rPr>
        <w:t>[27]</w:t>
      </w:r>
      <w:r w:rsidR="00FA3D90" w:rsidRPr="008B3742">
        <w:rPr>
          <w:rFonts w:ascii="Times New Roman" w:hAnsi="Times New Roman" w:cs="Times New Roman"/>
          <w:sz w:val="24"/>
          <w:szCs w:val="24"/>
        </w:rPr>
        <w:fldChar w:fldCharType="end"/>
      </w:r>
      <w:r w:rsidR="009948F3" w:rsidRPr="008B3742">
        <w:rPr>
          <w:rFonts w:ascii="Times New Roman" w:hAnsi="Times New Roman" w:cs="Times New Roman"/>
          <w:sz w:val="24"/>
          <w:szCs w:val="24"/>
        </w:rPr>
        <w:t xml:space="preserve">, </w:t>
      </w:r>
      <w:r w:rsidR="00057164" w:rsidRPr="008B3742">
        <w:rPr>
          <w:rFonts w:ascii="Times New Roman" w:hAnsi="Times New Roman" w:cs="Times New Roman"/>
          <w:sz w:val="24"/>
          <w:szCs w:val="24"/>
        </w:rPr>
        <w:t xml:space="preserve"> </w:t>
      </w:r>
      <w:r w:rsidR="00B80C4E" w:rsidRPr="00B80C4E">
        <w:rPr>
          <w:rFonts w:ascii="Times New Roman" w:hAnsi="Times New Roman" w:cs="Times New Roman"/>
          <w:noProof/>
          <w:sz w:val="24"/>
          <w:szCs w:val="24"/>
        </w:rPr>
        <w:t>while recent technical work has described extended fibrin membranes produced using additional processing of albumin-containing fractions</w:t>
      </w:r>
      <w:r w:rsidR="00057164" w:rsidRPr="008B3742">
        <w:rPr>
          <w:rFonts w:ascii="Times New Roman" w:hAnsi="Times New Roman" w:cs="Times New Roman"/>
          <w:sz w:val="24"/>
          <w:szCs w:val="24"/>
        </w:rPr>
        <w:t xml:space="preserve"> </w:t>
      </w:r>
      <w:r w:rsidR="00FA3D90" w:rsidRPr="008B3742">
        <w:rPr>
          <w:rFonts w:ascii="Times New Roman" w:hAnsi="Times New Roman" w:cs="Times New Roman"/>
          <w:sz w:val="24"/>
          <w:szCs w:val="24"/>
        </w:rPr>
        <w:fldChar w:fldCharType="begin"/>
      </w:r>
      <w:r w:rsidR="00B80C4E">
        <w:rPr>
          <w:rFonts w:ascii="Times New Roman" w:hAnsi="Times New Roman" w:cs="Times New Roman"/>
          <w:sz w:val="24"/>
          <w:szCs w:val="24"/>
        </w:rPr>
        <w:instrText xml:space="preserve"> ADDIN ZOTERO_ITEM CSL_CITATION {"citationID":"8IiboQfL","properties":{"unsorted":false,"formattedCitation":"[28]","plainCitation":"[28]","noteIndex":0},"citationItems":[{"id":1672,"uris":["http://zotero.org/users/13389697/items/KY6VVJ8A"],"itemData":{"id":1672,"type":"article-journal","abstract":"Background: Platelet-rich fibrin (PRF) is an autologous biomaterial utilized as an adjunct in dental implant surgeries owing to its significant biocompatibility, supra-physiological concentration of growth factors, and ability to speed either soft or hard tissue regeneration. Methods: Today, PRF is available in both solid and liquid forms with an average resorption period of roughly 2 weeks. While various research endeavors have attempted to utilize Solid-PRF as a barrier membrane in guided bone regeneration (GBR) and various other applications, its two-week resorption period has limited its use as a solo “barrier” membrane owing to its faster-than-ideal resorption properties. Results: Recent studies have demonstrated that by heating and denaturing Liquid-PRF/albumin, the resorption properties of the heated albumin gel could be extended from 2 weeks to 4–6 months by utilizing the Bio-Heat technology. This emerging technology was given the working name ‘extended-PRF’ or e-PRF, with many clinical indications being proposed for further study. Numerous clinicians have now utilized extended-PRF (e-PRF) membranes as a substitute for collagen barrier membranes in various clinical applications, such as guided tissue/bone regeneration, recession coverage, and lateral window sinus lifts. Conclusions: This two-part case series paper aims to first illustrate the evolution of techniques developed taking advantage of this new technology in clinical practice for alveolar ridge preservation. This includes four different methods of fabrication of e-PRF along with its application in clinical practice. This article discusses the clinical outcomes, including the advantages/disadvantages of utilizing each of the four separate techniques to prepare and utilize e-PRF membranes for ridge preservation.","container-title":"Dentistry Journal","DOI":"10.3390/dj13120604","ISSN":"2304-6767","issue":"12","journalAbbreviation":"Dent J (Basel)","page":"604","PMID":"41440362","PMCID":"PMC12731693","source":"PubMed Central","title":"The Evolution of Extended Platelet-Rich Fibrin Membranes for Socket Grafting: Part One: Technical Development of Protocols","title-short":"The Evolution of Extended Platelet-Rich Fibrin Membranes for Socket Grafting","volume":"13","author":[{"family":"Estrin","given":"Nathan E."},{"family":"Espinoza","given":"Alan Rene"},{"family":"Ahmad","given":"Paras"},{"family":"Imber","given":"Jean-Claude"},{"family":"Farshidfar","given":"Nima"},{"family":"Miron","given":"Richard J."}],"issued":{"date-parts":[["2025",12,16]]}}}],"schema":"https://github.com/citation-style-language/schema/raw/master/csl-citation.json"} </w:instrText>
      </w:r>
      <w:r w:rsidR="00FA3D90" w:rsidRPr="008B3742">
        <w:rPr>
          <w:rFonts w:ascii="Times New Roman" w:hAnsi="Times New Roman" w:cs="Times New Roman"/>
          <w:sz w:val="24"/>
          <w:szCs w:val="24"/>
        </w:rPr>
        <w:fldChar w:fldCharType="separate"/>
      </w:r>
      <w:r w:rsidR="00B80C4E" w:rsidRPr="00B80C4E">
        <w:rPr>
          <w:rFonts w:ascii="Calibri" w:hAnsi="Calibri" w:cs="Calibri"/>
          <w:sz w:val="24"/>
        </w:rPr>
        <w:t>[28]</w:t>
      </w:r>
      <w:r w:rsidR="00FA3D90" w:rsidRPr="008B3742">
        <w:rPr>
          <w:rFonts w:ascii="Times New Roman" w:hAnsi="Times New Roman" w:cs="Times New Roman"/>
          <w:sz w:val="24"/>
          <w:szCs w:val="24"/>
        </w:rPr>
        <w:fldChar w:fldCharType="end"/>
      </w:r>
      <w:r w:rsidR="00057164" w:rsidRPr="008B3742">
        <w:rPr>
          <w:rFonts w:ascii="Times New Roman" w:hAnsi="Times New Roman" w:cs="Times New Roman"/>
          <w:sz w:val="24"/>
          <w:szCs w:val="24"/>
        </w:rPr>
        <w:t>.</w:t>
      </w:r>
      <w:r w:rsidR="009948F3" w:rsidRPr="008B3742">
        <w:rPr>
          <w:rFonts w:ascii="Times New Roman" w:hAnsi="Times New Roman" w:cs="Times New Roman"/>
          <w:sz w:val="24"/>
          <w:szCs w:val="24"/>
        </w:rPr>
        <w:t xml:space="preserve"> </w:t>
      </w:r>
      <w:r w:rsidR="009948F3" w:rsidRPr="008B3742">
        <w:rPr>
          <w:rFonts w:ascii="Times New Roman" w:hAnsi="Times New Roman" w:cs="Times New Roman"/>
          <w:noProof/>
          <w:sz w:val="24"/>
          <w:szCs w:val="24"/>
        </w:rPr>
        <w:t>Such literature explains why protocol context matters when interpreting a reference answer. It does not independently establish that every alternative response in the administered questionnaire was technically incorrect.</w:t>
      </w:r>
    </w:p>
    <w:p w14:paraId="59A8BACF" w14:textId="2773ED47" w:rsidR="009948F3" w:rsidRPr="008B3742" w:rsidRDefault="009948F3" w:rsidP="009948F3">
      <w:pPr>
        <w:spacing w:line="480" w:lineRule="auto"/>
        <w:jc w:val="both"/>
        <w:rPr>
          <w:rFonts w:ascii="Times New Roman" w:hAnsi="Times New Roman" w:cs="Times New Roman"/>
          <w:noProof/>
          <w:sz w:val="24"/>
          <w:szCs w:val="24"/>
        </w:rPr>
      </w:pPr>
      <w:r w:rsidRPr="008B3742">
        <w:rPr>
          <w:rFonts w:ascii="Times New Roman" w:hAnsi="Times New Roman" w:cs="Times New Roman"/>
          <w:noProof/>
          <w:sz w:val="24"/>
          <w:szCs w:val="24"/>
        </w:rPr>
        <w:lastRenderedPageBreak/>
        <w:t xml:space="preserve">The clinical literature also addresses formulations beyond conventional solid PRF. Published studies have examined albumin-based PRF in two-stage sinus augmentation and sticky-bone approaches in sinus procedures, while a review discusses the preparation and potential applications of sticky bone </w:t>
      </w:r>
      <w:r w:rsidR="005D14D6" w:rsidRPr="008B3742">
        <w:rPr>
          <w:rFonts w:ascii="Times New Roman" w:hAnsi="Times New Roman" w:cs="Times New Roman"/>
          <w:sz w:val="24"/>
          <w:szCs w:val="24"/>
        </w:rPr>
        <w:fldChar w:fldCharType="begin"/>
      </w:r>
      <w:r w:rsidR="00B80C4E">
        <w:rPr>
          <w:rFonts w:ascii="Times New Roman" w:hAnsi="Times New Roman" w:cs="Times New Roman"/>
          <w:sz w:val="24"/>
          <w:szCs w:val="24"/>
        </w:rPr>
        <w:instrText xml:space="preserve"> ADDIN ZOTERO_ITEM CSL_CITATION {"citationID":"bHUVQvx6","properties":{"unsorted":false,"formattedCitation":"[29\\uc0\\u8211{}31]","plainCitation":"[29–31]","noteIndex":0},"citationItems":[{"id":1675,"uris":["http://zotero.org/users/13389697/items/YQKA8M5G"],"itemData":{"id":1675,"type":"article-journal","abstract":"BACKGROUND: Maxillary sinus lift procedures require biomaterials that combine osteogenic potential with structural stability. This study evaluates Albumin-Platelet-Rich Fibrin (Alb-PRF), a novel autologous material, as a standalone graft alternative in two-stage lateral sinus lifts, addressing limitations of rapid resorption in traditional platelet concentrates.\nMETHODS: A prospective study was conducted on nine patients (mean age: 48.5 years) with residual bone height &lt;5 mm. Alb-PRF was prepared by heat-treating platelet-poor plasma to form an albumin gel, combined with PRF. The gel was placed via lateral window technique without supplemental grafts. Cone-beam computed tomography (CBCT) assessed vertical bone gain (VBG) and density at 6 months. Statistical analysis used paired t-tests (SPSS v22, α = 0.05).\nRESULTS: Mean VBG was 5.07 ± 1.78 mm (range: 2.2-7.9 mm), with significant improvement from baseline (3.58 ± 1.2 mm to 8.65 ± 1.75 mm, *P* &lt; 0.001). Radiographic bone density averaged 322.7 ± 36.4 Hounsfield units, indicating homogeneous osteogenesis. One membrane perforation occurred (11.11%), with no postoperative complications.\nCONCLUSION: Alb-PRF achieved clinically significant bone gain without traditional grafts, leveraging prolonged scaffold stability (4-6 months) and growth factor release. Its autologous nature and low complication profile make it a promising alternative, though larger studies are needed to validate long-term implant outcomes.","container-title":"Annals of Medicine and Surgery","DOI":"10.1097/MS9.0000000000003589","ISSN":"2049-0801","issue":"9","journalAbbreviation":"Ann Med Surg (Lond)","language":"eng","page":"5409-5416","PMID":"40901151","PMCID":"PMC12401425","publisher-place":"2012","source":"PubMed","title":"Efficacy of platelet-rich albumin and fibrin gel in two-stage lateral sinus lift: a prospective study","title-short":"Efficacy of platelet-rich albumin and fibrin gel in two-stage lateral sinus lift","volume":"87","author":[{"family":"Barakat","given":"Moteea"},{"family":"Khalil","given":"Ali"},{"family":"Albash","given":"Ziad"}],"issued":{"date-parts":[["2025",9]]}}},{"id":1677,"uris":["http://zotero.org/users/13389697/items/VG6WYQBX"],"itemData":{"id":1677,"type":"article-journal","abstract":"Assessment of Sticky Bone in One- Stage Lateral Sinus Lift Procedures: A 4 year Retrospective Study","DOI":"10.2174/0118742106308888240531110255","language":"en","source":"opendentistryjournal.com","title":"Assessment of Sticky Bone in One- Stage Lateral Sinus Lift Procedures: A 4 year Retrospective Study","title-short":"Assessment of Sticky Bone in One- Stage Lateral Sinus Lift Procedures","URL":"https://opendentistryjournal.com/VOLUME/18/ELOCATOR/e18742106308888/?doi=10.1126/sciadv.adg2248","author":[{"family":"Albash","given":"Ziad"},{"family":"Khalil","given":"Ali"}],"accessed":{"date-parts":[["2026",4,15]]}}},{"id":1679,"uris":["http://zotero.org/users/13389697/items/74ZZXK73"],"itemData":{"id":1679,"type":"article-journal","abstract":"Sticky bone is a new type of composite biological material in the field of dental implantation and restoration in recent years, which is usually composed of Autologous Fibrin Glue (AFG) or injectable-platelet rich fibrin (i-PRF) is prepared in combination with different types of bone augmentation materials, such as granular or powdered bone substitutes, providing a solution for bone regeneration that integrates growth factor release with bone scaffold functionality. Its unique gel texture ensures precise adhesion at the site of bone defects and does not fall apart due to external forces. This property not only enhances the stability of the bone graft, but also accelerates the regeneration and healing of bone tissue by providing an ideal environment for cell attachment and proliferation. In addition, the bioactivity and plasticity of sticky bone allow it to demonstrate higher adaptability and surgical success when compared to conventional bone grafting methods. Its development potential in bone tissue engineering also opens up new directions for future clinical applications. Overall, sticky bone is becoming a key material for promoting bone regeneration and improving implant success due to its sticky bone, scaffolding function and ability to carry bioactive components. In this paper aims to review the composition, preparation methods, mechanisms of action, and specific applications of sticky bone in oral implantation and related fields.","container-title":"International Journal of Nanomedicine","DOI":"10.2147/IJN.S524115","ISSN":"1178-2013","journalAbbreviation":"Int J Nanomedicine","language":"eng","page":"10151-10175","PMID":"40873679","PMCID":"PMC12379982","source":"PubMed","title":"Sticky Bone: Advances and Applications","title-short":"Sticky Bone","volume":"20","author":[{"family":"Yang","given":"Zheng"},{"family":"Zhai","given":"Shaobo"},{"family":"Liu","given":"Yang"},{"family":"Wu","given":"Yuchuan"},{"family":"He","given":"Tianming"},{"family":"Shi","given":"Xiaolu"},{"family":"Chu","given":"Shunli"}],"issued":{"date-parts":[["2025"]]}}}],"schema":"https://github.com/citation-style-language/schema/raw/master/csl-citation.json"} </w:instrText>
      </w:r>
      <w:r w:rsidR="005D14D6" w:rsidRPr="008B3742">
        <w:rPr>
          <w:rFonts w:ascii="Times New Roman" w:hAnsi="Times New Roman" w:cs="Times New Roman"/>
          <w:sz w:val="24"/>
          <w:szCs w:val="24"/>
        </w:rPr>
        <w:fldChar w:fldCharType="separate"/>
      </w:r>
      <w:r w:rsidR="00B80C4E" w:rsidRPr="00B80C4E">
        <w:rPr>
          <w:rFonts w:ascii="Calibri" w:hAnsi="Calibri" w:cs="Calibri"/>
          <w:kern w:val="0"/>
          <w:sz w:val="24"/>
        </w:rPr>
        <w:t>[29–31]</w:t>
      </w:r>
      <w:r w:rsidR="005D14D6" w:rsidRPr="008B3742">
        <w:rPr>
          <w:rFonts w:ascii="Times New Roman" w:hAnsi="Times New Roman" w:cs="Times New Roman"/>
          <w:sz w:val="24"/>
          <w:szCs w:val="24"/>
        </w:rPr>
        <w:fldChar w:fldCharType="end"/>
      </w:r>
      <w:r w:rsidR="00FA3D90" w:rsidRPr="008B3742">
        <w:rPr>
          <w:rFonts w:ascii="Times New Roman" w:hAnsi="Times New Roman" w:cs="Times New Roman"/>
          <w:sz w:val="24"/>
          <w:szCs w:val="24"/>
        </w:rPr>
        <w:t>.</w:t>
      </w:r>
      <w:r w:rsidRPr="008B3742">
        <w:rPr>
          <w:rFonts w:ascii="Times New Roman" w:hAnsi="Times New Roman" w:cs="Times New Roman"/>
          <w:sz w:val="24"/>
          <w:szCs w:val="24"/>
        </w:rPr>
        <w:t xml:space="preserve"> </w:t>
      </w:r>
      <w:r w:rsidRPr="008B3742">
        <w:rPr>
          <w:rFonts w:ascii="Times New Roman" w:hAnsi="Times New Roman" w:cs="Times New Roman"/>
          <w:noProof/>
          <w:sz w:val="24"/>
          <w:szCs w:val="24"/>
        </w:rPr>
        <w:t>These publications illustrate the diversity of preparation and handling approaches. The present questionnaire did not collect derivative-specific frequencies of clinical use; accordingly, its results cannot determine whether respondents used simpler formulations more often than advanced ones.</w:t>
      </w:r>
    </w:p>
    <w:p w14:paraId="5F2C1137" w14:textId="07C94F32" w:rsidR="00057164" w:rsidRDefault="009948F3" w:rsidP="009948F3">
      <w:pPr>
        <w:spacing w:line="480" w:lineRule="auto"/>
        <w:jc w:val="both"/>
        <w:rPr>
          <w:rFonts w:ascii="Times New Roman" w:hAnsi="Times New Roman" w:cs="Times New Roman"/>
          <w:sz w:val="24"/>
          <w:szCs w:val="24"/>
        </w:rPr>
      </w:pPr>
      <w:r w:rsidRPr="008B3742">
        <w:rPr>
          <w:rFonts w:ascii="Times New Roman" w:hAnsi="Times New Roman" w:cs="Times New Roman"/>
          <w:noProof/>
          <w:sz w:val="24"/>
          <w:szCs w:val="24"/>
          <w:highlight w:val="yellow"/>
        </w:rPr>
        <w:t xml:space="preserve">Agreement that PRF enhances soft tissue healing was reported by 307 participants (61.3%), and 313 (62.5%) agreed that it supports bone regeneration. In contrast, 103 (20.6%) considered themselves competent in its clinical application, while 354 (70.7%) wanted further training. These findings concern self-reported perceptions and do not establish participants’ procedural competence. </w:t>
      </w:r>
      <w:r w:rsidR="00B80C4E" w:rsidRPr="00B80C4E">
        <w:rPr>
          <w:rFonts w:ascii="Times New Roman" w:hAnsi="Times New Roman" w:cs="Times New Roman"/>
          <w:noProof/>
          <w:sz w:val="24"/>
          <w:szCs w:val="24"/>
          <w:highlight w:val="yellow"/>
        </w:rPr>
        <w:t>Clinical studies further indicate that treatment effects may vary according to PRF formulation and clinical indication</w:t>
      </w:r>
      <w:r w:rsidRPr="008B3742">
        <w:rPr>
          <w:rFonts w:ascii="Times New Roman" w:hAnsi="Times New Roman" w:cs="Times New Roman"/>
          <w:noProof/>
          <w:sz w:val="24"/>
          <w:szCs w:val="24"/>
          <w:highlight w:val="yellow"/>
        </w:rPr>
        <w:t xml:space="preserve">. An Alb-PRF trial following jaw-cyst enucleation found no significant between-group advantage in bone regeneration, and a periodontal trial found no significant additional benefit from combining i-PRF with demineralized freeze-dried bone allograft compared with the allograft alone. By contrast, </w:t>
      </w:r>
      <w:r w:rsidR="00B80C4E" w:rsidRPr="00B80C4E">
        <w:rPr>
          <w:rFonts w:ascii="Times New Roman" w:hAnsi="Times New Roman" w:cs="Times New Roman"/>
          <w:noProof/>
          <w:sz w:val="24"/>
          <w:szCs w:val="24"/>
          <w:highlight w:val="yellow"/>
        </w:rPr>
        <w:t>a randomized study reported favorable changes in selected periodontal outcomes when T-PRF was added to open-flap debridement</w:t>
      </w:r>
      <w:r w:rsidRPr="008B3742">
        <w:rPr>
          <w:rFonts w:ascii="Times New Roman" w:hAnsi="Times New Roman" w:cs="Times New Roman"/>
          <w:noProof/>
          <w:sz w:val="24"/>
          <w:szCs w:val="24"/>
          <w:highlight w:val="yellow"/>
        </w:rPr>
        <w:t>, whereas an A-PRF trial after third-molar surgery found no reduction in pain or swelling compared with gelatin dressing. These studies tested different interventions and outcomes; together, they support an indication- and formulation-specific appraisal rather than a claim of uniform superiority.</w:t>
      </w:r>
      <w:r w:rsidRPr="008B3742">
        <w:rPr>
          <w:highlight w:val="yellow"/>
        </w:rPr>
        <w:t xml:space="preserve"> </w:t>
      </w:r>
      <w:r w:rsidRPr="008B3742">
        <w:rPr>
          <w:rFonts w:ascii="Times New Roman" w:hAnsi="Times New Roman" w:cs="Times New Roman"/>
          <w:noProof/>
          <w:sz w:val="24"/>
          <w:szCs w:val="24"/>
          <w:highlight w:val="yellow"/>
        </w:rPr>
        <w:t xml:space="preserve">The differing results of these clinical studies underscore the need to interpret findings according to the PRF formulation, indication, intervention, and comparator </w:t>
      </w:r>
      <w:r w:rsidR="00AE56BE" w:rsidRPr="008B3742">
        <w:rPr>
          <w:rFonts w:ascii="Times New Roman" w:hAnsi="Times New Roman" w:cs="Times New Roman"/>
          <w:sz w:val="24"/>
          <w:szCs w:val="24"/>
          <w:highlight w:val="yellow"/>
        </w:rPr>
        <w:fldChar w:fldCharType="begin"/>
      </w:r>
      <w:r w:rsidR="00B80C4E">
        <w:rPr>
          <w:rFonts w:ascii="Times New Roman" w:hAnsi="Times New Roman" w:cs="Times New Roman"/>
          <w:sz w:val="24"/>
          <w:szCs w:val="24"/>
          <w:highlight w:val="yellow"/>
        </w:rPr>
        <w:instrText xml:space="preserve"> ADDIN ZOTERO_ITEM CSL_CITATION {"citationID":"DsAFjGc8","properties":{"unsorted":false,"formattedCitation":"[32\\uc0\\u8211{}35]","plainCitation":"[32–35]","noteIndex":0},"citationItems":[{"id":1953,"uris":["http://zotero.org/users/13389697/items/MALA2Q35"],"itemData":{"id":1953,"type":"article-journal","abstract":"INTRODUCTION: The presence of an osseous cavity after cyst enucleation is a clinical challenge that needs to be considered. Using pure autologous concentrations of platelets, platelet-rich fibrin (PRF), as a graft material after cyst removal has shown promising effects. However, PRF has limitations in terms of durability, as it usually resorbs within 10-14 days, thus Mourão et al. introduced a new technique for PRF preparation to obtain an albumin gel-platelet-rich fibrin mixture (Alb-PRF), a new autologous material, that can remain stable for 4-6 months with the ability to regenerate bone. This research aimed to evaluate the effect of Alb-PRF on bone regeneration after jaw cyst enucleation via 3-dimensional (3D) volumetric analysis.\nMETHODS: Twenty participants, with jaw cysts, were split into two groups. The Alb-PRF group included 10 individuals treated by enucleation and Alb-PRF application, and the control group included 10 individuals treated conventionally by enucleation without any additives. Cone beam computed tomography (CBCT) was conducted immediately following surgery (T1) and six months later (T2) to measure the volume of the residual bone cavity and the mean bone density of the regenerated bone using On-demand 3D viewer. Paired t test was used to compare the postoperative immediate results with the post-6-months results, whereas Student t test was used to compare the Alb-PRF group with the control group.\nRESULTS: At the 6-month follow-up, the volume of the residual bone cavity had declined and the bone density had increased significantly in both the Alb-PRF group and the control group (P1 &lt; 0.001) compared with the immediate postoperative values. Although the changes in volume and density were greater in the Alb-PRF group than in the control group, there was no a noticeable difference between the two groups. (P = 0.821) and (P = 0.533), respectively.\nCONCLUSION: There was no difference in bone regeneration between Alb-PRF and conventional blood clots after jaw cyst enucleation.\nTRIAL REGISTRATION: The trial was retrospectively registered at the Clinicaltrial.gov registry (Registration ID #NCT05658900). It was first submitted on 12/12/2022 and first posted on 21/12/2022.","container-title":"BMC oral health","DOI":"10.1186/s12903-025-06027-w","ISSN":"1472-6831","issue":"1","journalAbbreviation":"BMC Oral Health","language":"eng","page":"693","PMID":"40340767","PMCID":"PMC12060296","source":"PubMed","title":"Three-dimensional volumetric analysis of bone regeneration following jaw cyst enucleation with and without an autologous albumin gel-platelet-rich fibrin mixture (Alb-PRF): a randomized controlled clinical trial","title-short":"Three-dimensional volumetric analysis of bone regeneration following jaw cyst enucleation with and without an autologous albumin gel-platelet-rich fibrin mixture (Alb-PRF)","volume":"25","author":[{"family":"Shokry","given":"Mohamed Magdy Elsayed Mohamed"},{"family":"Melek","given":"Lydia Nabil Fouad"},{"family":"Amer","given":"Tasneem Ahmed"}],"issued":{"date-parts":[["2025",5,8]]}}},{"id":1950,"uris":["http://zotero.org/users/13389697/items/ZT42TYRN"],"itemData":{"id":1950,"type":"article-journal","abstract":"AIM: The current randomized controlled clinical trial assessed the effect of injectable platelet-rich fibrin (I-PRF) combined with demineralized freeze-dried bone allograft (DFDBA) compared to DFDBA alone in the management of intrabony defects of stage-III periodontitis patients.\nMETHODOLOGY: Following sample size calculation, twenty stage-III periodontitis patients with ≥ 5 mm clinical attachment level (CAL)-loss and ≥ 3 mm intrabony defects were randomized into test (I-PRF + DFDBA; n = 10) and control (DFDBA; n = 10) groups. CAL (primary outcome), periodontal probing depth (PPD), gingival recession depth (GRD), full-mouth plaque scores (FMPS), full-mouth bleeding scores (FMBS), radiographic linear defect depth (RLDD), and bone fill (secondary outcomes) were examined at baseline, 3, 6, and 9 months post-surgically.\nRESULTS: I-PRF + DFDBA and DFDBA independently demonstrated significant intragroup CAL-gain, PPD-, and RLDD-reduction at 3, 6, and 9 months (p &lt; 0.05), with no significant intergroup differences observed (p &gt; 0.05). CAL-gain (mean ± SD) of 2.40 ± 0.70 mm and 2.50 ± 0.85 mm and PPD-reduction of 3.50 ± 1.18 mm and 2.80 ± 0.42 mm were demonstrated for I-PRF + DFDBA and DFDBA at 9 months respectively. Both groups showed significant intragroup RLDD improvement, with a RLDD of 3.58 ± 0.66 mm and 3.89 ± 1.57 mm for I-PRF + DFDBA and DFDBA at 9 months respectively. Stepwise linear regression analysis revealed that baseline RLDD and bone fill at 9 months were significant predictors of CAL (p &lt; 0.05).\nCONCLUSION: Within the present study's limitations, DFDBA with or without I-PRF resulted in significant improvement in clinical and radiographic periodontal parameters in the surgical treatment of periodontal intrabony defects of stage-III periodontitis patients. Addition of I-PRF to DFDBA does not appear to significantly enhance the DFDBA's reparative/regenerative outcomes.\nCLINICAL RELEVANCE: Within the current study's limitations, routinely adding I-PRF to DFDBA cannot be recommended to significantly improve DFDBA's treatment outcomes in intrabony defects.","container-title":"Clinical Oral Investigations","DOI":"10.1007/s00784-023-04954-y","ISSN":"1436-3771","issue":"7","journalAbbreviation":"Clin Oral Investig","language":"eng","page":"3457-3467","PMID":"37002441","PMCID":"PMC10329601","source":"PubMed","title":"Injectable platelet-rich fibrin with demineralized freeze-dried bone allograft compared to demineralized freeze-dried bone allograft in intrabony defects of patients with stage-III periodontitis: a randomized controlled clinical trial","title-short":"Injectable platelet-rich fibrin with demineralized freeze-dried bone allograft compared to demineralized freeze-dried bone allograft in intrabony defects of patients with stage-III periodontitis","volume":"27","author":[{"family":"Alshoiby","given":"Mashaal Mohammed"},{"family":"Fawzy El-Sayed","given":"Karim Mohamed"},{"family":"Elbattawy","given":"Weam"},{"family":"Hosny","given":"Manal Mohamed"}],"issued":{"date-parts":[["2023",7]]}}},{"id":1947,"uris":["http://zotero.org/users/13389697/items/5KM4M8EM"],"itemData":{"id":1947,"type":"article-journal","abstract":"This study aimed to determine the contribution of titanium prepared platelet-rich fibrin (T-PRF) with open flap debridement (OFD) on clinical, biochemical and radiographic measurements of periodontal regeneration. Twenty periodontitis patients with bilateral intrabony defects and stage III grade A periodontitis were included in the study. A total of 40 defects were randomly selected for OFD alone (control group, n = 20) or combined OFD+ T-PRF (test group, n = 20). Clinical and radiographic parameters (at baseline and nine months after surgery), and growth factor levels in gingival crevicular fluid (at baseline and at two, four, six, and twelve weeks after surgical treatment) were also evaluated. Considering the clinical parameters, alterations in probing pocket depth, gingival marginal level and clinical endpoint in the test regions treated with T-PRF significantly improved (P&lt;0.05). Fibroblast growth factor-2 and platelet-derived growth factor-BB levels between the two groups in the second and fourth weeks were also significantly different (P&lt;0.05). Furthermore, the receptor activator of nuclear factor κB ligand/osteoprotegerin ratio between the groups was significantly different in the second, fourth, sixth, and twelfth weeks (P&lt;0.05). The bone-filling rate was also significantly greater in the test group than in the control group (P &lt;0.001). Compared with OFD alone, combining T-PRF with the procedure was more successful with regards to clinical, radiographic, and biochemical measurements of periodontal regeneration.","container-title":"PloS One","DOI":"10.1371/journal.pone.0304970","ISSN":"1932-6203","issue":"6","journalAbbreviation":"PLoS One","language":"eng","page":"e0304970","PMID":"38843242","PMCID":"PMC11156295","source":"PubMed","title":"The effect of titanium-platelet rich fibrin on periodontal intrabony defects: A randomized controlled split-mouth clinical study","title-short":"The effect of titanium-platelet rich fibrin on periodontal intrabony defects","volume":"19","author":[{"family":"Ozkal Eminoglu","given":"Didem"},{"family":"Arabaci","given":"Taner"},{"family":"Oztas Sahiner","given":"Gurbet Alev"}],"issued":{"date-parts":[["2024"]]}}},{"id":1945,"uris":["http://zotero.org/users/13389697/items/AKPIXLW2"],"itemData":{"id":1945,"type":"article-journal","abstract":"BACKGROUND: Postoperative pain and swelling following third molar (M3) removal can be debilitating, and there is interest in using advanced platelet-rich fibrin (A-PRF) to reduce their severity.\nPURPOSE: This study compared postoperative pain and swelling between A-PRF and gelatin dressing in extraction sockets following mandibular M3 removal.\nMETHODS, SETTING, SAMPLE: This split-mouth, single-blinded, randomized controlled trial was completed at the Oral Surgery clinic of University of Otago between November 2020 and July 2021. Patients aged between 16 and 40 years with bilaterally impacted mandibular M3 of similar Pederson index difficulty and deemed to be American Society of Anesthesiologists (ASA) I or II comprised the study sample.\nPREDICTOR/EXPOSURE/INDEPENDENT VARIABLE: The exposure variable was M3 socket management. One socket received A-PRF and 1 gelatin dressing, while the other received 2 gelatin dressings.\nMAIN OUTCOME VARIABLE(S): The outcome variables were postoperative pain and swelling over 7 days. Pain was measured using the visual analog scale (VAS), and swelling using stereophotogrammetry.\nCOVARIATES: Demographic characteristics (gender, ethnicity, and age), dental anxiety, smoking status, Pederson index, and intraoperative surgical time were the covariates.\nANALYSES: The two sides were compared using cross-tabulations and the McNemar test for categorical and paired t-tests for continuous variables. Statistical analysis used IBM SPSS Statistics for Windows (version 28).The Alpha level was 0.05.\nRESULTS: 76 (87.3%) of 87 patients who met the eligibility criteria participated in the study, and 70 patients (65.7% female; age range 16-30 years) were included in the analysis. Mean visual analog scale scores showed no statistically significant difference between the A-PRF and control sides, being 29.6 (95% CI 23.9, 35.3) and 29.5 (95% CI 23.5, 35.5) on day 2, and falling to 12.6 (95% CI 8.7, 16.5) and 14.2 (95% CI 10.0, 18.4) by day 7. Likewise, mean peak facial swelling on day 2 was recorded as 6.3 cm3 (95% CI 4.9, 7.7) and 6.6 cm3 (95% CI 5.5, 7.7), and by day 7 they were 1.1 cm3 (95% CI 0.5, 1.7) and 1.0 cm3 (95% CI 0.3, 0.7) on the A-PRF and control sides, respectively.\nCONCLUSIONS: A-PRF placement in M3 sockets did not reduce postoperative pain and swelling over gelatin dressing alone.","container-title":"Journal of Oral and Maxillofacial Surgery: Official Journal of the American Association of Oral and Maxillofacial Surgeons","DOI":"10.1016/j.joms.2024.02.003","ISSN":"1531-5053","issue":"5","journalAbbreviation":"J Oral Maxillofac Surg","language":"eng","page":"581-589","PMID":"38412975","source":"PubMed","title":"Effect of Advanced Platelet-Rich Fibrin (A-PRF) on Postoperative Level of Pain and Swelling Following Third Molar Surgery","volume":"82","author":[{"family":"Praganta","given":"Jesslyn"},{"family":"De Silva","given":"Harsha"},{"family":"De Silva","given":"Rohana"},{"family":"Tong","given":"Darryl C."},{"family":"Thomson","given":"W. Murray"}],"issued":{"date-parts":[["2024",5]]}}}],"schema":"https://github.com/citation-style-language/schema/raw/master/csl-citation.json"} </w:instrText>
      </w:r>
      <w:r w:rsidR="00AE56BE" w:rsidRPr="008B3742">
        <w:rPr>
          <w:rFonts w:ascii="Times New Roman" w:hAnsi="Times New Roman" w:cs="Times New Roman"/>
          <w:sz w:val="24"/>
          <w:szCs w:val="24"/>
          <w:highlight w:val="yellow"/>
        </w:rPr>
        <w:fldChar w:fldCharType="separate"/>
      </w:r>
      <w:r w:rsidR="00B80C4E" w:rsidRPr="00B80C4E">
        <w:rPr>
          <w:rFonts w:ascii="Times New Roman" w:hAnsi="Times New Roman" w:cs="Times New Roman"/>
          <w:kern w:val="0"/>
          <w:sz w:val="24"/>
        </w:rPr>
        <w:t>[32–35]</w:t>
      </w:r>
      <w:r w:rsidR="00AE56BE" w:rsidRPr="008B3742">
        <w:rPr>
          <w:rFonts w:ascii="Times New Roman" w:hAnsi="Times New Roman" w:cs="Times New Roman"/>
          <w:sz w:val="24"/>
          <w:szCs w:val="24"/>
          <w:highlight w:val="yellow"/>
        </w:rPr>
        <w:fldChar w:fldCharType="end"/>
      </w:r>
      <w:r w:rsidR="00AE56BE" w:rsidRPr="008B3742">
        <w:rPr>
          <w:rFonts w:ascii="Times New Roman" w:hAnsi="Times New Roman" w:cs="Times New Roman"/>
          <w:sz w:val="24"/>
          <w:szCs w:val="24"/>
          <w:highlight w:val="yellow"/>
        </w:rPr>
        <w:t>.</w:t>
      </w:r>
    </w:p>
    <w:p w14:paraId="363F5F79" w14:textId="77777777" w:rsidR="009948F3" w:rsidRPr="008B3742" w:rsidRDefault="009948F3" w:rsidP="009948F3">
      <w:pPr>
        <w:spacing w:line="480" w:lineRule="auto"/>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 xml:space="preserve">Prior formal PRF training was associated with both corrected knowledge and attitude scores. Compared with respondents reporting no formal training (median knowledge score, 7; median </w:t>
      </w:r>
      <w:r w:rsidRPr="008B3742">
        <w:rPr>
          <w:rFonts w:ascii="Times New Roman" w:hAnsi="Times New Roman" w:cs="Times New Roman"/>
          <w:noProof/>
          <w:sz w:val="24"/>
          <w:szCs w:val="24"/>
          <w:highlight w:val="yellow"/>
        </w:rPr>
        <w:lastRenderedPageBreak/>
        <w:t>attitude score, 21), those reporting undergraduate or postgraduate training had median scores of 15 and 26, respectively; those reporting a short course or seminar had median scores of 16 and 26. These differences are consistent with the omnibus comparisons in Table 4. Nevertheless, the study cannot determine whether training preceded the observed differences or caused them. Dentists with greater pre-existing interest or knowledge may have been more likely to seek training.</w:t>
      </w:r>
    </w:p>
    <w:p w14:paraId="273B4B59" w14:textId="77777777" w:rsidR="009948F3" w:rsidRPr="008B3742" w:rsidRDefault="009948F3" w:rsidP="009948F3">
      <w:pPr>
        <w:spacing w:line="480" w:lineRule="auto"/>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The study assessed 501 practicing dentists and considered knowledge, attitudes, and self-reported use within the same survey. Including items on several PRF formulations allowed responses to specific preparation concepts to be described. However, the voluntary convenience sample and questionnaire-based measures restrict generalization beyond the respondents and do not permit conclusions about observed clinical competence.</w:t>
      </w:r>
    </w:p>
    <w:p w14:paraId="28C65C97" w14:textId="77777777" w:rsidR="009948F3" w:rsidRPr="008B3742" w:rsidRDefault="009948F3" w:rsidP="009948F3">
      <w:pPr>
        <w:spacing w:line="480" w:lineRule="auto"/>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 xml:space="preserve">Several additional limitations should be considered. The cross-sectional design cannot establish temporal or causal relationships. Self-reported answers may be affected by recall and social desirability bias. Dentists already interested in PRF, regenerative procedures, or further education may have been more likely to participate, potentially overrepresenting favorable attitudes and interest in training. Because recruitment occurred through open professional networks, the number of dentists who received or viewed the invitation is unknown and a conventional response rate cannot be calculated. Online recruitment may also have preferentially reached dentists engaged with digital networks. No formal a priori sample-size calculation was performed, and a total sample of 501 does not by itself establish adequate precision for every subgroup or item-level comparison. PRF protocols vary by centrifuge, rotor, tube characteristics, and subsequent modifications; the knowledge score therefore measures agreement with the prespecified reference key in the context of the administered questions, rather than mastery of every acceptable contemporary protocol. The item-level analyses were exploratory despite adjustment for multiple testing. Finally, the meaning of the discordance </w:t>
      </w:r>
      <w:r w:rsidRPr="008B3742">
        <w:rPr>
          <w:rFonts w:ascii="Times New Roman" w:hAnsi="Times New Roman" w:cs="Times New Roman"/>
          <w:noProof/>
          <w:sz w:val="24"/>
          <w:szCs w:val="24"/>
          <w:highlight w:val="yellow"/>
        </w:rPr>
        <w:lastRenderedPageBreak/>
        <w:t>between the monthly-frequency and barrier questions cannot be resolved from the available responses. Future studies with broader sampling and direct assessments of preparation and application could examine the generalizability and clinical meaning of these findings.</w:t>
      </w:r>
    </w:p>
    <w:p w14:paraId="0B7D9E77" w14:textId="4B113E34" w:rsidR="004B18FE" w:rsidRPr="00497923" w:rsidRDefault="004B18FE" w:rsidP="00057164">
      <w:pPr>
        <w:spacing w:line="480" w:lineRule="auto"/>
        <w:rPr>
          <w:rFonts w:ascii="Times New Roman" w:hAnsi="Times New Roman" w:cs="Times New Roman"/>
          <w:b/>
          <w:bCs/>
          <w:sz w:val="24"/>
          <w:szCs w:val="24"/>
        </w:rPr>
      </w:pPr>
    </w:p>
    <w:p w14:paraId="28356C84" w14:textId="526B2A17" w:rsidR="00057164" w:rsidRPr="00497923" w:rsidRDefault="00057164" w:rsidP="00057164">
      <w:pPr>
        <w:spacing w:line="480" w:lineRule="auto"/>
        <w:rPr>
          <w:rFonts w:ascii="Times New Roman" w:hAnsi="Times New Roman" w:cs="Times New Roman"/>
          <w:sz w:val="24"/>
          <w:szCs w:val="24"/>
        </w:rPr>
      </w:pPr>
      <w:r w:rsidRPr="00497923">
        <w:rPr>
          <w:rFonts w:ascii="Times New Roman" w:hAnsi="Times New Roman" w:cs="Times New Roman"/>
          <w:b/>
          <w:bCs/>
          <w:sz w:val="24"/>
          <w:szCs w:val="24"/>
        </w:rPr>
        <w:t>Conclusion</w:t>
      </w:r>
    </w:p>
    <w:p w14:paraId="1B984E93" w14:textId="77777777" w:rsidR="00953075" w:rsidRPr="003D1A20" w:rsidRDefault="00953075" w:rsidP="00953075">
      <w:pPr>
        <w:spacing w:line="480" w:lineRule="auto"/>
        <w:jc w:val="both"/>
        <w:rPr>
          <w:rFonts w:ascii="Times New Roman" w:hAnsi="Times New Roman" w:cs="Times New Roman"/>
          <w:sz w:val="24"/>
          <w:szCs w:val="24"/>
        </w:rPr>
      </w:pPr>
      <w:r w:rsidRPr="008B3742">
        <w:rPr>
          <w:rFonts w:ascii="Times New Roman" w:hAnsi="Times New Roman" w:cs="Times New Roman"/>
          <w:sz w:val="24"/>
          <w:szCs w:val="24"/>
          <w:highlight w:val="yellow"/>
        </w:rPr>
        <w:t>In this sample, dentists expressed generally favorable attitudes toward PRF, while responses to preparation and protocol questions varied. Most respondents reported no current PRF use on the monthly frequency question, and insufficient preparation knowledge was the most frequently selected reason for non-use or limited use. Formal PRF training was associated with higher knowledge and attitude scores, but the cross-sectional design does not permit causal interpretation.</w:t>
      </w:r>
    </w:p>
    <w:p w14:paraId="37B05A80" w14:textId="7BC0CD95" w:rsidR="00667F0A" w:rsidRPr="00497923" w:rsidRDefault="00667F0A" w:rsidP="00E67FA9">
      <w:pPr>
        <w:spacing w:line="480" w:lineRule="auto"/>
        <w:rPr>
          <w:rFonts w:ascii="Times New Roman" w:hAnsi="Times New Roman" w:cs="Times New Roman"/>
          <w:b/>
          <w:bCs/>
          <w:sz w:val="24"/>
          <w:szCs w:val="24"/>
        </w:rPr>
      </w:pPr>
      <w:r w:rsidRPr="00497923">
        <w:rPr>
          <w:rFonts w:ascii="Times New Roman" w:hAnsi="Times New Roman" w:cs="Times New Roman"/>
          <w:b/>
          <w:bCs/>
          <w:sz w:val="24"/>
          <w:szCs w:val="24"/>
        </w:rPr>
        <w:t xml:space="preserve">Acknowledgements: </w:t>
      </w:r>
      <w:r w:rsidRPr="00497923">
        <w:rPr>
          <w:rFonts w:ascii="Times New Roman" w:hAnsi="Times New Roman" w:cs="Times New Roman"/>
          <w:sz w:val="24"/>
          <w:szCs w:val="24"/>
        </w:rPr>
        <w:t>Not applicable.</w:t>
      </w:r>
    </w:p>
    <w:p w14:paraId="038CB686" w14:textId="77777777" w:rsidR="00667F0A" w:rsidRPr="00497923" w:rsidRDefault="00667F0A" w:rsidP="00667F0A">
      <w:pPr>
        <w:spacing w:line="480" w:lineRule="auto"/>
        <w:jc w:val="both"/>
        <w:rPr>
          <w:rFonts w:ascii="Times New Roman" w:hAnsi="Times New Roman" w:cs="Times New Roman"/>
          <w:sz w:val="24"/>
          <w:szCs w:val="24"/>
        </w:rPr>
      </w:pPr>
      <w:r w:rsidRPr="00497923">
        <w:rPr>
          <w:rFonts w:ascii="Times New Roman" w:hAnsi="Times New Roman" w:cs="Times New Roman"/>
          <w:b/>
          <w:bCs/>
          <w:sz w:val="24"/>
          <w:szCs w:val="24"/>
        </w:rPr>
        <w:t xml:space="preserve">Authors’ contributions: </w:t>
      </w:r>
      <w:r w:rsidRPr="00497923">
        <w:rPr>
          <w:rFonts w:ascii="Times New Roman" w:hAnsi="Times New Roman" w:cs="Times New Roman"/>
          <w:sz w:val="24"/>
          <w:szCs w:val="24"/>
        </w:rPr>
        <w:t>Conceptualization: O.Ş. and S.K.; methodology: O.Ş. and S.K.; software: O.Ş.; validation: O.Ş. and S.K.; formal analysis: O.Ş. and S.K.; investigation: O.Ş. and S.K.; resources: O.Ş. and S.K.; data curation: O.Ş.; writing—original draft preparation: O.Ş.; writing—review and editing: O.Ş. and S.K.; visualization: S.K.; supervision: S.K. All authors read and approved the final manuscript.</w:t>
      </w:r>
    </w:p>
    <w:p w14:paraId="4842D3DF" w14:textId="77777777" w:rsidR="00667F0A" w:rsidRPr="00497923" w:rsidRDefault="00667F0A" w:rsidP="00667F0A">
      <w:pPr>
        <w:spacing w:line="480" w:lineRule="auto"/>
        <w:jc w:val="both"/>
        <w:rPr>
          <w:rFonts w:ascii="Times New Roman" w:hAnsi="Times New Roman" w:cs="Times New Roman"/>
          <w:b/>
          <w:bCs/>
          <w:sz w:val="24"/>
          <w:szCs w:val="24"/>
        </w:rPr>
      </w:pPr>
      <w:r w:rsidRPr="00497923">
        <w:rPr>
          <w:rFonts w:ascii="Times New Roman" w:hAnsi="Times New Roman" w:cs="Times New Roman"/>
          <w:b/>
          <w:bCs/>
          <w:sz w:val="24"/>
          <w:szCs w:val="24"/>
        </w:rPr>
        <w:t xml:space="preserve">Funding: </w:t>
      </w:r>
      <w:r w:rsidRPr="00497923">
        <w:rPr>
          <w:rFonts w:ascii="Times New Roman" w:hAnsi="Times New Roman" w:cs="Times New Roman"/>
          <w:sz w:val="24"/>
          <w:szCs w:val="24"/>
        </w:rPr>
        <w:t>The authors received no financial support for the research, authorship, and/or publication of this article.</w:t>
      </w:r>
    </w:p>
    <w:p w14:paraId="46C6FDC2" w14:textId="77777777" w:rsidR="00667F0A" w:rsidRPr="00497923" w:rsidRDefault="00667F0A" w:rsidP="00667F0A">
      <w:pPr>
        <w:spacing w:line="480" w:lineRule="auto"/>
        <w:jc w:val="both"/>
        <w:rPr>
          <w:rFonts w:ascii="Times New Roman" w:hAnsi="Times New Roman" w:cs="Times New Roman"/>
          <w:sz w:val="24"/>
          <w:szCs w:val="24"/>
        </w:rPr>
      </w:pPr>
      <w:r w:rsidRPr="00497923">
        <w:rPr>
          <w:rFonts w:ascii="Times New Roman" w:hAnsi="Times New Roman" w:cs="Times New Roman"/>
          <w:b/>
          <w:bCs/>
          <w:sz w:val="24"/>
          <w:szCs w:val="24"/>
        </w:rPr>
        <w:t xml:space="preserve">Availability of data and materials: </w:t>
      </w:r>
      <w:r w:rsidRPr="00497923">
        <w:rPr>
          <w:rFonts w:ascii="Times New Roman" w:hAnsi="Times New Roman" w:cs="Times New Roman"/>
          <w:sz w:val="24"/>
          <w:szCs w:val="24"/>
        </w:rPr>
        <w:t>The datasets used and/or analyzed during the current study are available from the corresponding author on reasonable request.</w:t>
      </w:r>
    </w:p>
    <w:p w14:paraId="5B01DCF5" w14:textId="61F6BC36" w:rsidR="00667F0A" w:rsidRPr="00497923" w:rsidRDefault="00667F0A" w:rsidP="00667F0A">
      <w:pPr>
        <w:spacing w:line="480" w:lineRule="auto"/>
        <w:jc w:val="both"/>
        <w:rPr>
          <w:rFonts w:ascii="Times New Roman" w:hAnsi="Times New Roman" w:cs="Times New Roman"/>
          <w:b/>
          <w:bCs/>
          <w:sz w:val="24"/>
          <w:szCs w:val="24"/>
        </w:rPr>
      </w:pPr>
      <w:r w:rsidRPr="00497923">
        <w:rPr>
          <w:rFonts w:ascii="Times New Roman" w:hAnsi="Times New Roman" w:cs="Times New Roman"/>
          <w:b/>
          <w:bCs/>
          <w:sz w:val="24"/>
          <w:szCs w:val="24"/>
        </w:rPr>
        <w:t xml:space="preserve">Declarations: </w:t>
      </w:r>
      <w:r w:rsidR="00F92182" w:rsidRPr="00F92182">
        <w:rPr>
          <w:rFonts w:ascii="Times New Roman" w:hAnsi="Times New Roman" w:cs="Times New Roman"/>
          <w:sz w:val="24"/>
          <w:szCs w:val="24"/>
        </w:rPr>
        <w:t>This study was reported in accordance with the Strengthening the Reporting of Observational Studies in Epidemiology (STROBE) guideline for cross-sectional studies.</w:t>
      </w:r>
    </w:p>
    <w:p w14:paraId="718688E7" w14:textId="77777777" w:rsidR="00667F0A" w:rsidRPr="00497923" w:rsidRDefault="00667F0A" w:rsidP="00667F0A">
      <w:pPr>
        <w:spacing w:line="480" w:lineRule="auto"/>
        <w:jc w:val="both"/>
        <w:rPr>
          <w:rFonts w:ascii="Times New Roman" w:hAnsi="Times New Roman" w:cs="Times New Roman"/>
          <w:b/>
          <w:bCs/>
          <w:sz w:val="24"/>
          <w:szCs w:val="24"/>
        </w:rPr>
      </w:pPr>
      <w:r w:rsidRPr="00497923">
        <w:rPr>
          <w:rFonts w:ascii="Times New Roman" w:hAnsi="Times New Roman" w:cs="Times New Roman"/>
          <w:b/>
          <w:bCs/>
          <w:sz w:val="24"/>
          <w:szCs w:val="24"/>
        </w:rPr>
        <w:lastRenderedPageBreak/>
        <w:t xml:space="preserve">Ethics approval and consent to participate: </w:t>
      </w:r>
      <w:r w:rsidRPr="00497923">
        <w:rPr>
          <w:rFonts w:ascii="Times New Roman" w:hAnsi="Times New Roman" w:cs="Times New Roman"/>
          <w:sz w:val="24"/>
          <w:szCs w:val="24"/>
        </w:rPr>
        <w:t xml:space="preserve">All procedures performed in studies involving human participants were in accordance with the ethical standards of the institutional and/or national research committee and with the Declaration of Helsinki and its later amendments. The study protocol was approved by the Health Sciences Ethics Committee of Van </w:t>
      </w:r>
      <w:proofErr w:type="spellStart"/>
      <w:r w:rsidRPr="00497923">
        <w:rPr>
          <w:rFonts w:ascii="Times New Roman" w:hAnsi="Times New Roman" w:cs="Times New Roman"/>
          <w:sz w:val="24"/>
          <w:szCs w:val="24"/>
        </w:rPr>
        <w:t>Yuzuncu</w:t>
      </w:r>
      <w:proofErr w:type="spellEnd"/>
      <w:r w:rsidRPr="00497923">
        <w:rPr>
          <w:rFonts w:ascii="Times New Roman" w:hAnsi="Times New Roman" w:cs="Times New Roman"/>
          <w:sz w:val="24"/>
          <w:szCs w:val="24"/>
        </w:rPr>
        <w:t xml:space="preserve"> </w:t>
      </w:r>
      <w:proofErr w:type="spellStart"/>
      <w:r w:rsidRPr="00497923">
        <w:rPr>
          <w:rFonts w:ascii="Times New Roman" w:hAnsi="Times New Roman" w:cs="Times New Roman"/>
          <w:sz w:val="24"/>
          <w:szCs w:val="24"/>
        </w:rPr>
        <w:t>Yil</w:t>
      </w:r>
      <w:proofErr w:type="spellEnd"/>
      <w:r w:rsidRPr="00497923">
        <w:rPr>
          <w:rFonts w:ascii="Times New Roman" w:hAnsi="Times New Roman" w:cs="Times New Roman"/>
          <w:sz w:val="24"/>
          <w:szCs w:val="24"/>
        </w:rPr>
        <w:t xml:space="preserve"> University (approval no. 2025/12-14, December 19, 2025). Informed consent was obtained from all participants prior to their inclusion in the study.</w:t>
      </w:r>
    </w:p>
    <w:p w14:paraId="513F0752" w14:textId="77777777" w:rsidR="00667F0A" w:rsidRPr="00497923" w:rsidRDefault="00667F0A" w:rsidP="00667F0A">
      <w:pPr>
        <w:spacing w:line="480" w:lineRule="auto"/>
        <w:jc w:val="both"/>
        <w:rPr>
          <w:rFonts w:ascii="Times New Roman" w:hAnsi="Times New Roman" w:cs="Times New Roman"/>
          <w:b/>
          <w:bCs/>
          <w:sz w:val="24"/>
          <w:szCs w:val="24"/>
        </w:rPr>
      </w:pPr>
      <w:r w:rsidRPr="00497923">
        <w:rPr>
          <w:rFonts w:ascii="Times New Roman" w:hAnsi="Times New Roman" w:cs="Times New Roman"/>
          <w:b/>
          <w:bCs/>
          <w:sz w:val="24"/>
          <w:szCs w:val="24"/>
        </w:rPr>
        <w:t xml:space="preserve">Consent for publication: </w:t>
      </w:r>
      <w:r w:rsidRPr="00497923">
        <w:rPr>
          <w:rFonts w:ascii="Times New Roman" w:hAnsi="Times New Roman" w:cs="Times New Roman"/>
          <w:sz w:val="24"/>
          <w:szCs w:val="24"/>
        </w:rPr>
        <w:t>Not applicable.</w:t>
      </w:r>
    </w:p>
    <w:p w14:paraId="7A08A2F0" w14:textId="77777777" w:rsidR="00667F0A" w:rsidRPr="00497923" w:rsidRDefault="00667F0A" w:rsidP="00667F0A">
      <w:pPr>
        <w:spacing w:line="480" w:lineRule="auto"/>
        <w:jc w:val="both"/>
        <w:rPr>
          <w:rFonts w:ascii="Times New Roman" w:hAnsi="Times New Roman" w:cs="Times New Roman"/>
          <w:b/>
          <w:bCs/>
          <w:sz w:val="24"/>
          <w:szCs w:val="24"/>
        </w:rPr>
      </w:pPr>
      <w:r w:rsidRPr="00497923">
        <w:rPr>
          <w:rFonts w:ascii="Times New Roman" w:hAnsi="Times New Roman" w:cs="Times New Roman"/>
          <w:b/>
          <w:bCs/>
          <w:sz w:val="24"/>
          <w:szCs w:val="24"/>
        </w:rPr>
        <w:t xml:space="preserve">Competing interests: </w:t>
      </w:r>
      <w:r w:rsidRPr="00497923">
        <w:rPr>
          <w:rFonts w:ascii="Times New Roman" w:hAnsi="Times New Roman" w:cs="Times New Roman"/>
          <w:sz w:val="24"/>
          <w:szCs w:val="24"/>
        </w:rPr>
        <w:t>The authors declare that they have no competing interests.</w:t>
      </w:r>
    </w:p>
    <w:p w14:paraId="65959CE1" w14:textId="77777777" w:rsidR="00667F0A" w:rsidRPr="00497923" w:rsidRDefault="00667F0A" w:rsidP="004B18FE">
      <w:pPr>
        <w:spacing w:line="480" w:lineRule="auto"/>
        <w:rPr>
          <w:rFonts w:ascii="Times New Roman" w:hAnsi="Times New Roman" w:cs="Times New Roman"/>
          <w:sz w:val="24"/>
          <w:szCs w:val="24"/>
        </w:rPr>
      </w:pPr>
    </w:p>
    <w:p w14:paraId="7CCA43F4" w14:textId="77777777" w:rsidR="004B18FE" w:rsidRPr="00497923" w:rsidRDefault="004B18FE" w:rsidP="004B18FE">
      <w:pPr>
        <w:spacing w:line="480" w:lineRule="auto"/>
        <w:rPr>
          <w:rFonts w:ascii="Times New Roman" w:hAnsi="Times New Roman" w:cs="Times New Roman"/>
          <w:sz w:val="24"/>
          <w:szCs w:val="24"/>
        </w:rPr>
      </w:pPr>
    </w:p>
    <w:p w14:paraId="2C6D5321" w14:textId="569066F2" w:rsidR="00291D72" w:rsidRPr="00497923" w:rsidRDefault="00291D72" w:rsidP="004B18FE">
      <w:pPr>
        <w:spacing w:line="480" w:lineRule="auto"/>
        <w:rPr>
          <w:rFonts w:ascii="Times New Roman" w:hAnsi="Times New Roman" w:cs="Times New Roman"/>
          <w:sz w:val="24"/>
          <w:szCs w:val="24"/>
        </w:rPr>
      </w:pPr>
      <w:r w:rsidRPr="00497923">
        <w:rPr>
          <w:rFonts w:ascii="Times New Roman" w:hAnsi="Times New Roman" w:cs="Times New Roman"/>
          <w:sz w:val="24"/>
          <w:szCs w:val="24"/>
        </w:rPr>
        <w:br w:type="page"/>
      </w:r>
    </w:p>
    <w:p w14:paraId="4F4ABF5F" w14:textId="6314F5C7" w:rsidR="009C176A" w:rsidRPr="00497923" w:rsidRDefault="00291D72" w:rsidP="00402CB9">
      <w:pPr>
        <w:spacing w:line="480" w:lineRule="auto"/>
        <w:rPr>
          <w:rFonts w:ascii="Times New Roman" w:hAnsi="Times New Roman" w:cs="Times New Roman"/>
          <w:b/>
          <w:bCs/>
          <w:sz w:val="28"/>
          <w:szCs w:val="28"/>
        </w:rPr>
      </w:pPr>
      <w:r w:rsidRPr="00497923">
        <w:rPr>
          <w:rFonts w:ascii="Times New Roman" w:hAnsi="Times New Roman" w:cs="Times New Roman"/>
          <w:b/>
          <w:bCs/>
          <w:sz w:val="28"/>
          <w:szCs w:val="28"/>
        </w:rPr>
        <w:lastRenderedPageBreak/>
        <w:t>References</w:t>
      </w:r>
    </w:p>
    <w:p w14:paraId="78317B0C" w14:textId="16FFB8D6"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Dohan Ehrenfest DM, Andia I, Zumstein MA, Zhang CQ, Pinto NR, Bielecki T. Classification of platelet concentrates (platelet-rich plasma-PRP, platelet-rich fibrin-PRF) for topical and infiltrative use in orthopedic and sports medicine: current consensus, clinical implications and perspectives. Muscles Ligaments Tendons J. </w:t>
      </w:r>
      <w:proofErr w:type="gramStart"/>
      <w:r w:rsidRPr="00497923">
        <w:rPr>
          <w:rFonts w:ascii="Times New Roman" w:hAnsi="Times New Roman" w:cs="Times New Roman"/>
          <w:sz w:val="24"/>
          <w:szCs w:val="24"/>
        </w:rPr>
        <w:t>2014;4:3</w:t>
      </w:r>
      <w:proofErr w:type="gramEnd"/>
      <w:r w:rsidRPr="00497923">
        <w:rPr>
          <w:rFonts w:ascii="Times New Roman" w:hAnsi="Times New Roman" w:cs="Times New Roman"/>
          <w:sz w:val="24"/>
          <w:szCs w:val="24"/>
        </w:rPr>
        <w:t xml:space="preserve">–9. </w:t>
      </w:r>
    </w:p>
    <w:p w14:paraId="1D4A83BB" w14:textId="564171B0"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Marx RE. Platelet-rich plasma (PRP): what is PRP and what is not PRP? Implant Dent. </w:t>
      </w:r>
      <w:proofErr w:type="gramStart"/>
      <w:r w:rsidRPr="00497923">
        <w:rPr>
          <w:rFonts w:ascii="Times New Roman" w:hAnsi="Times New Roman" w:cs="Times New Roman"/>
          <w:sz w:val="24"/>
          <w:szCs w:val="24"/>
        </w:rPr>
        <w:t>2001;10:225</w:t>
      </w:r>
      <w:proofErr w:type="gramEnd"/>
      <w:r w:rsidRPr="00497923">
        <w:rPr>
          <w:rFonts w:ascii="Times New Roman" w:hAnsi="Times New Roman" w:cs="Times New Roman"/>
          <w:sz w:val="24"/>
          <w:szCs w:val="24"/>
        </w:rPr>
        <w:t xml:space="preserve">–8. </w:t>
      </w:r>
      <w:hyperlink r:id="rId7" w:tgtFrame="_new" w:history="1">
        <w:r w:rsidRPr="00497923">
          <w:rPr>
            <w:rStyle w:val="Kpr"/>
            <w:rFonts w:ascii="Times New Roman" w:hAnsi="Times New Roman" w:cs="Times New Roman"/>
            <w:sz w:val="24"/>
            <w:szCs w:val="24"/>
          </w:rPr>
          <w:t>https://doi.org/10.1097/00008505-200110000-00002</w:t>
        </w:r>
      </w:hyperlink>
      <w:r w:rsidRPr="00497923">
        <w:rPr>
          <w:rFonts w:ascii="Times New Roman" w:hAnsi="Times New Roman" w:cs="Times New Roman"/>
          <w:sz w:val="24"/>
          <w:szCs w:val="24"/>
        </w:rPr>
        <w:t xml:space="preserve">. </w:t>
      </w:r>
    </w:p>
    <w:p w14:paraId="4EAC66E3" w14:textId="2831987E"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Jia K, You J, Zhu Y, Li M, Chen S, Ren S, et al. Platelet-rich fibrin as an autologous biomaterial for bone regeneration: mechanisms, applications, optimization. Front </w:t>
      </w:r>
      <w:proofErr w:type="spellStart"/>
      <w:r w:rsidRPr="00497923">
        <w:rPr>
          <w:rFonts w:ascii="Times New Roman" w:hAnsi="Times New Roman" w:cs="Times New Roman"/>
          <w:sz w:val="24"/>
          <w:szCs w:val="24"/>
        </w:rPr>
        <w:t>Bioeng</w:t>
      </w:r>
      <w:proofErr w:type="spellEnd"/>
      <w:r w:rsidRPr="00497923">
        <w:rPr>
          <w:rFonts w:ascii="Times New Roman" w:hAnsi="Times New Roman" w:cs="Times New Roman"/>
          <w:sz w:val="24"/>
          <w:szCs w:val="24"/>
        </w:rPr>
        <w:t xml:space="preserve"> </w:t>
      </w:r>
      <w:proofErr w:type="spellStart"/>
      <w:r w:rsidRPr="00497923">
        <w:rPr>
          <w:rFonts w:ascii="Times New Roman" w:hAnsi="Times New Roman" w:cs="Times New Roman"/>
          <w:sz w:val="24"/>
          <w:szCs w:val="24"/>
        </w:rPr>
        <w:t>Biotechnol</w:t>
      </w:r>
      <w:proofErr w:type="spellEnd"/>
      <w:r w:rsidRPr="00497923">
        <w:rPr>
          <w:rFonts w:ascii="Times New Roman" w:hAnsi="Times New Roman" w:cs="Times New Roman"/>
          <w:sz w:val="24"/>
          <w:szCs w:val="24"/>
        </w:rPr>
        <w:t xml:space="preserve">. </w:t>
      </w:r>
      <w:proofErr w:type="gramStart"/>
      <w:r w:rsidRPr="00497923">
        <w:rPr>
          <w:rFonts w:ascii="Times New Roman" w:hAnsi="Times New Roman" w:cs="Times New Roman"/>
          <w:sz w:val="24"/>
          <w:szCs w:val="24"/>
        </w:rPr>
        <w:t>2024;12:1286035</w:t>
      </w:r>
      <w:proofErr w:type="gramEnd"/>
      <w:r w:rsidRPr="00497923">
        <w:rPr>
          <w:rFonts w:ascii="Times New Roman" w:hAnsi="Times New Roman" w:cs="Times New Roman"/>
          <w:sz w:val="24"/>
          <w:szCs w:val="24"/>
        </w:rPr>
        <w:t xml:space="preserve">. </w:t>
      </w:r>
      <w:hyperlink r:id="rId8" w:tgtFrame="_new" w:history="1">
        <w:r w:rsidRPr="00497923">
          <w:rPr>
            <w:rStyle w:val="Kpr"/>
            <w:rFonts w:ascii="Times New Roman" w:hAnsi="Times New Roman" w:cs="Times New Roman"/>
            <w:sz w:val="24"/>
            <w:szCs w:val="24"/>
          </w:rPr>
          <w:t>https://doi.org/10.3389/fbioe.2024.1286035</w:t>
        </w:r>
      </w:hyperlink>
      <w:r w:rsidRPr="00497923">
        <w:rPr>
          <w:rFonts w:ascii="Times New Roman" w:hAnsi="Times New Roman" w:cs="Times New Roman"/>
          <w:sz w:val="24"/>
          <w:szCs w:val="24"/>
        </w:rPr>
        <w:t xml:space="preserve">. </w:t>
      </w:r>
    </w:p>
    <w:p w14:paraId="46F3F705" w14:textId="6B098646" w:rsidR="00850046" w:rsidRPr="00497923" w:rsidRDefault="00850046" w:rsidP="00850046">
      <w:pPr>
        <w:pStyle w:val="ListeParagraf"/>
        <w:numPr>
          <w:ilvl w:val="0"/>
          <w:numId w:val="1"/>
        </w:numPr>
        <w:rPr>
          <w:rFonts w:ascii="Times New Roman" w:hAnsi="Times New Roman" w:cs="Times New Roman"/>
          <w:sz w:val="24"/>
          <w:szCs w:val="24"/>
        </w:rPr>
      </w:pPr>
      <w:proofErr w:type="spellStart"/>
      <w:r w:rsidRPr="00497923">
        <w:rPr>
          <w:rFonts w:ascii="Times New Roman" w:hAnsi="Times New Roman" w:cs="Times New Roman"/>
          <w:sz w:val="24"/>
          <w:szCs w:val="24"/>
        </w:rPr>
        <w:t>Zwittnig</w:t>
      </w:r>
      <w:proofErr w:type="spellEnd"/>
      <w:r w:rsidRPr="00497923">
        <w:rPr>
          <w:rFonts w:ascii="Times New Roman" w:hAnsi="Times New Roman" w:cs="Times New Roman"/>
          <w:sz w:val="24"/>
          <w:szCs w:val="24"/>
        </w:rPr>
        <w:t xml:space="preserve"> K, Kirnbauer B, </w:t>
      </w:r>
      <w:proofErr w:type="spellStart"/>
      <w:r w:rsidRPr="00497923">
        <w:rPr>
          <w:rFonts w:ascii="Times New Roman" w:hAnsi="Times New Roman" w:cs="Times New Roman"/>
          <w:sz w:val="24"/>
          <w:szCs w:val="24"/>
        </w:rPr>
        <w:t>Jakse</w:t>
      </w:r>
      <w:proofErr w:type="spellEnd"/>
      <w:r w:rsidRPr="00497923">
        <w:rPr>
          <w:rFonts w:ascii="Times New Roman" w:hAnsi="Times New Roman" w:cs="Times New Roman"/>
          <w:sz w:val="24"/>
          <w:szCs w:val="24"/>
        </w:rPr>
        <w:t xml:space="preserve"> N, </w:t>
      </w:r>
      <w:proofErr w:type="spellStart"/>
      <w:r w:rsidRPr="00497923">
        <w:rPr>
          <w:rFonts w:ascii="Times New Roman" w:hAnsi="Times New Roman" w:cs="Times New Roman"/>
          <w:sz w:val="24"/>
          <w:szCs w:val="24"/>
        </w:rPr>
        <w:t>Schlenke</w:t>
      </w:r>
      <w:proofErr w:type="spellEnd"/>
      <w:r w:rsidRPr="00497923">
        <w:rPr>
          <w:rFonts w:ascii="Times New Roman" w:hAnsi="Times New Roman" w:cs="Times New Roman"/>
          <w:sz w:val="24"/>
          <w:szCs w:val="24"/>
        </w:rPr>
        <w:t xml:space="preserve"> P, </w:t>
      </w:r>
      <w:proofErr w:type="spellStart"/>
      <w:r w:rsidRPr="00497923">
        <w:rPr>
          <w:rFonts w:ascii="Times New Roman" w:hAnsi="Times New Roman" w:cs="Times New Roman"/>
          <w:sz w:val="24"/>
          <w:szCs w:val="24"/>
        </w:rPr>
        <w:t>Mischak</w:t>
      </w:r>
      <w:proofErr w:type="spellEnd"/>
      <w:r w:rsidRPr="00497923">
        <w:rPr>
          <w:rFonts w:ascii="Times New Roman" w:hAnsi="Times New Roman" w:cs="Times New Roman"/>
          <w:sz w:val="24"/>
          <w:szCs w:val="24"/>
        </w:rPr>
        <w:t xml:space="preserve"> I, </w:t>
      </w:r>
      <w:proofErr w:type="spellStart"/>
      <w:r w:rsidRPr="00497923">
        <w:rPr>
          <w:rFonts w:ascii="Times New Roman" w:hAnsi="Times New Roman" w:cs="Times New Roman"/>
          <w:sz w:val="24"/>
          <w:szCs w:val="24"/>
        </w:rPr>
        <w:t>Ghanaati</w:t>
      </w:r>
      <w:proofErr w:type="spellEnd"/>
      <w:r w:rsidRPr="00497923">
        <w:rPr>
          <w:rFonts w:ascii="Times New Roman" w:hAnsi="Times New Roman" w:cs="Times New Roman"/>
          <w:sz w:val="24"/>
          <w:szCs w:val="24"/>
        </w:rPr>
        <w:t xml:space="preserve"> S, et al. Growth factor release within liquid and solid PRF. J Clin Med. 2022;11:5070. </w:t>
      </w:r>
      <w:hyperlink r:id="rId9" w:tgtFrame="_new" w:history="1">
        <w:r w:rsidRPr="00497923">
          <w:rPr>
            <w:rStyle w:val="Kpr"/>
            <w:rFonts w:ascii="Times New Roman" w:hAnsi="Times New Roman" w:cs="Times New Roman"/>
            <w:sz w:val="24"/>
            <w:szCs w:val="24"/>
          </w:rPr>
          <w:t>https://doi.org/10.3390/jcm11175070</w:t>
        </w:r>
      </w:hyperlink>
      <w:r w:rsidRPr="00497923">
        <w:rPr>
          <w:rFonts w:ascii="Times New Roman" w:hAnsi="Times New Roman" w:cs="Times New Roman"/>
          <w:sz w:val="24"/>
          <w:szCs w:val="24"/>
        </w:rPr>
        <w:t xml:space="preserve">. </w:t>
      </w:r>
    </w:p>
    <w:p w14:paraId="18584B84" w14:textId="788201AE"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Castro AB, Meschi N, Temmerman A, Pinto N, Lambrechts P, </w:t>
      </w:r>
      <w:proofErr w:type="spellStart"/>
      <w:r w:rsidRPr="00497923">
        <w:rPr>
          <w:rFonts w:ascii="Times New Roman" w:hAnsi="Times New Roman" w:cs="Times New Roman"/>
          <w:sz w:val="24"/>
          <w:szCs w:val="24"/>
        </w:rPr>
        <w:t>Teughels</w:t>
      </w:r>
      <w:proofErr w:type="spellEnd"/>
      <w:r w:rsidRPr="00497923">
        <w:rPr>
          <w:rFonts w:ascii="Times New Roman" w:hAnsi="Times New Roman" w:cs="Times New Roman"/>
          <w:sz w:val="24"/>
          <w:szCs w:val="24"/>
        </w:rPr>
        <w:t xml:space="preserve"> W, et al. Regenerative potential of leucocyte- and platelet-rich fibrin. Part A: intra-bony defects, furcation defects and periodontal plastic surgery. A systematic review and meta-analysis. J Clin Periodontol. </w:t>
      </w:r>
      <w:proofErr w:type="gramStart"/>
      <w:r w:rsidRPr="00497923">
        <w:rPr>
          <w:rFonts w:ascii="Times New Roman" w:hAnsi="Times New Roman" w:cs="Times New Roman"/>
          <w:sz w:val="24"/>
          <w:szCs w:val="24"/>
        </w:rPr>
        <w:t>2017;44:67</w:t>
      </w:r>
      <w:proofErr w:type="gramEnd"/>
      <w:r w:rsidRPr="00497923">
        <w:rPr>
          <w:rFonts w:ascii="Times New Roman" w:hAnsi="Times New Roman" w:cs="Times New Roman"/>
          <w:sz w:val="24"/>
          <w:szCs w:val="24"/>
        </w:rPr>
        <w:t xml:space="preserve">–82. </w:t>
      </w:r>
      <w:hyperlink r:id="rId10" w:tgtFrame="_new" w:history="1">
        <w:r w:rsidRPr="00497923">
          <w:rPr>
            <w:rStyle w:val="Kpr"/>
            <w:rFonts w:ascii="Times New Roman" w:hAnsi="Times New Roman" w:cs="Times New Roman"/>
            <w:sz w:val="24"/>
            <w:szCs w:val="24"/>
          </w:rPr>
          <w:t>https://doi.org/10.1111/jcpe.12643</w:t>
        </w:r>
      </w:hyperlink>
      <w:r w:rsidRPr="00497923">
        <w:rPr>
          <w:rFonts w:ascii="Times New Roman" w:hAnsi="Times New Roman" w:cs="Times New Roman"/>
          <w:sz w:val="24"/>
          <w:szCs w:val="24"/>
        </w:rPr>
        <w:t xml:space="preserve">. </w:t>
      </w:r>
    </w:p>
    <w:p w14:paraId="0E55D27C" w14:textId="641C87F2"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Canellas JVDS, Medeiros PJD, Figueredo CMDS, Fischer RG, Ritto FG. Platelet-rich fibrin in oral surgical procedures: a systematic review and meta-analysis. Int J Oral </w:t>
      </w:r>
      <w:proofErr w:type="spellStart"/>
      <w:r w:rsidRPr="00497923">
        <w:rPr>
          <w:rFonts w:ascii="Times New Roman" w:hAnsi="Times New Roman" w:cs="Times New Roman"/>
          <w:sz w:val="24"/>
          <w:szCs w:val="24"/>
        </w:rPr>
        <w:t>Maxillofac</w:t>
      </w:r>
      <w:proofErr w:type="spellEnd"/>
      <w:r w:rsidRPr="00497923">
        <w:rPr>
          <w:rFonts w:ascii="Times New Roman" w:hAnsi="Times New Roman" w:cs="Times New Roman"/>
          <w:sz w:val="24"/>
          <w:szCs w:val="24"/>
        </w:rPr>
        <w:t xml:space="preserve"> Surg. </w:t>
      </w:r>
      <w:proofErr w:type="gramStart"/>
      <w:r w:rsidRPr="00497923">
        <w:rPr>
          <w:rFonts w:ascii="Times New Roman" w:hAnsi="Times New Roman" w:cs="Times New Roman"/>
          <w:sz w:val="24"/>
          <w:szCs w:val="24"/>
        </w:rPr>
        <w:t>2019;48:395</w:t>
      </w:r>
      <w:proofErr w:type="gramEnd"/>
      <w:r w:rsidRPr="00497923">
        <w:rPr>
          <w:rFonts w:ascii="Times New Roman" w:hAnsi="Times New Roman" w:cs="Times New Roman"/>
          <w:sz w:val="24"/>
          <w:szCs w:val="24"/>
        </w:rPr>
        <w:t xml:space="preserve">–414. </w:t>
      </w:r>
      <w:hyperlink r:id="rId11" w:tgtFrame="_new" w:history="1">
        <w:r w:rsidRPr="00497923">
          <w:rPr>
            <w:rStyle w:val="Kpr"/>
            <w:rFonts w:ascii="Times New Roman" w:hAnsi="Times New Roman" w:cs="Times New Roman"/>
            <w:sz w:val="24"/>
            <w:szCs w:val="24"/>
          </w:rPr>
          <w:t>https://doi.org/10.1016/j.ijom.2018.07.007</w:t>
        </w:r>
      </w:hyperlink>
      <w:r w:rsidRPr="00497923">
        <w:rPr>
          <w:rFonts w:ascii="Times New Roman" w:hAnsi="Times New Roman" w:cs="Times New Roman"/>
          <w:sz w:val="24"/>
          <w:szCs w:val="24"/>
        </w:rPr>
        <w:t xml:space="preserve">. </w:t>
      </w:r>
    </w:p>
    <w:p w14:paraId="0D78961F" w14:textId="1A2E7CE7" w:rsidR="00850046" w:rsidRPr="00497923" w:rsidRDefault="00850046" w:rsidP="00850046">
      <w:pPr>
        <w:pStyle w:val="ListeParagraf"/>
        <w:numPr>
          <w:ilvl w:val="0"/>
          <w:numId w:val="1"/>
        </w:numPr>
        <w:rPr>
          <w:rFonts w:ascii="Times New Roman" w:hAnsi="Times New Roman" w:cs="Times New Roman"/>
          <w:sz w:val="24"/>
          <w:szCs w:val="24"/>
        </w:rPr>
      </w:pPr>
      <w:proofErr w:type="spellStart"/>
      <w:r w:rsidRPr="00497923">
        <w:rPr>
          <w:rFonts w:ascii="Times New Roman" w:hAnsi="Times New Roman" w:cs="Times New Roman"/>
          <w:sz w:val="24"/>
          <w:szCs w:val="24"/>
        </w:rPr>
        <w:t>Farshidfar</w:t>
      </w:r>
      <w:proofErr w:type="spellEnd"/>
      <w:r w:rsidRPr="00497923">
        <w:rPr>
          <w:rFonts w:ascii="Times New Roman" w:hAnsi="Times New Roman" w:cs="Times New Roman"/>
          <w:sz w:val="24"/>
          <w:szCs w:val="24"/>
        </w:rPr>
        <w:t xml:space="preserve"> N, Jafarpour D, Firoozi P, </w:t>
      </w:r>
      <w:proofErr w:type="spellStart"/>
      <w:r w:rsidRPr="00497923">
        <w:rPr>
          <w:rFonts w:ascii="Times New Roman" w:hAnsi="Times New Roman" w:cs="Times New Roman"/>
          <w:sz w:val="24"/>
          <w:szCs w:val="24"/>
        </w:rPr>
        <w:t>Sahmeddini</w:t>
      </w:r>
      <w:proofErr w:type="spellEnd"/>
      <w:r w:rsidRPr="00497923">
        <w:rPr>
          <w:rFonts w:ascii="Times New Roman" w:hAnsi="Times New Roman" w:cs="Times New Roman"/>
          <w:sz w:val="24"/>
          <w:szCs w:val="24"/>
        </w:rPr>
        <w:t xml:space="preserve"> S, Hamedani S, de Souza RF, et al. The application of injectable platelet-rich fibrin in regenerative dentistry: a systematic scoping review of in vitro and in vivo studies. </w:t>
      </w:r>
      <w:proofErr w:type="spellStart"/>
      <w:r w:rsidRPr="00497923">
        <w:rPr>
          <w:rFonts w:ascii="Times New Roman" w:hAnsi="Times New Roman" w:cs="Times New Roman"/>
          <w:sz w:val="24"/>
          <w:szCs w:val="24"/>
        </w:rPr>
        <w:t>Jpn</w:t>
      </w:r>
      <w:proofErr w:type="spellEnd"/>
      <w:r w:rsidRPr="00497923">
        <w:rPr>
          <w:rFonts w:ascii="Times New Roman" w:hAnsi="Times New Roman" w:cs="Times New Roman"/>
          <w:sz w:val="24"/>
          <w:szCs w:val="24"/>
        </w:rPr>
        <w:t xml:space="preserve"> Dent Sci Rev. </w:t>
      </w:r>
      <w:proofErr w:type="gramStart"/>
      <w:r w:rsidRPr="00497923">
        <w:rPr>
          <w:rFonts w:ascii="Times New Roman" w:hAnsi="Times New Roman" w:cs="Times New Roman"/>
          <w:sz w:val="24"/>
          <w:szCs w:val="24"/>
        </w:rPr>
        <w:t>2022;58:89</w:t>
      </w:r>
      <w:proofErr w:type="gramEnd"/>
      <w:r w:rsidRPr="00497923">
        <w:rPr>
          <w:rFonts w:ascii="Times New Roman" w:hAnsi="Times New Roman" w:cs="Times New Roman"/>
          <w:sz w:val="24"/>
          <w:szCs w:val="24"/>
        </w:rPr>
        <w:t xml:space="preserve">–123. </w:t>
      </w:r>
      <w:hyperlink r:id="rId12" w:tgtFrame="_new" w:history="1">
        <w:r w:rsidRPr="00497923">
          <w:rPr>
            <w:rStyle w:val="Kpr"/>
            <w:rFonts w:ascii="Times New Roman" w:hAnsi="Times New Roman" w:cs="Times New Roman"/>
            <w:sz w:val="24"/>
            <w:szCs w:val="24"/>
          </w:rPr>
          <w:t>https://doi.org/10.1016/j.jdsr.2022.02.003</w:t>
        </w:r>
      </w:hyperlink>
      <w:r w:rsidRPr="00497923">
        <w:rPr>
          <w:rFonts w:ascii="Times New Roman" w:hAnsi="Times New Roman" w:cs="Times New Roman"/>
          <w:sz w:val="24"/>
          <w:szCs w:val="24"/>
        </w:rPr>
        <w:t xml:space="preserve">. </w:t>
      </w:r>
    </w:p>
    <w:p w14:paraId="6623EA24" w14:textId="484C6663"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Ding ZY, Tan Y, Peng Q, Zuo J, Li N. Novel applications of platelet </w:t>
      </w:r>
      <w:proofErr w:type="gramStart"/>
      <w:r w:rsidRPr="00497923">
        <w:rPr>
          <w:rFonts w:ascii="Times New Roman" w:hAnsi="Times New Roman" w:cs="Times New Roman"/>
          <w:sz w:val="24"/>
          <w:szCs w:val="24"/>
        </w:rPr>
        <w:t>concentrates</w:t>
      </w:r>
      <w:proofErr w:type="gramEnd"/>
      <w:r w:rsidRPr="00497923">
        <w:rPr>
          <w:rFonts w:ascii="Times New Roman" w:hAnsi="Times New Roman" w:cs="Times New Roman"/>
          <w:sz w:val="24"/>
          <w:szCs w:val="24"/>
        </w:rPr>
        <w:t xml:space="preserve"> in tissue regeneration. Exp Ther Med. </w:t>
      </w:r>
      <w:proofErr w:type="gramStart"/>
      <w:r w:rsidRPr="00497923">
        <w:rPr>
          <w:rFonts w:ascii="Times New Roman" w:hAnsi="Times New Roman" w:cs="Times New Roman"/>
          <w:sz w:val="24"/>
          <w:szCs w:val="24"/>
        </w:rPr>
        <w:t>2021;21:226</w:t>
      </w:r>
      <w:proofErr w:type="gramEnd"/>
      <w:r w:rsidRPr="00497923">
        <w:rPr>
          <w:rFonts w:ascii="Times New Roman" w:hAnsi="Times New Roman" w:cs="Times New Roman"/>
          <w:sz w:val="24"/>
          <w:szCs w:val="24"/>
        </w:rPr>
        <w:t xml:space="preserve">. </w:t>
      </w:r>
      <w:hyperlink r:id="rId13" w:tgtFrame="_new" w:history="1">
        <w:r w:rsidRPr="00497923">
          <w:rPr>
            <w:rStyle w:val="Kpr"/>
            <w:rFonts w:ascii="Times New Roman" w:hAnsi="Times New Roman" w:cs="Times New Roman"/>
            <w:sz w:val="24"/>
            <w:szCs w:val="24"/>
          </w:rPr>
          <w:t>https://doi.org/10.3892/etm.2021.9657</w:t>
        </w:r>
      </w:hyperlink>
      <w:r w:rsidRPr="00497923">
        <w:rPr>
          <w:rFonts w:ascii="Times New Roman" w:hAnsi="Times New Roman" w:cs="Times New Roman"/>
          <w:sz w:val="24"/>
          <w:szCs w:val="24"/>
        </w:rPr>
        <w:t xml:space="preserve">. </w:t>
      </w:r>
    </w:p>
    <w:p w14:paraId="0ADA60D7" w14:textId="4650E860" w:rsidR="00850046" w:rsidRPr="00497923" w:rsidRDefault="00850046" w:rsidP="00850046">
      <w:pPr>
        <w:pStyle w:val="ListeParagraf"/>
        <w:numPr>
          <w:ilvl w:val="0"/>
          <w:numId w:val="1"/>
        </w:numPr>
        <w:rPr>
          <w:rFonts w:ascii="Times New Roman" w:hAnsi="Times New Roman" w:cs="Times New Roman"/>
          <w:sz w:val="24"/>
          <w:szCs w:val="24"/>
        </w:rPr>
      </w:pPr>
      <w:proofErr w:type="spellStart"/>
      <w:r w:rsidRPr="00497923">
        <w:rPr>
          <w:rFonts w:ascii="Times New Roman" w:hAnsi="Times New Roman" w:cs="Times New Roman"/>
          <w:sz w:val="24"/>
          <w:szCs w:val="24"/>
        </w:rPr>
        <w:t>Ghanaati</w:t>
      </w:r>
      <w:proofErr w:type="spellEnd"/>
      <w:r w:rsidRPr="00497923">
        <w:rPr>
          <w:rFonts w:ascii="Times New Roman" w:hAnsi="Times New Roman" w:cs="Times New Roman"/>
          <w:sz w:val="24"/>
          <w:szCs w:val="24"/>
        </w:rPr>
        <w:t xml:space="preserve"> S, Booms P, Orlowska A, Kubesch A, Lorenz J, Rutkowski J, et al. Advanced platelet-rich fibrin: a new concept for cell-based tissue engineering by means of inflammatory cells. J Oral </w:t>
      </w:r>
      <w:proofErr w:type="spellStart"/>
      <w:r w:rsidRPr="00497923">
        <w:rPr>
          <w:rFonts w:ascii="Times New Roman" w:hAnsi="Times New Roman" w:cs="Times New Roman"/>
          <w:sz w:val="24"/>
          <w:szCs w:val="24"/>
        </w:rPr>
        <w:t>Implantol</w:t>
      </w:r>
      <w:proofErr w:type="spellEnd"/>
      <w:r w:rsidRPr="00497923">
        <w:rPr>
          <w:rFonts w:ascii="Times New Roman" w:hAnsi="Times New Roman" w:cs="Times New Roman"/>
          <w:sz w:val="24"/>
          <w:szCs w:val="24"/>
        </w:rPr>
        <w:t xml:space="preserve">. </w:t>
      </w:r>
      <w:proofErr w:type="gramStart"/>
      <w:r w:rsidRPr="00497923">
        <w:rPr>
          <w:rFonts w:ascii="Times New Roman" w:hAnsi="Times New Roman" w:cs="Times New Roman"/>
          <w:sz w:val="24"/>
          <w:szCs w:val="24"/>
        </w:rPr>
        <w:t>2014;40:679</w:t>
      </w:r>
      <w:proofErr w:type="gramEnd"/>
      <w:r w:rsidRPr="00497923">
        <w:rPr>
          <w:rFonts w:ascii="Times New Roman" w:hAnsi="Times New Roman" w:cs="Times New Roman"/>
          <w:sz w:val="24"/>
          <w:szCs w:val="24"/>
        </w:rPr>
        <w:t xml:space="preserve">–89. </w:t>
      </w:r>
      <w:hyperlink r:id="rId14" w:tgtFrame="_new" w:history="1">
        <w:r w:rsidRPr="00497923">
          <w:rPr>
            <w:rStyle w:val="Kpr"/>
            <w:rFonts w:ascii="Times New Roman" w:hAnsi="Times New Roman" w:cs="Times New Roman"/>
            <w:sz w:val="24"/>
            <w:szCs w:val="24"/>
          </w:rPr>
          <w:t>https://doi.org/10.1563/aaid-joi-D-14-00138</w:t>
        </w:r>
      </w:hyperlink>
      <w:r w:rsidRPr="00497923">
        <w:rPr>
          <w:rFonts w:ascii="Times New Roman" w:hAnsi="Times New Roman" w:cs="Times New Roman"/>
          <w:sz w:val="24"/>
          <w:szCs w:val="24"/>
        </w:rPr>
        <w:t xml:space="preserve">. </w:t>
      </w:r>
    </w:p>
    <w:p w14:paraId="76C1D1F2" w14:textId="23F6C182"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Fujioka-Kobayashi M, Miron RJ, Hernandez M, </w:t>
      </w:r>
      <w:proofErr w:type="spellStart"/>
      <w:r w:rsidRPr="00497923">
        <w:rPr>
          <w:rFonts w:ascii="Times New Roman" w:hAnsi="Times New Roman" w:cs="Times New Roman"/>
          <w:sz w:val="24"/>
          <w:szCs w:val="24"/>
        </w:rPr>
        <w:t>Kandalam</w:t>
      </w:r>
      <w:proofErr w:type="spellEnd"/>
      <w:r w:rsidRPr="00497923">
        <w:rPr>
          <w:rFonts w:ascii="Times New Roman" w:hAnsi="Times New Roman" w:cs="Times New Roman"/>
          <w:sz w:val="24"/>
          <w:szCs w:val="24"/>
        </w:rPr>
        <w:t xml:space="preserve"> U, Zhang Y, </w:t>
      </w:r>
      <w:proofErr w:type="spellStart"/>
      <w:r w:rsidRPr="00497923">
        <w:rPr>
          <w:rFonts w:ascii="Times New Roman" w:hAnsi="Times New Roman" w:cs="Times New Roman"/>
          <w:sz w:val="24"/>
          <w:szCs w:val="24"/>
        </w:rPr>
        <w:t>Choukroun</w:t>
      </w:r>
      <w:proofErr w:type="spellEnd"/>
      <w:r w:rsidRPr="00497923">
        <w:rPr>
          <w:rFonts w:ascii="Times New Roman" w:hAnsi="Times New Roman" w:cs="Times New Roman"/>
          <w:sz w:val="24"/>
          <w:szCs w:val="24"/>
        </w:rPr>
        <w:t xml:space="preserve"> J. Optimized platelet-rich fibrin with the low-speed concept: growth factor release, biocompatibility, and cellular response. J </w:t>
      </w:r>
      <w:proofErr w:type="spellStart"/>
      <w:r w:rsidRPr="00497923">
        <w:rPr>
          <w:rFonts w:ascii="Times New Roman" w:hAnsi="Times New Roman" w:cs="Times New Roman"/>
          <w:sz w:val="24"/>
          <w:szCs w:val="24"/>
        </w:rPr>
        <w:t>Periodontol</w:t>
      </w:r>
      <w:proofErr w:type="spellEnd"/>
      <w:r w:rsidRPr="00497923">
        <w:rPr>
          <w:rFonts w:ascii="Times New Roman" w:hAnsi="Times New Roman" w:cs="Times New Roman"/>
          <w:sz w:val="24"/>
          <w:szCs w:val="24"/>
        </w:rPr>
        <w:t xml:space="preserve">. </w:t>
      </w:r>
      <w:proofErr w:type="gramStart"/>
      <w:r w:rsidRPr="00497923">
        <w:rPr>
          <w:rFonts w:ascii="Times New Roman" w:hAnsi="Times New Roman" w:cs="Times New Roman"/>
          <w:sz w:val="24"/>
          <w:szCs w:val="24"/>
        </w:rPr>
        <w:t>2017;88:112</w:t>
      </w:r>
      <w:proofErr w:type="gramEnd"/>
      <w:r w:rsidRPr="00497923">
        <w:rPr>
          <w:rFonts w:ascii="Times New Roman" w:hAnsi="Times New Roman" w:cs="Times New Roman"/>
          <w:sz w:val="24"/>
          <w:szCs w:val="24"/>
        </w:rPr>
        <w:t xml:space="preserve">–21. </w:t>
      </w:r>
      <w:hyperlink r:id="rId15" w:tgtFrame="_new" w:history="1">
        <w:r w:rsidRPr="00497923">
          <w:rPr>
            <w:rStyle w:val="Kpr"/>
            <w:rFonts w:ascii="Times New Roman" w:hAnsi="Times New Roman" w:cs="Times New Roman"/>
            <w:sz w:val="24"/>
            <w:szCs w:val="24"/>
          </w:rPr>
          <w:t>https://doi.org/10.1902/jop.2016.160443</w:t>
        </w:r>
      </w:hyperlink>
      <w:r w:rsidRPr="00497923">
        <w:rPr>
          <w:rFonts w:ascii="Times New Roman" w:hAnsi="Times New Roman" w:cs="Times New Roman"/>
          <w:sz w:val="24"/>
          <w:szCs w:val="24"/>
        </w:rPr>
        <w:t xml:space="preserve">. </w:t>
      </w:r>
    </w:p>
    <w:p w14:paraId="04A039D0" w14:textId="294022E3"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Dohan DM, </w:t>
      </w:r>
      <w:proofErr w:type="spellStart"/>
      <w:r w:rsidRPr="00497923">
        <w:rPr>
          <w:rFonts w:ascii="Times New Roman" w:hAnsi="Times New Roman" w:cs="Times New Roman"/>
          <w:sz w:val="24"/>
          <w:szCs w:val="24"/>
        </w:rPr>
        <w:t>Choukroun</w:t>
      </w:r>
      <w:proofErr w:type="spellEnd"/>
      <w:r w:rsidRPr="00497923">
        <w:rPr>
          <w:rFonts w:ascii="Times New Roman" w:hAnsi="Times New Roman" w:cs="Times New Roman"/>
          <w:sz w:val="24"/>
          <w:szCs w:val="24"/>
        </w:rPr>
        <w:t xml:space="preserve"> J, Diss A, Dohan SL, Dohan AJJ, </w:t>
      </w:r>
      <w:proofErr w:type="spellStart"/>
      <w:r w:rsidRPr="00497923">
        <w:rPr>
          <w:rFonts w:ascii="Times New Roman" w:hAnsi="Times New Roman" w:cs="Times New Roman"/>
          <w:sz w:val="24"/>
          <w:szCs w:val="24"/>
        </w:rPr>
        <w:t>Mouhyi</w:t>
      </w:r>
      <w:proofErr w:type="spellEnd"/>
      <w:r w:rsidRPr="00497923">
        <w:rPr>
          <w:rFonts w:ascii="Times New Roman" w:hAnsi="Times New Roman" w:cs="Times New Roman"/>
          <w:sz w:val="24"/>
          <w:szCs w:val="24"/>
        </w:rPr>
        <w:t xml:space="preserve"> J, et al. Platelet-rich fibrin (PRF): a second-generation platelet </w:t>
      </w:r>
      <w:proofErr w:type="gramStart"/>
      <w:r w:rsidRPr="00497923">
        <w:rPr>
          <w:rFonts w:ascii="Times New Roman" w:hAnsi="Times New Roman" w:cs="Times New Roman"/>
          <w:sz w:val="24"/>
          <w:szCs w:val="24"/>
        </w:rPr>
        <w:t>concentrate</w:t>
      </w:r>
      <w:proofErr w:type="gramEnd"/>
      <w:r w:rsidRPr="00497923">
        <w:rPr>
          <w:rFonts w:ascii="Times New Roman" w:hAnsi="Times New Roman" w:cs="Times New Roman"/>
          <w:sz w:val="24"/>
          <w:szCs w:val="24"/>
        </w:rPr>
        <w:t xml:space="preserve">. Part I: technological concepts and evolution. Oral Surg Oral Med Oral </w:t>
      </w:r>
      <w:proofErr w:type="spellStart"/>
      <w:r w:rsidRPr="00497923">
        <w:rPr>
          <w:rFonts w:ascii="Times New Roman" w:hAnsi="Times New Roman" w:cs="Times New Roman"/>
          <w:sz w:val="24"/>
          <w:szCs w:val="24"/>
        </w:rPr>
        <w:t>Pathol</w:t>
      </w:r>
      <w:proofErr w:type="spellEnd"/>
      <w:r w:rsidRPr="00497923">
        <w:rPr>
          <w:rFonts w:ascii="Times New Roman" w:hAnsi="Times New Roman" w:cs="Times New Roman"/>
          <w:sz w:val="24"/>
          <w:szCs w:val="24"/>
        </w:rPr>
        <w:t xml:space="preserve"> Oral </w:t>
      </w:r>
      <w:proofErr w:type="spellStart"/>
      <w:r w:rsidRPr="00497923">
        <w:rPr>
          <w:rFonts w:ascii="Times New Roman" w:hAnsi="Times New Roman" w:cs="Times New Roman"/>
          <w:sz w:val="24"/>
          <w:szCs w:val="24"/>
        </w:rPr>
        <w:t>Radiol</w:t>
      </w:r>
      <w:proofErr w:type="spellEnd"/>
      <w:r w:rsidRPr="00497923">
        <w:rPr>
          <w:rFonts w:ascii="Times New Roman" w:hAnsi="Times New Roman" w:cs="Times New Roman"/>
          <w:sz w:val="24"/>
          <w:szCs w:val="24"/>
        </w:rPr>
        <w:t xml:space="preserve"> Endod. 2006;</w:t>
      </w:r>
      <w:proofErr w:type="gramStart"/>
      <w:r w:rsidRPr="00497923">
        <w:rPr>
          <w:rFonts w:ascii="Times New Roman" w:hAnsi="Times New Roman" w:cs="Times New Roman"/>
          <w:sz w:val="24"/>
          <w:szCs w:val="24"/>
        </w:rPr>
        <w:t>101:e</w:t>
      </w:r>
      <w:proofErr w:type="gramEnd"/>
      <w:r w:rsidRPr="00497923">
        <w:rPr>
          <w:rFonts w:ascii="Times New Roman" w:hAnsi="Times New Roman" w:cs="Times New Roman"/>
          <w:sz w:val="24"/>
          <w:szCs w:val="24"/>
        </w:rPr>
        <w:t xml:space="preserve">37–44. </w:t>
      </w:r>
      <w:hyperlink r:id="rId16" w:tgtFrame="_new" w:history="1">
        <w:r w:rsidRPr="00497923">
          <w:rPr>
            <w:rStyle w:val="Kpr"/>
            <w:rFonts w:ascii="Times New Roman" w:hAnsi="Times New Roman" w:cs="Times New Roman"/>
            <w:sz w:val="24"/>
            <w:szCs w:val="24"/>
          </w:rPr>
          <w:t>https://doi.org/10.1016/j.tripleo.2005.07.008</w:t>
        </w:r>
      </w:hyperlink>
      <w:r w:rsidRPr="00497923">
        <w:rPr>
          <w:rFonts w:ascii="Times New Roman" w:hAnsi="Times New Roman" w:cs="Times New Roman"/>
          <w:sz w:val="24"/>
          <w:szCs w:val="24"/>
        </w:rPr>
        <w:t xml:space="preserve">. </w:t>
      </w:r>
    </w:p>
    <w:p w14:paraId="11D68EA6" w14:textId="3690DAD7" w:rsidR="00850046" w:rsidRPr="00497923" w:rsidRDefault="00850046" w:rsidP="00850046">
      <w:pPr>
        <w:pStyle w:val="ListeParagraf"/>
        <w:numPr>
          <w:ilvl w:val="0"/>
          <w:numId w:val="1"/>
        </w:numPr>
        <w:rPr>
          <w:rFonts w:ascii="Times New Roman" w:hAnsi="Times New Roman" w:cs="Times New Roman"/>
          <w:sz w:val="24"/>
          <w:szCs w:val="24"/>
        </w:rPr>
      </w:pPr>
      <w:proofErr w:type="spellStart"/>
      <w:r w:rsidRPr="00497923">
        <w:rPr>
          <w:rFonts w:ascii="Times New Roman" w:hAnsi="Times New Roman" w:cs="Times New Roman"/>
          <w:sz w:val="24"/>
          <w:szCs w:val="24"/>
        </w:rPr>
        <w:t>Tunalı</w:t>
      </w:r>
      <w:proofErr w:type="spellEnd"/>
      <w:r w:rsidRPr="00497923">
        <w:rPr>
          <w:rFonts w:ascii="Times New Roman" w:hAnsi="Times New Roman" w:cs="Times New Roman"/>
          <w:sz w:val="24"/>
          <w:szCs w:val="24"/>
        </w:rPr>
        <w:t xml:space="preserve"> M, Özdemir H, </w:t>
      </w:r>
      <w:proofErr w:type="spellStart"/>
      <w:r w:rsidRPr="00497923">
        <w:rPr>
          <w:rFonts w:ascii="Times New Roman" w:hAnsi="Times New Roman" w:cs="Times New Roman"/>
          <w:sz w:val="24"/>
          <w:szCs w:val="24"/>
        </w:rPr>
        <w:t>Küçükodacı</w:t>
      </w:r>
      <w:proofErr w:type="spellEnd"/>
      <w:r w:rsidRPr="00497923">
        <w:rPr>
          <w:rFonts w:ascii="Times New Roman" w:hAnsi="Times New Roman" w:cs="Times New Roman"/>
          <w:sz w:val="24"/>
          <w:szCs w:val="24"/>
        </w:rPr>
        <w:t xml:space="preserve"> Z, Akman S, </w:t>
      </w:r>
      <w:proofErr w:type="spellStart"/>
      <w:r w:rsidRPr="00497923">
        <w:rPr>
          <w:rFonts w:ascii="Times New Roman" w:hAnsi="Times New Roman" w:cs="Times New Roman"/>
          <w:sz w:val="24"/>
          <w:szCs w:val="24"/>
        </w:rPr>
        <w:t>Fıratlı</w:t>
      </w:r>
      <w:proofErr w:type="spellEnd"/>
      <w:r w:rsidRPr="00497923">
        <w:rPr>
          <w:rFonts w:ascii="Times New Roman" w:hAnsi="Times New Roman" w:cs="Times New Roman"/>
          <w:sz w:val="24"/>
          <w:szCs w:val="24"/>
        </w:rPr>
        <w:t xml:space="preserve"> E. In vivo evaluation of titanium-prepared platelet-rich fibrin (T-PRF): a new platelet </w:t>
      </w:r>
      <w:proofErr w:type="gramStart"/>
      <w:r w:rsidRPr="00497923">
        <w:rPr>
          <w:rFonts w:ascii="Times New Roman" w:hAnsi="Times New Roman" w:cs="Times New Roman"/>
          <w:sz w:val="24"/>
          <w:szCs w:val="24"/>
        </w:rPr>
        <w:t>concentrate</w:t>
      </w:r>
      <w:proofErr w:type="gramEnd"/>
      <w:r w:rsidRPr="00497923">
        <w:rPr>
          <w:rFonts w:ascii="Times New Roman" w:hAnsi="Times New Roman" w:cs="Times New Roman"/>
          <w:sz w:val="24"/>
          <w:szCs w:val="24"/>
        </w:rPr>
        <w:t xml:space="preserve">. Br J Oral </w:t>
      </w:r>
      <w:proofErr w:type="spellStart"/>
      <w:r w:rsidRPr="00497923">
        <w:rPr>
          <w:rFonts w:ascii="Times New Roman" w:hAnsi="Times New Roman" w:cs="Times New Roman"/>
          <w:sz w:val="24"/>
          <w:szCs w:val="24"/>
        </w:rPr>
        <w:t>Maxillofac</w:t>
      </w:r>
      <w:proofErr w:type="spellEnd"/>
      <w:r w:rsidRPr="00497923">
        <w:rPr>
          <w:rFonts w:ascii="Times New Roman" w:hAnsi="Times New Roman" w:cs="Times New Roman"/>
          <w:sz w:val="24"/>
          <w:szCs w:val="24"/>
        </w:rPr>
        <w:t xml:space="preserve"> Surg. </w:t>
      </w:r>
      <w:proofErr w:type="gramStart"/>
      <w:r w:rsidRPr="00497923">
        <w:rPr>
          <w:rFonts w:ascii="Times New Roman" w:hAnsi="Times New Roman" w:cs="Times New Roman"/>
          <w:sz w:val="24"/>
          <w:szCs w:val="24"/>
        </w:rPr>
        <w:t>2013;51:438</w:t>
      </w:r>
      <w:proofErr w:type="gramEnd"/>
      <w:r w:rsidRPr="00497923">
        <w:rPr>
          <w:rFonts w:ascii="Times New Roman" w:hAnsi="Times New Roman" w:cs="Times New Roman"/>
          <w:sz w:val="24"/>
          <w:szCs w:val="24"/>
        </w:rPr>
        <w:t xml:space="preserve">–43. </w:t>
      </w:r>
      <w:hyperlink r:id="rId17" w:tgtFrame="_new" w:history="1">
        <w:r w:rsidRPr="00497923">
          <w:rPr>
            <w:rStyle w:val="Kpr"/>
            <w:rFonts w:ascii="Times New Roman" w:hAnsi="Times New Roman" w:cs="Times New Roman"/>
            <w:sz w:val="24"/>
            <w:szCs w:val="24"/>
          </w:rPr>
          <w:t>https://doi.org/10.1016/j.bjoms.2012.08.003</w:t>
        </w:r>
      </w:hyperlink>
      <w:r w:rsidRPr="00497923">
        <w:rPr>
          <w:rFonts w:ascii="Times New Roman" w:hAnsi="Times New Roman" w:cs="Times New Roman"/>
          <w:sz w:val="24"/>
          <w:szCs w:val="24"/>
        </w:rPr>
        <w:t xml:space="preserve">. </w:t>
      </w:r>
    </w:p>
    <w:p w14:paraId="6F2B1E9D" w14:textId="0E38EC3C"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lastRenderedPageBreak/>
        <w:t xml:space="preserve">Miron RJ, Fujioka-Kobayashi M, Bishara M, Zhang Y, Hernandez M, </w:t>
      </w:r>
      <w:proofErr w:type="spellStart"/>
      <w:r w:rsidRPr="00497923">
        <w:rPr>
          <w:rFonts w:ascii="Times New Roman" w:hAnsi="Times New Roman" w:cs="Times New Roman"/>
          <w:sz w:val="24"/>
          <w:szCs w:val="24"/>
        </w:rPr>
        <w:t>Choukroun</w:t>
      </w:r>
      <w:proofErr w:type="spellEnd"/>
      <w:r w:rsidRPr="00497923">
        <w:rPr>
          <w:rFonts w:ascii="Times New Roman" w:hAnsi="Times New Roman" w:cs="Times New Roman"/>
          <w:sz w:val="24"/>
          <w:szCs w:val="24"/>
        </w:rPr>
        <w:t xml:space="preserve"> J. Platelet-rich fibrin and soft tissue wound healing: a systematic review. Tissue Eng Part B Rev. </w:t>
      </w:r>
      <w:proofErr w:type="gramStart"/>
      <w:r w:rsidRPr="00497923">
        <w:rPr>
          <w:rFonts w:ascii="Times New Roman" w:hAnsi="Times New Roman" w:cs="Times New Roman"/>
          <w:sz w:val="24"/>
          <w:szCs w:val="24"/>
        </w:rPr>
        <w:t>2017;23:83</w:t>
      </w:r>
      <w:proofErr w:type="gramEnd"/>
      <w:r w:rsidRPr="00497923">
        <w:rPr>
          <w:rFonts w:ascii="Times New Roman" w:hAnsi="Times New Roman" w:cs="Times New Roman"/>
          <w:sz w:val="24"/>
          <w:szCs w:val="24"/>
        </w:rPr>
        <w:t xml:space="preserve">–99. </w:t>
      </w:r>
      <w:hyperlink r:id="rId18" w:tgtFrame="_new" w:history="1">
        <w:r w:rsidRPr="00497923">
          <w:rPr>
            <w:rStyle w:val="Kpr"/>
            <w:rFonts w:ascii="Times New Roman" w:hAnsi="Times New Roman" w:cs="Times New Roman"/>
            <w:sz w:val="24"/>
            <w:szCs w:val="24"/>
          </w:rPr>
          <w:t>https://doi.org/10.1089/ten.TEB.2016.0233</w:t>
        </w:r>
      </w:hyperlink>
      <w:r w:rsidRPr="00497923">
        <w:rPr>
          <w:rFonts w:ascii="Times New Roman" w:hAnsi="Times New Roman" w:cs="Times New Roman"/>
          <w:sz w:val="24"/>
          <w:szCs w:val="24"/>
        </w:rPr>
        <w:t xml:space="preserve">. </w:t>
      </w:r>
    </w:p>
    <w:p w14:paraId="64426299" w14:textId="0889E905"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Elver A, </w:t>
      </w:r>
      <w:proofErr w:type="spellStart"/>
      <w:r w:rsidRPr="00497923">
        <w:rPr>
          <w:rFonts w:ascii="Times New Roman" w:hAnsi="Times New Roman" w:cs="Times New Roman"/>
          <w:sz w:val="24"/>
          <w:szCs w:val="24"/>
        </w:rPr>
        <w:t>Caymaz</w:t>
      </w:r>
      <w:proofErr w:type="spellEnd"/>
      <w:r w:rsidRPr="00497923">
        <w:rPr>
          <w:rFonts w:ascii="Times New Roman" w:hAnsi="Times New Roman" w:cs="Times New Roman"/>
          <w:sz w:val="24"/>
          <w:szCs w:val="24"/>
        </w:rPr>
        <w:t xml:space="preserve"> MG. Novel approaches to the use of platelet-rich fibrin: a literature review. Saudi Dent J. </w:t>
      </w:r>
      <w:proofErr w:type="gramStart"/>
      <w:r w:rsidRPr="00497923">
        <w:rPr>
          <w:rFonts w:ascii="Times New Roman" w:hAnsi="Times New Roman" w:cs="Times New Roman"/>
          <w:sz w:val="24"/>
          <w:szCs w:val="24"/>
        </w:rPr>
        <w:t>2023;35:797</w:t>
      </w:r>
      <w:proofErr w:type="gramEnd"/>
      <w:r w:rsidRPr="00497923">
        <w:rPr>
          <w:rFonts w:ascii="Times New Roman" w:hAnsi="Times New Roman" w:cs="Times New Roman"/>
          <w:sz w:val="24"/>
          <w:szCs w:val="24"/>
        </w:rPr>
        <w:t xml:space="preserve">–802. </w:t>
      </w:r>
      <w:hyperlink r:id="rId19" w:tgtFrame="_new" w:history="1">
        <w:r w:rsidRPr="00497923">
          <w:rPr>
            <w:rStyle w:val="Kpr"/>
            <w:rFonts w:ascii="Times New Roman" w:hAnsi="Times New Roman" w:cs="Times New Roman"/>
            <w:sz w:val="24"/>
            <w:szCs w:val="24"/>
          </w:rPr>
          <w:t>https://doi.org/10.1016/j.sdentj.2023.07.008</w:t>
        </w:r>
      </w:hyperlink>
      <w:r w:rsidRPr="00497923">
        <w:rPr>
          <w:rFonts w:ascii="Times New Roman" w:hAnsi="Times New Roman" w:cs="Times New Roman"/>
          <w:sz w:val="24"/>
          <w:szCs w:val="24"/>
        </w:rPr>
        <w:t xml:space="preserve">. </w:t>
      </w:r>
    </w:p>
    <w:p w14:paraId="61CD6145" w14:textId="3F130FB5"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Fujioka-Kobayashi M, Schaller B, Mourão CFDAB, Zhang Y, </w:t>
      </w:r>
      <w:proofErr w:type="spellStart"/>
      <w:r w:rsidRPr="00497923">
        <w:rPr>
          <w:rFonts w:ascii="Times New Roman" w:hAnsi="Times New Roman" w:cs="Times New Roman"/>
          <w:sz w:val="24"/>
          <w:szCs w:val="24"/>
        </w:rPr>
        <w:t>Sculean</w:t>
      </w:r>
      <w:proofErr w:type="spellEnd"/>
      <w:r w:rsidRPr="00497923">
        <w:rPr>
          <w:rFonts w:ascii="Times New Roman" w:hAnsi="Times New Roman" w:cs="Times New Roman"/>
          <w:sz w:val="24"/>
          <w:szCs w:val="24"/>
        </w:rPr>
        <w:t xml:space="preserve"> A, Miron RJ. Biological characterization of an injectable platelet-rich fibrin mixture consisting of autologous albumin gel and liquid platelet-rich fibrin (Alb-PRF). Platelets. </w:t>
      </w:r>
      <w:proofErr w:type="gramStart"/>
      <w:r w:rsidRPr="00497923">
        <w:rPr>
          <w:rFonts w:ascii="Times New Roman" w:hAnsi="Times New Roman" w:cs="Times New Roman"/>
          <w:sz w:val="24"/>
          <w:szCs w:val="24"/>
        </w:rPr>
        <w:t>2021;32:74</w:t>
      </w:r>
      <w:proofErr w:type="gramEnd"/>
      <w:r w:rsidRPr="00497923">
        <w:rPr>
          <w:rFonts w:ascii="Times New Roman" w:hAnsi="Times New Roman" w:cs="Times New Roman"/>
          <w:sz w:val="24"/>
          <w:szCs w:val="24"/>
        </w:rPr>
        <w:t xml:space="preserve">–81. </w:t>
      </w:r>
      <w:hyperlink r:id="rId20" w:tgtFrame="_new" w:history="1">
        <w:r w:rsidRPr="00497923">
          <w:rPr>
            <w:rStyle w:val="Kpr"/>
            <w:rFonts w:ascii="Times New Roman" w:hAnsi="Times New Roman" w:cs="Times New Roman"/>
            <w:sz w:val="24"/>
            <w:szCs w:val="24"/>
          </w:rPr>
          <w:t>https://doi.org/10.1080/09537104.2020.1717455</w:t>
        </w:r>
      </w:hyperlink>
      <w:r w:rsidRPr="00497923">
        <w:rPr>
          <w:rFonts w:ascii="Times New Roman" w:hAnsi="Times New Roman" w:cs="Times New Roman"/>
          <w:sz w:val="24"/>
          <w:szCs w:val="24"/>
        </w:rPr>
        <w:t xml:space="preserve">. </w:t>
      </w:r>
    </w:p>
    <w:p w14:paraId="1F197E2B" w14:textId="39880870"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Acerra A, Caggiano M, Chiacchio A, Scognamiglio B, D’Ambrosio F. PRF and PRP in dentistry: an umbrella review. J Clin Med. </w:t>
      </w:r>
      <w:proofErr w:type="gramStart"/>
      <w:r w:rsidRPr="00497923">
        <w:rPr>
          <w:rFonts w:ascii="Times New Roman" w:hAnsi="Times New Roman" w:cs="Times New Roman"/>
          <w:sz w:val="24"/>
          <w:szCs w:val="24"/>
        </w:rPr>
        <w:t>2025;14:3224</w:t>
      </w:r>
      <w:proofErr w:type="gramEnd"/>
      <w:r w:rsidRPr="00497923">
        <w:rPr>
          <w:rFonts w:ascii="Times New Roman" w:hAnsi="Times New Roman" w:cs="Times New Roman"/>
          <w:sz w:val="24"/>
          <w:szCs w:val="24"/>
        </w:rPr>
        <w:t xml:space="preserve">. </w:t>
      </w:r>
      <w:hyperlink r:id="rId21" w:tgtFrame="_new" w:history="1">
        <w:r w:rsidRPr="00497923">
          <w:rPr>
            <w:rStyle w:val="Kpr"/>
            <w:rFonts w:ascii="Times New Roman" w:hAnsi="Times New Roman" w:cs="Times New Roman"/>
            <w:sz w:val="24"/>
            <w:szCs w:val="24"/>
          </w:rPr>
          <w:t>https://doi.org/10.3390/jcm14093224</w:t>
        </w:r>
      </w:hyperlink>
      <w:r w:rsidRPr="00497923">
        <w:rPr>
          <w:rFonts w:ascii="Times New Roman" w:hAnsi="Times New Roman" w:cs="Times New Roman"/>
          <w:sz w:val="24"/>
          <w:szCs w:val="24"/>
        </w:rPr>
        <w:t xml:space="preserve">. </w:t>
      </w:r>
    </w:p>
    <w:p w14:paraId="3009F2E4" w14:textId="014B74FE"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Pabst A, Wiegner J, Schneider M, Weyer N, </w:t>
      </w:r>
      <w:proofErr w:type="spellStart"/>
      <w:r w:rsidRPr="00497923">
        <w:rPr>
          <w:rFonts w:ascii="Times New Roman" w:hAnsi="Times New Roman" w:cs="Times New Roman"/>
          <w:sz w:val="24"/>
          <w:szCs w:val="24"/>
        </w:rPr>
        <w:t>Bartella</w:t>
      </w:r>
      <w:proofErr w:type="spellEnd"/>
      <w:r w:rsidRPr="00497923">
        <w:rPr>
          <w:rFonts w:ascii="Times New Roman" w:hAnsi="Times New Roman" w:cs="Times New Roman"/>
          <w:sz w:val="24"/>
          <w:szCs w:val="24"/>
        </w:rPr>
        <w:t xml:space="preserve"> A, Becker P, et al. Current treatment concepts in implantology in oral and maxillofacial surgery in Germany. Int J Implant Dent. </w:t>
      </w:r>
      <w:proofErr w:type="gramStart"/>
      <w:r w:rsidRPr="00497923">
        <w:rPr>
          <w:rFonts w:ascii="Times New Roman" w:hAnsi="Times New Roman" w:cs="Times New Roman"/>
          <w:sz w:val="24"/>
          <w:szCs w:val="24"/>
        </w:rPr>
        <w:t>2026;12:9</w:t>
      </w:r>
      <w:proofErr w:type="gramEnd"/>
      <w:r w:rsidRPr="00497923">
        <w:rPr>
          <w:rFonts w:ascii="Times New Roman" w:hAnsi="Times New Roman" w:cs="Times New Roman"/>
          <w:sz w:val="24"/>
          <w:szCs w:val="24"/>
        </w:rPr>
        <w:t xml:space="preserve">. </w:t>
      </w:r>
      <w:hyperlink r:id="rId22" w:tgtFrame="_new" w:history="1">
        <w:r w:rsidRPr="00497923">
          <w:rPr>
            <w:rStyle w:val="Kpr"/>
            <w:rFonts w:ascii="Times New Roman" w:hAnsi="Times New Roman" w:cs="Times New Roman"/>
            <w:sz w:val="24"/>
            <w:szCs w:val="24"/>
          </w:rPr>
          <w:t>https://doi.org/10.1186/s40729-026-00668-4</w:t>
        </w:r>
      </w:hyperlink>
      <w:r w:rsidRPr="00497923">
        <w:rPr>
          <w:rFonts w:ascii="Times New Roman" w:hAnsi="Times New Roman" w:cs="Times New Roman"/>
          <w:sz w:val="24"/>
          <w:szCs w:val="24"/>
        </w:rPr>
        <w:t xml:space="preserve">. </w:t>
      </w:r>
    </w:p>
    <w:p w14:paraId="08B7E24F" w14:textId="45B771CB" w:rsidR="00850046" w:rsidRPr="00497923" w:rsidRDefault="00850046" w:rsidP="00850046">
      <w:pPr>
        <w:pStyle w:val="ListeParagraf"/>
        <w:numPr>
          <w:ilvl w:val="0"/>
          <w:numId w:val="1"/>
        </w:numPr>
        <w:rPr>
          <w:rFonts w:ascii="Times New Roman" w:hAnsi="Times New Roman" w:cs="Times New Roman"/>
          <w:sz w:val="24"/>
          <w:szCs w:val="24"/>
        </w:rPr>
      </w:pPr>
      <w:proofErr w:type="spellStart"/>
      <w:r w:rsidRPr="00497923">
        <w:rPr>
          <w:rFonts w:ascii="Times New Roman" w:hAnsi="Times New Roman" w:cs="Times New Roman"/>
          <w:sz w:val="24"/>
          <w:szCs w:val="24"/>
        </w:rPr>
        <w:t>Zwittnig</w:t>
      </w:r>
      <w:proofErr w:type="spellEnd"/>
      <w:r w:rsidRPr="00497923">
        <w:rPr>
          <w:rFonts w:ascii="Times New Roman" w:hAnsi="Times New Roman" w:cs="Times New Roman"/>
          <w:sz w:val="24"/>
          <w:szCs w:val="24"/>
        </w:rPr>
        <w:t xml:space="preserve"> K, </w:t>
      </w:r>
      <w:proofErr w:type="spellStart"/>
      <w:r w:rsidRPr="00497923">
        <w:rPr>
          <w:rFonts w:ascii="Times New Roman" w:hAnsi="Times New Roman" w:cs="Times New Roman"/>
          <w:sz w:val="24"/>
          <w:szCs w:val="24"/>
        </w:rPr>
        <w:t>Mukaddam</w:t>
      </w:r>
      <w:proofErr w:type="spellEnd"/>
      <w:r w:rsidRPr="00497923">
        <w:rPr>
          <w:rFonts w:ascii="Times New Roman" w:hAnsi="Times New Roman" w:cs="Times New Roman"/>
          <w:sz w:val="24"/>
          <w:szCs w:val="24"/>
        </w:rPr>
        <w:t xml:space="preserve"> K, Vegh D, Herber V, </w:t>
      </w:r>
      <w:proofErr w:type="spellStart"/>
      <w:r w:rsidRPr="00497923">
        <w:rPr>
          <w:rFonts w:ascii="Times New Roman" w:hAnsi="Times New Roman" w:cs="Times New Roman"/>
          <w:sz w:val="24"/>
          <w:szCs w:val="24"/>
        </w:rPr>
        <w:t>Jakse</w:t>
      </w:r>
      <w:proofErr w:type="spellEnd"/>
      <w:r w:rsidRPr="00497923">
        <w:rPr>
          <w:rFonts w:ascii="Times New Roman" w:hAnsi="Times New Roman" w:cs="Times New Roman"/>
          <w:sz w:val="24"/>
          <w:szCs w:val="24"/>
        </w:rPr>
        <w:t xml:space="preserve"> N, </w:t>
      </w:r>
      <w:proofErr w:type="spellStart"/>
      <w:r w:rsidRPr="00497923">
        <w:rPr>
          <w:rFonts w:ascii="Times New Roman" w:hAnsi="Times New Roman" w:cs="Times New Roman"/>
          <w:sz w:val="24"/>
          <w:szCs w:val="24"/>
        </w:rPr>
        <w:t>Schlenke</w:t>
      </w:r>
      <w:proofErr w:type="spellEnd"/>
      <w:r w:rsidRPr="00497923">
        <w:rPr>
          <w:rFonts w:ascii="Times New Roman" w:hAnsi="Times New Roman" w:cs="Times New Roman"/>
          <w:sz w:val="24"/>
          <w:szCs w:val="24"/>
        </w:rPr>
        <w:t xml:space="preserve"> P, et al. Platelet-rich fibrin in oral surgery and implantology: a narrative review. </w:t>
      </w:r>
      <w:proofErr w:type="spellStart"/>
      <w:r w:rsidRPr="00497923">
        <w:rPr>
          <w:rFonts w:ascii="Times New Roman" w:hAnsi="Times New Roman" w:cs="Times New Roman"/>
          <w:sz w:val="24"/>
          <w:szCs w:val="24"/>
        </w:rPr>
        <w:t>Transfus</w:t>
      </w:r>
      <w:proofErr w:type="spellEnd"/>
      <w:r w:rsidRPr="00497923">
        <w:rPr>
          <w:rFonts w:ascii="Times New Roman" w:hAnsi="Times New Roman" w:cs="Times New Roman"/>
          <w:sz w:val="24"/>
          <w:szCs w:val="24"/>
        </w:rPr>
        <w:t xml:space="preserve"> Med </w:t>
      </w:r>
      <w:proofErr w:type="spellStart"/>
      <w:r w:rsidRPr="00497923">
        <w:rPr>
          <w:rFonts w:ascii="Times New Roman" w:hAnsi="Times New Roman" w:cs="Times New Roman"/>
          <w:sz w:val="24"/>
          <w:szCs w:val="24"/>
        </w:rPr>
        <w:t>Hemother</w:t>
      </w:r>
      <w:proofErr w:type="spellEnd"/>
      <w:r w:rsidRPr="00497923">
        <w:rPr>
          <w:rFonts w:ascii="Times New Roman" w:hAnsi="Times New Roman" w:cs="Times New Roman"/>
          <w:sz w:val="24"/>
          <w:szCs w:val="24"/>
        </w:rPr>
        <w:t xml:space="preserve">. </w:t>
      </w:r>
      <w:proofErr w:type="gramStart"/>
      <w:r w:rsidRPr="00497923">
        <w:rPr>
          <w:rFonts w:ascii="Times New Roman" w:hAnsi="Times New Roman" w:cs="Times New Roman"/>
          <w:sz w:val="24"/>
          <w:szCs w:val="24"/>
        </w:rPr>
        <w:t>2022;50:348</w:t>
      </w:r>
      <w:proofErr w:type="gramEnd"/>
      <w:r w:rsidRPr="00497923">
        <w:rPr>
          <w:rFonts w:ascii="Times New Roman" w:hAnsi="Times New Roman" w:cs="Times New Roman"/>
          <w:sz w:val="24"/>
          <w:szCs w:val="24"/>
        </w:rPr>
        <w:t xml:space="preserve">–59. </w:t>
      </w:r>
      <w:hyperlink r:id="rId23" w:tgtFrame="_new" w:history="1">
        <w:r w:rsidRPr="00497923">
          <w:rPr>
            <w:rStyle w:val="Kpr"/>
            <w:rFonts w:ascii="Times New Roman" w:hAnsi="Times New Roman" w:cs="Times New Roman"/>
            <w:sz w:val="24"/>
            <w:szCs w:val="24"/>
          </w:rPr>
          <w:t>https://doi.org/10.1159/000527526</w:t>
        </w:r>
      </w:hyperlink>
      <w:r w:rsidRPr="00497923">
        <w:rPr>
          <w:rFonts w:ascii="Times New Roman" w:hAnsi="Times New Roman" w:cs="Times New Roman"/>
          <w:sz w:val="24"/>
          <w:szCs w:val="24"/>
        </w:rPr>
        <w:t xml:space="preserve">. </w:t>
      </w:r>
    </w:p>
    <w:p w14:paraId="11719D23" w14:textId="617F3A11"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Mohanty M, Govind S, Jena A, Singh NR. A questionnaire-based cross-sectional survey on PRF. Indian J Forensic Med </w:t>
      </w:r>
      <w:proofErr w:type="spellStart"/>
      <w:r w:rsidRPr="00497923">
        <w:rPr>
          <w:rFonts w:ascii="Times New Roman" w:hAnsi="Times New Roman" w:cs="Times New Roman"/>
          <w:sz w:val="24"/>
          <w:szCs w:val="24"/>
        </w:rPr>
        <w:t>Toxicol</w:t>
      </w:r>
      <w:proofErr w:type="spellEnd"/>
      <w:r w:rsidRPr="00497923">
        <w:rPr>
          <w:rFonts w:ascii="Times New Roman" w:hAnsi="Times New Roman" w:cs="Times New Roman"/>
          <w:sz w:val="24"/>
          <w:szCs w:val="24"/>
        </w:rPr>
        <w:t xml:space="preserve">. </w:t>
      </w:r>
      <w:proofErr w:type="gramStart"/>
      <w:r w:rsidRPr="00497923">
        <w:rPr>
          <w:rFonts w:ascii="Times New Roman" w:hAnsi="Times New Roman" w:cs="Times New Roman"/>
          <w:sz w:val="24"/>
          <w:szCs w:val="24"/>
        </w:rPr>
        <w:t>2021;15:3840</w:t>
      </w:r>
      <w:proofErr w:type="gramEnd"/>
      <w:r w:rsidRPr="00497923">
        <w:rPr>
          <w:rFonts w:ascii="Times New Roman" w:hAnsi="Times New Roman" w:cs="Times New Roman"/>
          <w:sz w:val="24"/>
          <w:szCs w:val="24"/>
        </w:rPr>
        <w:t xml:space="preserve">–5. </w:t>
      </w:r>
      <w:hyperlink r:id="rId24" w:tgtFrame="_new" w:history="1">
        <w:r w:rsidRPr="00497923">
          <w:rPr>
            <w:rStyle w:val="Kpr"/>
            <w:rFonts w:ascii="Times New Roman" w:hAnsi="Times New Roman" w:cs="Times New Roman"/>
            <w:sz w:val="24"/>
            <w:szCs w:val="24"/>
          </w:rPr>
          <w:t>https://doi.org/10.37506/ijfmt.v15i2.14973</w:t>
        </w:r>
      </w:hyperlink>
      <w:r w:rsidRPr="00497923">
        <w:rPr>
          <w:rFonts w:ascii="Times New Roman" w:hAnsi="Times New Roman" w:cs="Times New Roman"/>
          <w:sz w:val="24"/>
          <w:szCs w:val="24"/>
        </w:rPr>
        <w:t xml:space="preserve">. </w:t>
      </w:r>
    </w:p>
    <w:p w14:paraId="4EA5F02D" w14:textId="6F54048B"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Del Fabbro M, Bortolin M, </w:t>
      </w:r>
      <w:proofErr w:type="spellStart"/>
      <w:r w:rsidRPr="00497923">
        <w:rPr>
          <w:rFonts w:ascii="Times New Roman" w:hAnsi="Times New Roman" w:cs="Times New Roman"/>
          <w:sz w:val="24"/>
          <w:szCs w:val="24"/>
        </w:rPr>
        <w:t>Taschieri</w:t>
      </w:r>
      <w:proofErr w:type="spellEnd"/>
      <w:r w:rsidRPr="00497923">
        <w:rPr>
          <w:rFonts w:ascii="Times New Roman" w:hAnsi="Times New Roman" w:cs="Times New Roman"/>
          <w:sz w:val="24"/>
          <w:szCs w:val="24"/>
        </w:rPr>
        <w:t xml:space="preserve"> S, Weinstein R. Is platelet concentrate advantageous for the surgical treatment of periodontal diseases? A systematic review and meta-analysis. J </w:t>
      </w:r>
      <w:proofErr w:type="spellStart"/>
      <w:r w:rsidRPr="00497923">
        <w:rPr>
          <w:rFonts w:ascii="Times New Roman" w:hAnsi="Times New Roman" w:cs="Times New Roman"/>
          <w:sz w:val="24"/>
          <w:szCs w:val="24"/>
        </w:rPr>
        <w:t>Periodontol</w:t>
      </w:r>
      <w:proofErr w:type="spellEnd"/>
      <w:r w:rsidRPr="00497923">
        <w:rPr>
          <w:rFonts w:ascii="Times New Roman" w:hAnsi="Times New Roman" w:cs="Times New Roman"/>
          <w:sz w:val="24"/>
          <w:szCs w:val="24"/>
        </w:rPr>
        <w:t xml:space="preserve">. </w:t>
      </w:r>
      <w:proofErr w:type="gramStart"/>
      <w:r w:rsidRPr="00497923">
        <w:rPr>
          <w:rFonts w:ascii="Times New Roman" w:hAnsi="Times New Roman" w:cs="Times New Roman"/>
          <w:sz w:val="24"/>
          <w:szCs w:val="24"/>
        </w:rPr>
        <w:t>2011;82:1100</w:t>
      </w:r>
      <w:proofErr w:type="gramEnd"/>
      <w:r w:rsidRPr="00497923">
        <w:rPr>
          <w:rFonts w:ascii="Times New Roman" w:hAnsi="Times New Roman" w:cs="Times New Roman"/>
          <w:sz w:val="24"/>
          <w:szCs w:val="24"/>
        </w:rPr>
        <w:t xml:space="preserve">–11. </w:t>
      </w:r>
      <w:hyperlink r:id="rId25" w:tgtFrame="_new" w:history="1">
        <w:r w:rsidRPr="00497923">
          <w:rPr>
            <w:rStyle w:val="Kpr"/>
            <w:rFonts w:ascii="Times New Roman" w:hAnsi="Times New Roman" w:cs="Times New Roman"/>
            <w:sz w:val="24"/>
            <w:szCs w:val="24"/>
          </w:rPr>
          <w:t>https://doi.org/10.1902/jop.2010.100605</w:t>
        </w:r>
      </w:hyperlink>
      <w:r w:rsidRPr="00497923">
        <w:rPr>
          <w:rFonts w:ascii="Times New Roman" w:hAnsi="Times New Roman" w:cs="Times New Roman"/>
          <w:sz w:val="24"/>
          <w:szCs w:val="24"/>
        </w:rPr>
        <w:t xml:space="preserve">. </w:t>
      </w:r>
    </w:p>
    <w:p w14:paraId="4EFBCB7C" w14:textId="0639CC2A"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Marques LF, </w:t>
      </w:r>
      <w:proofErr w:type="spellStart"/>
      <w:r w:rsidRPr="00497923">
        <w:rPr>
          <w:rFonts w:ascii="Times New Roman" w:hAnsi="Times New Roman" w:cs="Times New Roman"/>
          <w:sz w:val="24"/>
          <w:szCs w:val="24"/>
        </w:rPr>
        <w:t>Stessuk</w:t>
      </w:r>
      <w:proofErr w:type="spellEnd"/>
      <w:r w:rsidRPr="00497923">
        <w:rPr>
          <w:rFonts w:ascii="Times New Roman" w:hAnsi="Times New Roman" w:cs="Times New Roman"/>
          <w:sz w:val="24"/>
          <w:szCs w:val="24"/>
        </w:rPr>
        <w:t xml:space="preserve"> T, Camargo ICC, Sabeh Junior N, dos Santos L, Ribeiro-Paes JT. Platelet-rich plasma (PRP): methodological aspects and clinical applications. Platelets. </w:t>
      </w:r>
      <w:proofErr w:type="gramStart"/>
      <w:r w:rsidRPr="00497923">
        <w:rPr>
          <w:rFonts w:ascii="Times New Roman" w:hAnsi="Times New Roman" w:cs="Times New Roman"/>
          <w:sz w:val="24"/>
          <w:szCs w:val="24"/>
        </w:rPr>
        <w:t>2015;26:101</w:t>
      </w:r>
      <w:proofErr w:type="gramEnd"/>
      <w:r w:rsidRPr="00497923">
        <w:rPr>
          <w:rFonts w:ascii="Times New Roman" w:hAnsi="Times New Roman" w:cs="Times New Roman"/>
          <w:sz w:val="24"/>
          <w:szCs w:val="24"/>
        </w:rPr>
        <w:t xml:space="preserve">–13. </w:t>
      </w:r>
      <w:hyperlink r:id="rId26" w:tgtFrame="_new" w:history="1">
        <w:r w:rsidRPr="00497923">
          <w:rPr>
            <w:rStyle w:val="Kpr"/>
            <w:rFonts w:ascii="Times New Roman" w:hAnsi="Times New Roman" w:cs="Times New Roman"/>
            <w:sz w:val="24"/>
            <w:szCs w:val="24"/>
          </w:rPr>
          <w:t>https://doi.org/10.3109/09537104.2014.881991</w:t>
        </w:r>
      </w:hyperlink>
      <w:r w:rsidRPr="00497923">
        <w:rPr>
          <w:rFonts w:ascii="Times New Roman" w:hAnsi="Times New Roman" w:cs="Times New Roman"/>
          <w:sz w:val="24"/>
          <w:szCs w:val="24"/>
        </w:rPr>
        <w:t xml:space="preserve">. </w:t>
      </w:r>
    </w:p>
    <w:p w14:paraId="2CBA256C" w14:textId="55FDA5BF"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Yu HY, Chang YC. A bibliometric analysis of platelet-rich fibrin in dentistry. Int J Environ Res Public Health. </w:t>
      </w:r>
      <w:proofErr w:type="gramStart"/>
      <w:r w:rsidRPr="00497923">
        <w:rPr>
          <w:rFonts w:ascii="Times New Roman" w:hAnsi="Times New Roman" w:cs="Times New Roman"/>
          <w:sz w:val="24"/>
          <w:szCs w:val="24"/>
        </w:rPr>
        <w:t>2022;19:12545</w:t>
      </w:r>
      <w:proofErr w:type="gramEnd"/>
      <w:r w:rsidRPr="00497923">
        <w:rPr>
          <w:rFonts w:ascii="Times New Roman" w:hAnsi="Times New Roman" w:cs="Times New Roman"/>
          <w:sz w:val="24"/>
          <w:szCs w:val="24"/>
        </w:rPr>
        <w:t xml:space="preserve">. </w:t>
      </w:r>
      <w:hyperlink r:id="rId27" w:tgtFrame="_new" w:history="1">
        <w:r w:rsidRPr="00497923">
          <w:rPr>
            <w:rStyle w:val="Kpr"/>
            <w:rFonts w:ascii="Times New Roman" w:hAnsi="Times New Roman" w:cs="Times New Roman"/>
            <w:sz w:val="24"/>
            <w:szCs w:val="24"/>
          </w:rPr>
          <w:t>https://doi.org/10.3390/ijerph191912545</w:t>
        </w:r>
      </w:hyperlink>
      <w:r w:rsidRPr="00497923">
        <w:rPr>
          <w:rFonts w:ascii="Times New Roman" w:hAnsi="Times New Roman" w:cs="Times New Roman"/>
          <w:sz w:val="24"/>
          <w:szCs w:val="24"/>
        </w:rPr>
        <w:t xml:space="preserve">. </w:t>
      </w:r>
    </w:p>
    <w:p w14:paraId="7C3A5DBF" w14:textId="47CCE6D2"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Sriram K, Ganapathy D, Duraisamy R. Awareness of dental students on the application of PRF in dental practice: a survey. J Pharm Res Int. 2020;32(17):101–13. </w:t>
      </w:r>
      <w:hyperlink r:id="rId28" w:tgtFrame="_new" w:history="1">
        <w:r w:rsidRPr="00497923">
          <w:rPr>
            <w:rStyle w:val="Kpr"/>
            <w:rFonts w:ascii="Times New Roman" w:hAnsi="Times New Roman" w:cs="Times New Roman"/>
            <w:sz w:val="24"/>
            <w:szCs w:val="24"/>
          </w:rPr>
          <w:t>https://doi.org/10.9734/jpri/2020/v32i1730673</w:t>
        </w:r>
      </w:hyperlink>
      <w:r w:rsidRPr="00497923">
        <w:rPr>
          <w:rFonts w:ascii="Times New Roman" w:hAnsi="Times New Roman" w:cs="Times New Roman"/>
          <w:sz w:val="24"/>
          <w:szCs w:val="24"/>
        </w:rPr>
        <w:t xml:space="preserve">. </w:t>
      </w:r>
    </w:p>
    <w:p w14:paraId="662B6D75" w14:textId="639F0016" w:rsidR="00850046" w:rsidRPr="00497923" w:rsidRDefault="00850046" w:rsidP="00850046">
      <w:pPr>
        <w:pStyle w:val="ListeParagraf"/>
        <w:numPr>
          <w:ilvl w:val="0"/>
          <w:numId w:val="1"/>
        </w:numPr>
        <w:rPr>
          <w:rFonts w:ascii="Times New Roman" w:hAnsi="Times New Roman" w:cs="Times New Roman"/>
          <w:sz w:val="24"/>
          <w:szCs w:val="24"/>
        </w:rPr>
      </w:pPr>
      <w:proofErr w:type="spellStart"/>
      <w:r w:rsidRPr="00497923">
        <w:rPr>
          <w:rFonts w:ascii="Times New Roman" w:hAnsi="Times New Roman" w:cs="Times New Roman"/>
          <w:sz w:val="24"/>
          <w:szCs w:val="24"/>
        </w:rPr>
        <w:t>Babayiğit</w:t>
      </w:r>
      <w:proofErr w:type="spellEnd"/>
      <w:r w:rsidRPr="00497923">
        <w:rPr>
          <w:rFonts w:ascii="Times New Roman" w:hAnsi="Times New Roman" w:cs="Times New Roman"/>
          <w:sz w:val="24"/>
          <w:szCs w:val="24"/>
        </w:rPr>
        <w:t xml:space="preserve"> O, Uçan </w:t>
      </w:r>
      <w:proofErr w:type="spellStart"/>
      <w:r w:rsidRPr="00497923">
        <w:rPr>
          <w:rFonts w:ascii="Times New Roman" w:hAnsi="Times New Roman" w:cs="Times New Roman"/>
          <w:sz w:val="24"/>
          <w:szCs w:val="24"/>
        </w:rPr>
        <w:t>Yarkaç</w:t>
      </w:r>
      <w:proofErr w:type="spellEnd"/>
      <w:r w:rsidRPr="00497923">
        <w:rPr>
          <w:rFonts w:ascii="Times New Roman" w:hAnsi="Times New Roman" w:cs="Times New Roman"/>
          <w:sz w:val="24"/>
          <w:szCs w:val="24"/>
        </w:rPr>
        <w:t xml:space="preserve"> F. Evaluation of dentistry students’ knowledge and awareness on platelet rich fibrin. Int J Med Dent. 2022;26(2):171. </w:t>
      </w:r>
    </w:p>
    <w:p w14:paraId="2B13121F" w14:textId="18B46326"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Nagappan N, Dcruz TM, Loganathan A, Gupte SH, Ali R, Karthik P, et al. Evaluation of dentist perception of platelet rich plasma (PRP) for accelerated tooth movement: cross-sectional survey. J Pharm </w:t>
      </w:r>
      <w:proofErr w:type="spellStart"/>
      <w:r w:rsidRPr="00497923">
        <w:rPr>
          <w:rFonts w:ascii="Times New Roman" w:hAnsi="Times New Roman" w:cs="Times New Roman"/>
          <w:sz w:val="24"/>
          <w:szCs w:val="24"/>
        </w:rPr>
        <w:t>Bioallied</w:t>
      </w:r>
      <w:proofErr w:type="spellEnd"/>
      <w:r w:rsidRPr="00497923">
        <w:rPr>
          <w:rFonts w:ascii="Times New Roman" w:hAnsi="Times New Roman" w:cs="Times New Roman"/>
          <w:sz w:val="24"/>
          <w:szCs w:val="24"/>
        </w:rPr>
        <w:t xml:space="preserve"> Sci. 2024;16 Suppl </w:t>
      </w:r>
      <w:proofErr w:type="gramStart"/>
      <w:r w:rsidRPr="00497923">
        <w:rPr>
          <w:rFonts w:ascii="Times New Roman" w:hAnsi="Times New Roman" w:cs="Times New Roman"/>
          <w:sz w:val="24"/>
          <w:szCs w:val="24"/>
        </w:rPr>
        <w:t>2:S</w:t>
      </w:r>
      <w:proofErr w:type="gramEnd"/>
      <w:r w:rsidRPr="00497923">
        <w:rPr>
          <w:rFonts w:ascii="Times New Roman" w:hAnsi="Times New Roman" w:cs="Times New Roman"/>
          <w:sz w:val="24"/>
          <w:szCs w:val="24"/>
        </w:rPr>
        <w:t xml:space="preserve">1591–3. </w:t>
      </w:r>
      <w:hyperlink r:id="rId29" w:tgtFrame="_new" w:history="1">
        <w:r w:rsidRPr="00497923">
          <w:rPr>
            <w:rStyle w:val="Kpr"/>
            <w:rFonts w:ascii="Times New Roman" w:hAnsi="Times New Roman" w:cs="Times New Roman"/>
            <w:sz w:val="24"/>
            <w:szCs w:val="24"/>
          </w:rPr>
          <w:t>https://doi.org/10.4103/jpbs.jpbs_1187_23</w:t>
        </w:r>
      </w:hyperlink>
      <w:r w:rsidRPr="00497923">
        <w:rPr>
          <w:rFonts w:ascii="Times New Roman" w:hAnsi="Times New Roman" w:cs="Times New Roman"/>
          <w:sz w:val="24"/>
          <w:szCs w:val="24"/>
        </w:rPr>
        <w:t xml:space="preserve">. </w:t>
      </w:r>
    </w:p>
    <w:p w14:paraId="15AB0954" w14:textId="2DE6D0A0"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Naik SV, Prakash AJ, Prabhakar </w:t>
      </w:r>
      <w:proofErr w:type="spellStart"/>
      <w:r w:rsidRPr="00497923">
        <w:rPr>
          <w:rFonts w:ascii="Times New Roman" w:hAnsi="Times New Roman" w:cs="Times New Roman"/>
          <w:sz w:val="24"/>
          <w:szCs w:val="24"/>
        </w:rPr>
        <w:t>Attiguppe</w:t>
      </w:r>
      <w:proofErr w:type="spellEnd"/>
      <w:r w:rsidRPr="00497923">
        <w:rPr>
          <w:rFonts w:ascii="Times New Roman" w:hAnsi="Times New Roman" w:cs="Times New Roman"/>
          <w:sz w:val="24"/>
          <w:szCs w:val="24"/>
        </w:rPr>
        <w:t xml:space="preserve"> R. A survey on awareness and knowledge among dentists practicing regenerative endodontics toward current regenerative endodontic protocols and the scaffolds used in regenerative dentistry. Saudi Dent J. </w:t>
      </w:r>
      <w:proofErr w:type="gramStart"/>
      <w:r w:rsidRPr="00497923">
        <w:rPr>
          <w:rFonts w:ascii="Times New Roman" w:hAnsi="Times New Roman" w:cs="Times New Roman"/>
          <w:sz w:val="24"/>
          <w:szCs w:val="24"/>
        </w:rPr>
        <w:t>2023;35:559</w:t>
      </w:r>
      <w:proofErr w:type="gramEnd"/>
      <w:r w:rsidRPr="00497923">
        <w:rPr>
          <w:rFonts w:ascii="Times New Roman" w:hAnsi="Times New Roman" w:cs="Times New Roman"/>
          <w:sz w:val="24"/>
          <w:szCs w:val="24"/>
        </w:rPr>
        <w:t xml:space="preserve">–66. </w:t>
      </w:r>
      <w:hyperlink r:id="rId30" w:tgtFrame="_new" w:history="1">
        <w:r w:rsidRPr="00497923">
          <w:rPr>
            <w:rStyle w:val="Kpr"/>
            <w:rFonts w:ascii="Times New Roman" w:hAnsi="Times New Roman" w:cs="Times New Roman"/>
            <w:sz w:val="24"/>
            <w:szCs w:val="24"/>
          </w:rPr>
          <w:t>https://doi.org/10.1016/j.sdentj.2023.05.010</w:t>
        </w:r>
      </w:hyperlink>
      <w:r w:rsidRPr="00497923">
        <w:rPr>
          <w:rFonts w:ascii="Times New Roman" w:hAnsi="Times New Roman" w:cs="Times New Roman"/>
          <w:sz w:val="24"/>
          <w:szCs w:val="24"/>
        </w:rPr>
        <w:t xml:space="preserve">. </w:t>
      </w:r>
    </w:p>
    <w:p w14:paraId="5D919BBA" w14:textId="39B3CB12"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Barakat SO, </w:t>
      </w:r>
      <w:proofErr w:type="spellStart"/>
      <w:r w:rsidRPr="00497923">
        <w:rPr>
          <w:rFonts w:ascii="Times New Roman" w:hAnsi="Times New Roman" w:cs="Times New Roman"/>
          <w:sz w:val="24"/>
          <w:szCs w:val="24"/>
        </w:rPr>
        <w:t>AlHawamdeh</w:t>
      </w:r>
      <w:proofErr w:type="spellEnd"/>
      <w:r w:rsidRPr="00497923">
        <w:rPr>
          <w:rFonts w:ascii="Times New Roman" w:hAnsi="Times New Roman" w:cs="Times New Roman"/>
          <w:sz w:val="24"/>
          <w:szCs w:val="24"/>
        </w:rPr>
        <w:t xml:space="preserve"> NI, Marar R. Preparation protocols and periodontal applications of platelet rich fibrin, a review. Front Dent Med. </w:t>
      </w:r>
      <w:proofErr w:type="gramStart"/>
      <w:r w:rsidRPr="00497923">
        <w:rPr>
          <w:rFonts w:ascii="Times New Roman" w:hAnsi="Times New Roman" w:cs="Times New Roman"/>
          <w:sz w:val="24"/>
          <w:szCs w:val="24"/>
        </w:rPr>
        <w:t>2026;7:1810175</w:t>
      </w:r>
      <w:proofErr w:type="gramEnd"/>
      <w:r w:rsidRPr="00497923">
        <w:rPr>
          <w:rFonts w:ascii="Times New Roman" w:hAnsi="Times New Roman" w:cs="Times New Roman"/>
          <w:sz w:val="24"/>
          <w:szCs w:val="24"/>
        </w:rPr>
        <w:t xml:space="preserve">. </w:t>
      </w:r>
      <w:hyperlink r:id="rId31" w:tgtFrame="_new" w:history="1">
        <w:r w:rsidRPr="00497923">
          <w:rPr>
            <w:rStyle w:val="Kpr"/>
            <w:rFonts w:ascii="Times New Roman" w:hAnsi="Times New Roman" w:cs="Times New Roman"/>
            <w:sz w:val="24"/>
            <w:szCs w:val="24"/>
          </w:rPr>
          <w:t>https://doi.org/10.3389/fdmed.2026.1810175</w:t>
        </w:r>
      </w:hyperlink>
      <w:r w:rsidRPr="00497923">
        <w:rPr>
          <w:rFonts w:ascii="Times New Roman" w:hAnsi="Times New Roman" w:cs="Times New Roman"/>
          <w:sz w:val="24"/>
          <w:szCs w:val="24"/>
        </w:rPr>
        <w:t xml:space="preserve">. </w:t>
      </w:r>
    </w:p>
    <w:p w14:paraId="361021F6" w14:textId="70454E51"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lastRenderedPageBreak/>
        <w:t xml:space="preserve">Estrin NE, Espinoza AR, Ahmad P, Imber JC, </w:t>
      </w:r>
      <w:proofErr w:type="spellStart"/>
      <w:r w:rsidRPr="00497923">
        <w:rPr>
          <w:rFonts w:ascii="Times New Roman" w:hAnsi="Times New Roman" w:cs="Times New Roman"/>
          <w:sz w:val="24"/>
          <w:szCs w:val="24"/>
        </w:rPr>
        <w:t>Farshidfar</w:t>
      </w:r>
      <w:proofErr w:type="spellEnd"/>
      <w:r w:rsidRPr="00497923">
        <w:rPr>
          <w:rFonts w:ascii="Times New Roman" w:hAnsi="Times New Roman" w:cs="Times New Roman"/>
          <w:sz w:val="24"/>
          <w:szCs w:val="24"/>
        </w:rPr>
        <w:t xml:space="preserve"> N, Miron RJ. The evolution of extended platelet-rich fibrin membranes for socket grafting: Part One: technical development of protocols. Dent J (Basel). </w:t>
      </w:r>
      <w:proofErr w:type="gramStart"/>
      <w:r w:rsidRPr="00497923">
        <w:rPr>
          <w:rFonts w:ascii="Times New Roman" w:hAnsi="Times New Roman" w:cs="Times New Roman"/>
          <w:sz w:val="24"/>
          <w:szCs w:val="24"/>
        </w:rPr>
        <w:t>2025;13:604</w:t>
      </w:r>
      <w:proofErr w:type="gramEnd"/>
      <w:r w:rsidRPr="00497923">
        <w:rPr>
          <w:rFonts w:ascii="Times New Roman" w:hAnsi="Times New Roman" w:cs="Times New Roman"/>
          <w:sz w:val="24"/>
          <w:szCs w:val="24"/>
        </w:rPr>
        <w:t xml:space="preserve">. </w:t>
      </w:r>
      <w:hyperlink r:id="rId32" w:tgtFrame="_new" w:history="1">
        <w:r w:rsidRPr="00497923">
          <w:rPr>
            <w:rStyle w:val="Kpr"/>
            <w:rFonts w:ascii="Times New Roman" w:hAnsi="Times New Roman" w:cs="Times New Roman"/>
            <w:sz w:val="24"/>
            <w:szCs w:val="24"/>
          </w:rPr>
          <w:t>https://doi.org/10.3390/dj13120604</w:t>
        </w:r>
      </w:hyperlink>
      <w:r w:rsidRPr="00497923">
        <w:rPr>
          <w:rFonts w:ascii="Times New Roman" w:hAnsi="Times New Roman" w:cs="Times New Roman"/>
          <w:sz w:val="24"/>
          <w:szCs w:val="24"/>
        </w:rPr>
        <w:t xml:space="preserve">. </w:t>
      </w:r>
    </w:p>
    <w:p w14:paraId="23F3A9B8" w14:textId="08AB43E5"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Barakat M, Khalil A, </w:t>
      </w:r>
      <w:proofErr w:type="spellStart"/>
      <w:r w:rsidRPr="00497923">
        <w:rPr>
          <w:rFonts w:ascii="Times New Roman" w:hAnsi="Times New Roman" w:cs="Times New Roman"/>
          <w:sz w:val="24"/>
          <w:szCs w:val="24"/>
        </w:rPr>
        <w:t>Albash</w:t>
      </w:r>
      <w:proofErr w:type="spellEnd"/>
      <w:r w:rsidRPr="00497923">
        <w:rPr>
          <w:rFonts w:ascii="Times New Roman" w:hAnsi="Times New Roman" w:cs="Times New Roman"/>
          <w:sz w:val="24"/>
          <w:szCs w:val="24"/>
        </w:rPr>
        <w:t xml:space="preserve"> Z. Efficacy of platelet-rich albumin and fibrin gel in two-stage lateral sinus lift: a prospective study. Ann Med Surg (Lond). </w:t>
      </w:r>
      <w:proofErr w:type="gramStart"/>
      <w:r w:rsidRPr="00497923">
        <w:rPr>
          <w:rFonts w:ascii="Times New Roman" w:hAnsi="Times New Roman" w:cs="Times New Roman"/>
          <w:sz w:val="24"/>
          <w:szCs w:val="24"/>
        </w:rPr>
        <w:t>2025;87:5409</w:t>
      </w:r>
      <w:proofErr w:type="gramEnd"/>
      <w:r w:rsidRPr="00497923">
        <w:rPr>
          <w:rFonts w:ascii="Times New Roman" w:hAnsi="Times New Roman" w:cs="Times New Roman"/>
          <w:sz w:val="24"/>
          <w:szCs w:val="24"/>
        </w:rPr>
        <w:t xml:space="preserve">–16. </w:t>
      </w:r>
      <w:hyperlink r:id="rId33" w:tgtFrame="_new" w:history="1">
        <w:r w:rsidRPr="00497923">
          <w:rPr>
            <w:rStyle w:val="Kpr"/>
            <w:rFonts w:ascii="Times New Roman" w:hAnsi="Times New Roman" w:cs="Times New Roman"/>
            <w:sz w:val="24"/>
            <w:szCs w:val="24"/>
          </w:rPr>
          <w:t>https://doi.org/10.1097/MS9.0000000000003589</w:t>
        </w:r>
      </w:hyperlink>
      <w:r w:rsidRPr="00497923">
        <w:rPr>
          <w:rFonts w:ascii="Times New Roman" w:hAnsi="Times New Roman" w:cs="Times New Roman"/>
          <w:sz w:val="24"/>
          <w:szCs w:val="24"/>
        </w:rPr>
        <w:t xml:space="preserve">. </w:t>
      </w:r>
    </w:p>
    <w:p w14:paraId="55C2B908" w14:textId="24FD64B8" w:rsidR="00850046" w:rsidRPr="00497923" w:rsidRDefault="00850046" w:rsidP="00850046">
      <w:pPr>
        <w:pStyle w:val="ListeParagraf"/>
        <w:numPr>
          <w:ilvl w:val="0"/>
          <w:numId w:val="1"/>
        </w:numPr>
        <w:rPr>
          <w:rFonts w:ascii="Times New Roman" w:hAnsi="Times New Roman" w:cs="Times New Roman"/>
          <w:sz w:val="24"/>
          <w:szCs w:val="24"/>
        </w:rPr>
      </w:pPr>
      <w:proofErr w:type="spellStart"/>
      <w:r w:rsidRPr="00497923">
        <w:rPr>
          <w:rFonts w:ascii="Times New Roman" w:hAnsi="Times New Roman" w:cs="Times New Roman"/>
          <w:sz w:val="24"/>
          <w:szCs w:val="24"/>
        </w:rPr>
        <w:t>Albash</w:t>
      </w:r>
      <w:proofErr w:type="spellEnd"/>
      <w:r w:rsidRPr="00497923">
        <w:rPr>
          <w:rFonts w:ascii="Times New Roman" w:hAnsi="Times New Roman" w:cs="Times New Roman"/>
          <w:sz w:val="24"/>
          <w:szCs w:val="24"/>
        </w:rPr>
        <w:t xml:space="preserve"> Z, Khalil A. Assessment of sticky bone in one-stage lateral sinus lift procedures: a 4-year retrospective study. Open Dent J. 2024;</w:t>
      </w:r>
      <w:proofErr w:type="gramStart"/>
      <w:r w:rsidRPr="00497923">
        <w:rPr>
          <w:rFonts w:ascii="Times New Roman" w:hAnsi="Times New Roman" w:cs="Times New Roman"/>
          <w:sz w:val="24"/>
          <w:szCs w:val="24"/>
        </w:rPr>
        <w:t>18:e</w:t>
      </w:r>
      <w:proofErr w:type="gramEnd"/>
      <w:r w:rsidRPr="00497923">
        <w:rPr>
          <w:rFonts w:ascii="Times New Roman" w:hAnsi="Times New Roman" w:cs="Times New Roman"/>
          <w:sz w:val="24"/>
          <w:szCs w:val="24"/>
        </w:rPr>
        <w:t xml:space="preserve">18742106308888. </w:t>
      </w:r>
      <w:hyperlink r:id="rId34" w:tgtFrame="_new" w:history="1">
        <w:r w:rsidRPr="00497923">
          <w:rPr>
            <w:rStyle w:val="Kpr"/>
            <w:rFonts w:ascii="Times New Roman" w:hAnsi="Times New Roman" w:cs="Times New Roman"/>
            <w:sz w:val="24"/>
            <w:szCs w:val="24"/>
          </w:rPr>
          <w:t>https://doi.org/10.2174/0118742106308888240531110255</w:t>
        </w:r>
      </w:hyperlink>
      <w:r w:rsidRPr="00497923">
        <w:rPr>
          <w:rFonts w:ascii="Times New Roman" w:hAnsi="Times New Roman" w:cs="Times New Roman"/>
          <w:sz w:val="24"/>
          <w:szCs w:val="24"/>
        </w:rPr>
        <w:t xml:space="preserve">. </w:t>
      </w:r>
    </w:p>
    <w:p w14:paraId="2A4142CC" w14:textId="7490F321"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Yang Z, Zhai S, Liu Y, Wu Y, He T, Shi X, et al. Sticky bone: advances and applications. Int J Nanomedicine. </w:t>
      </w:r>
      <w:proofErr w:type="gramStart"/>
      <w:r w:rsidRPr="00497923">
        <w:rPr>
          <w:rFonts w:ascii="Times New Roman" w:hAnsi="Times New Roman" w:cs="Times New Roman"/>
          <w:sz w:val="24"/>
          <w:szCs w:val="24"/>
        </w:rPr>
        <w:t>2025;20:10151</w:t>
      </w:r>
      <w:proofErr w:type="gramEnd"/>
      <w:r w:rsidRPr="00497923">
        <w:rPr>
          <w:rFonts w:ascii="Times New Roman" w:hAnsi="Times New Roman" w:cs="Times New Roman"/>
          <w:sz w:val="24"/>
          <w:szCs w:val="24"/>
        </w:rPr>
        <w:t xml:space="preserve">–75. </w:t>
      </w:r>
      <w:hyperlink r:id="rId35" w:tgtFrame="_new" w:history="1">
        <w:r w:rsidRPr="00497923">
          <w:rPr>
            <w:rStyle w:val="Kpr"/>
            <w:rFonts w:ascii="Times New Roman" w:hAnsi="Times New Roman" w:cs="Times New Roman"/>
            <w:sz w:val="24"/>
            <w:szCs w:val="24"/>
          </w:rPr>
          <w:t>https://doi.org/10.2147/IJN.S524115</w:t>
        </w:r>
      </w:hyperlink>
      <w:r w:rsidRPr="00497923">
        <w:rPr>
          <w:rFonts w:ascii="Times New Roman" w:hAnsi="Times New Roman" w:cs="Times New Roman"/>
          <w:sz w:val="24"/>
          <w:szCs w:val="24"/>
        </w:rPr>
        <w:t xml:space="preserve">. </w:t>
      </w:r>
    </w:p>
    <w:p w14:paraId="24AC4C40" w14:textId="6F790286" w:rsidR="00850046" w:rsidRPr="00497923" w:rsidRDefault="00850046" w:rsidP="00850046">
      <w:pPr>
        <w:pStyle w:val="ListeParagraf"/>
        <w:numPr>
          <w:ilvl w:val="0"/>
          <w:numId w:val="1"/>
        </w:numPr>
        <w:rPr>
          <w:rFonts w:ascii="Times New Roman" w:hAnsi="Times New Roman" w:cs="Times New Roman"/>
          <w:sz w:val="24"/>
          <w:szCs w:val="24"/>
        </w:rPr>
      </w:pPr>
      <w:r w:rsidRPr="00497923">
        <w:rPr>
          <w:rFonts w:ascii="Times New Roman" w:hAnsi="Times New Roman" w:cs="Times New Roman"/>
          <w:sz w:val="24"/>
          <w:szCs w:val="24"/>
        </w:rPr>
        <w:t xml:space="preserve">Shokry MMEM, Melek LNF, Amer TA. Three-dimensional volumetric analysis of bone regeneration following jaw cyst enucleation with and without an autologous albumin gel-platelet-rich fibrin mixture (Alb-PRF): a randomized controlled clinical trial. BMC Oral Health. </w:t>
      </w:r>
      <w:proofErr w:type="gramStart"/>
      <w:r w:rsidRPr="00497923">
        <w:rPr>
          <w:rFonts w:ascii="Times New Roman" w:hAnsi="Times New Roman" w:cs="Times New Roman"/>
          <w:sz w:val="24"/>
          <w:szCs w:val="24"/>
        </w:rPr>
        <w:t>2025;25:693</w:t>
      </w:r>
      <w:proofErr w:type="gramEnd"/>
      <w:r w:rsidRPr="00497923">
        <w:rPr>
          <w:rFonts w:ascii="Times New Roman" w:hAnsi="Times New Roman" w:cs="Times New Roman"/>
          <w:sz w:val="24"/>
          <w:szCs w:val="24"/>
        </w:rPr>
        <w:t xml:space="preserve">. </w:t>
      </w:r>
      <w:hyperlink r:id="rId36" w:tgtFrame="_new" w:history="1">
        <w:r w:rsidRPr="00497923">
          <w:rPr>
            <w:rStyle w:val="Kpr"/>
            <w:rFonts w:ascii="Times New Roman" w:hAnsi="Times New Roman" w:cs="Times New Roman"/>
            <w:sz w:val="24"/>
            <w:szCs w:val="24"/>
          </w:rPr>
          <w:t>https://doi.org/10.1186/s12903-025-06027-w</w:t>
        </w:r>
      </w:hyperlink>
      <w:r w:rsidRPr="00497923">
        <w:rPr>
          <w:rFonts w:ascii="Times New Roman" w:hAnsi="Times New Roman" w:cs="Times New Roman"/>
          <w:sz w:val="24"/>
          <w:szCs w:val="24"/>
        </w:rPr>
        <w:t xml:space="preserve">. </w:t>
      </w:r>
    </w:p>
    <w:p w14:paraId="00F5F950" w14:textId="007F0263" w:rsidR="00850046" w:rsidRPr="00497923" w:rsidRDefault="00850046" w:rsidP="00850046">
      <w:pPr>
        <w:pStyle w:val="ListeParagraf"/>
        <w:numPr>
          <w:ilvl w:val="0"/>
          <w:numId w:val="1"/>
        </w:numPr>
        <w:rPr>
          <w:rFonts w:ascii="Times New Roman" w:hAnsi="Times New Roman" w:cs="Times New Roman"/>
          <w:sz w:val="24"/>
          <w:szCs w:val="24"/>
        </w:rPr>
      </w:pPr>
      <w:proofErr w:type="spellStart"/>
      <w:r w:rsidRPr="00497923">
        <w:rPr>
          <w:rFonts w:ascii="Times New Roman" w:hAnsi="Times New Roman" w:cs="Times New Roman"/>
          <w:sz w:val="24"/>
          <w:szCs w:val="24"/>
        </w:rPr>
        <w:t>Alshoiby</w:t>
      </w:r>
      <w:proofErr w:type="spellEnd"/>
      <w:r w:rsidRPr="00497923">
        <w:rPr>
          <w:rFonts w:ascii="Times New Roman" w:hAnsi="Times New Roman" w:cs="Times New Roman"/>
          <w:sz w:val="24"/>
          <w:szCs w:val="24"/>
        </w:rPr>
        <w:t xml:space="preserve"> MM, Fawzy El-Sayed KM, </w:t>
      </w:r>
      <w:proofErr w:type="spellStart"/>
      <w:r w:rsidRPr="00497923">
        <w:rPr>
          <w:rFonts w:ascii="Times New Roman" w:hAnsi="Times New Roman" w:cs="Times New Roman"/>
          <w:sz w:val="24"/>
          <w:szCs w:val="24"/>
        </w:rPr>
        <w:t>Elbattawy</w:t>
      </w:r>
      <w:proofErr w:type="spellEnd"/>
      <w:r w:rsidRPr="00497923">
        <w:rPr>
          <w:rFonts w:ascii="Times New Roman" w:hAnsi="Times New Roman" w:cs="Times New Roman"/>
          <w:sz w:val="24"/>
          <w:szCs w:val="24"/>
        </w:rPr>
        <w:t xml:space="preserve"> W, Hosny MM. Injectable platelet-rich fibrin with demineralized freeze-dried bone allograft compared to demineralized freeze-dried bone allograft in </w:t>
      </w:r>
      <w:proofErr w:type="spellStart"/>
      <w:r w:rsidRPr="00497923">
        <w:rPr>
          <w:rFonts w:ascii="Times New Roman" w:hAnsi="Times New Roman" w:cs="Times New Roman"/>
          <w:sz w:val="24"/>
          <w:szCs w:val="24"/>
        </w:rPr>
        <w:t>intrabony</w:t>
      </w:r>
      <w:proofErr w:type="spellEnd"/>
      <w:r w:rsidRPr="00497923">
        <w:rPr>
          <w:rFonts w:ascii="Times New Roman" w:hAnsi="Times New Roman" w:cs="Times New Roman"/>
          <w:sz w:val="24"/>
          <w:szCs w:val="24"/>
        </w:rPr>
        <w:t xml:space="preserve"> defects of patients with stage-III periodontitis: a randomized controlled clinical trial. Clin Oral </w:t>
      </w:r>
      <w:proofErr w:type="spellStart"/>
      <w:r w:rsidRPr="00497923">
        <w:rPr>
          <w:rFonts w:ascii="Times New Roman" w:hAnsi="Times New Roman" w:cs="Times New Roman"/>
          <w:sz w:val="24"/>
          <w:szCs w:val="24"/>
        </w:rPr>
        <w:t>Investig</w:t>
      </w:r>
      <w:proofErr w:type="spellEnd"/>
      <w:r w:rsidRPr="00497923">
        <w:rPr>
          <w:rFonts w:ascii="Times New Roman" w:hAnsi="Times New Roman" w:cs="Times New Roman"/>
          <w:sz w:val="24"/>
          <w:szCs w:val="24"/>
        </w:rPr>
        <w:t xml:space="preserve">. </w:t>
      </w:r>
      <w:proofErr w:type="gramStart"/>
      <w:r w:rsidRPr="00497923">
        <w:rPr>
          <w:rFonts w:ascii="Times New Roman" w:hAnsi="Times New Roman" w:cs="Times New Roman"/>
          <w:sz w:val="24"/>
          <w:szCs w:val="24"/>
        </w:rPr>
        <w:t>2023;27:3457</w:t>
      </w:r>
      <w:proofErr w:type="gramEnd"/>
      <w:r w:rsidRPr="00497923">
        <w:rPr>
          <w:rFonts w:ascii="Times New Roman" w:hAnsi="Times New Roman" w:cs="Times New Roman"/>
          <w:sz w:val="24"/>
          <w:szCs w:val="24"/>
        </w:rPr>
        <w:t xml:space="preserve">–67. </w:t>
      </w:r>
      <w:hyperlink r:id="rId37" w:tgtFrame="_new" w:history="1">
        <w:r w:rsidRPr="00497923">
          <w:rPr>
            <w:rStyle w:val="Kpr"/>
            <w:rFonts w:ascii="Times New Roman" w:hAnsi="Times New Roman" w:cs="Times New Roman"/>
            <w:sz w:val="24"/>
            <w:szCs w:val="24"/>
          </w:rPr>
          <w:t>https://doi.org/10.1007/s00784-023-04954-y</w:t>
        </w:r>
      </w:hyperlink>
      <w:r w:rsidRPr="00497923">
        <w:rPr>
          <w:rFonts w:ascii="Times New Roman" w:hAnsi="Times New Roman" w:cs="Times New Roman"/>
          <w:sz w:val="24"/>
          <w:szCs w:val="24"/>
        </w:rPr>
        <w:t xml:space="preserve">. </w:t>
      </w:r>
    </w:p>
    <w:p w14:paraId="776A1F2B" w14:textId="7AD02E01" w:rsidR="00850046" w:rsidRPr="00497923" w:rsidRDefault="00850046" w:rsidP="00850046">
      <w:pPr>
        <w:pStyle w:val="ListeParagraf"/>
        <w:numPr>
          <w:ilvl w:val="0"/>
          <w:numId w:val="1"/>
        </w:numPr>
        <w:rPr>
          <w:rFonts w:ascii="Times New Roman" w:hAnsi="Times New Roman" w:cs="Times New Roman"/>
          <w:sz w:val="24"/>
          <w:szCs w:val="24"/>
        </w:rPr>
      </w:pPr>
      <w:proofErr w:type="spellStart"/>
      <w:r w:rsidRPr="00497923">
        <w:rPr>
          <w:rFonts w:ascii="Times New Roman" w:hAnsi="Times New Roman" w:cs="Times New Roman"/>
          <w:sz w:val="24"/>
          <w:szCs w:val="24"/>
        </w:rPr>
        <w:t>Ozkal</w:t>
      </w:r>
      <w:proofErr w:type="spellEnd"/>
      <w:r w:rsidRPr="00497923">
        <w:rPr>
          <w:rFonts w:ascii="Times New Roman" w:hAnsi="Times New Roman" w:cs="Times New Roman"/>
          <w:sz w:val="24"/>
          <w:szCs w:val="24"/>
        </w:rPr>
        <w:t xml:space="preserve"> </w:t>
      </w:r>
      <w:proofErr w:type="spellStart"/>
      <w:r w:rsidRPr="00497923">
        <w:rPr>
          <w:rFonts w:ascii="Times New Roman" w:hAnsi="Times New Roman" w:cs="Times New Roman"/>
          <w:sz w:val="24"/>
          <w:szCs w:val="24"/>
        </w:rPr>
        <w:t>Eminoglu</w:t>
      </w:r>
      <w:proofErr w:type="spellEnd"/>
      <w:r w:rsidRPr="00497923">
        <w:rPr>
          <w:rFonts w:ascii="Times New Roman" w:hAnsi="Times New Roman" w:cs="Times New Roman"/>
          <w:sz w:val="24"/>
          <w:szCs w:val="24"/>
        </w:rPr>
        <w:t xml:space="preserve"> D, Arabaci T, </w:t>
      </w:r>
      <w:proofErr w:type="spellStart"/>
      <w:r w:rsidRPr="00497923">
        <w:rPr>
          <w:rFonts w:ascii="Times New Roman" w:hAnsi="Times New Roman" w:cs="Times New Roman"/>
          <w:sz w:val="24"/>
          <w:szCs w:val="24"/>
        </w:rPr>
        <w:t>Oztas</w:t>
      </w:r>
      <w:proofErr w:type="spellEnd"/>
      <w:r w:rsidRPr="00497923">
        <w:rPr>
          <w:rFonts w:ascii="Times New Roman" w:hAnsi="Times New Roman" w:cs="Times New Roman"/>
          <w:sz w:val="24"/>
          <w:szCs w:val="24"/>
        </w:rPr>
        <w:t xml:space="preserve"> </w:t>
      </w:r>
      <w:proofErr w:type="spellStart"/>
      <w:r w:rsidRPr="00497923">
        <w:rPr>
          <w:rFonts w:ascii="Times New Roman" w:hAnsi="Times New Roman" w:cs="Times New Roman"/>
          <w:sz w:val="24"/>
          <w:szCs w:val="24"/>
        </w:rPr>
        <w:t>Sahiner</w:t>
      </w:r>
      <w:proofErr w:type="spellEnd"/>
      <w:r w:rsidRPr="00497923">
        <w:rPr>
          <w:rFonts w:ascii="Times New Roman" w:hAnsi="Times New Roman" w:cs="Times New Roman"/>
          <w:sz w:val="24"/>
          <w:szCs w:val="24"/>
        </w:rPr>
        <w:t xml:space="preserve"> GA. The effect of titanium-platelet rich fibrin on periodontal </w:t>
      </w:r>
      <w:proofErr w:type="spellStart"/>
      <w:r w:rsidRPr="00497923">
        <w:rPr>
          <w:rFonts w:ascii="Times New Roman" w:hAnsi="Times New Roman" w:cs="Times New Roman"/>
          <w:sz w:val="24"/>
          <w:szCs w:val="24"/>
        </w:rPr>
        <w:t>intrabony</w:t>
      </w:r>
      <w:proofErr w:type="spellEnd"/>
      <w:r w:rsidRPr="00497923">
        <w:rPr>
          <w:rFonts w:ascii="Times New Roman" w:hAnsi="Times New Roman" w:cs="Times New Roman"/>
          <w:sz w:val="24"/>
          <w:szCs w:val="24"/>
        </w:rPr>
        <w:t xml:space="preserve"> defects: a randomized controlled split-mouth clinical study. </w:t>
      </w:r>
      <w:proofErr w:type="spellStart"/>
      <w:r w:rsidRPr="00497923">
        <w:rPr>
          <w:rFonts w:ascii="Times New Roman" w:hAnsi="Times New Roman" w:cs="Times New Roman"/>
          <w:sz w:val="24"/>
          <w:szCs w:val="24"/>
        </w:rPr>
        <w:t>PLoS</w:t>
      </w:r>
      <w:proofErr w:type="spellEnd"/>
      <w:r w:rsidRPr="00497923">
        <w:rPr>
          <w:rFonts w:ascii="Times New Roman" w:hAnsi="Times New Roman" w:cs="Times New Roman"/>
          <w:sz w:val="24"/>
          <w:szCs w:val="24"/>
        </w:rPr>
        <w:t xml:space="preserve"> One. 2024;</w:t>
      </w:r>
      <w:proofErr w:type="gramStart"/>
      <w:r w:rsidRPr="00497923">
        <w:rPr>
          <w:rFonts w:ascii="Times New Roman" w:hAnsi="Times New Roman" w:cs="Times New Roman"/>
          <w:sz w:val="24"/>
          <w:szCs w:val="24"/>
        </w:rPr>
        <w:t>19:e</w:t>
      </w:r>
      <w:proofErr w:type="gramEnd"/>
      <w:r w:rsidRPr="00497923">
        <w:rPr>
          <w:rFonts w:ascii="Times New Roman" w:hAnsi="Times New Roman" w:cs="Times New Roman"/>
          <w:sz w:val="24"/>
          <w:szCs w:val="24"/>
        </w:rPr>
        <w:t xml:space="preserve">0304970. </w:t>
      </w:r>
      <w:hyperlink r:id="rId38" w:tgtFrame="_new" w:history="1">
        <w:r w:rsidRPr="00497923">
          <w:rPr>
            <w:rStyle w:val="Kpr"/>
            <w:rFonts w:ascii="Times New Roman" w:hAnsi="Times New Roman" w:cs="Times New Roman"/>
            <w:sz w:val="24"/>
            <w:szCs w:val="24"/>
          </w:rPr>
          <w:t>https://doi.org/10.1371/journal.pone.0304970</w:t>
        </w:r>
      </w:hyperlink>
      <w:r w:rsidRPr="00497923">
        <w:rPr>
          <w:rFonts w:ascii="Times New Roman" w:hAnsi="Times New Roman" w:cs="Times New Roman"/>
          <w:sz w:val="24"/>
          <w:szCs w:val="24"/>
        </w:rPr>
        <w:t xml:space="preserve">. </w:t>
      </w:r>
    </w:p>
    <w:p w14:paraId="49CD5A21" w14:textId="101F63FE" w:rsidR="004B18FE" w:rsidRPr="00497923" w:rsidRDefault="00850046" w:rsidP="00850046">
      <w:pPr>
        <w:pStyle w:val="ListeParagraf"/>
        <w:numPr>
          <w:ilvl w:val="0"/>
          <w:numId w:val="1"/>
        </w:numPr>
        <w:rPr>
          <w:rFonts w:ascii="Times New Roman" w:hAnsi="Times New Roman" w:cs="Times New Roman"/>
          <w:sz w:val="24"/>
          <w:szCs w:val="24"/>
        </w:rPr>
      </w:pPr>
      <w:proofErr w:type="spellStart"/>
      <w:r w:rsidRPr="00497923">
        <w:rPr>
          <w:rFonts w:ascii="Times New Roman" w:hAnsi="Times New Roman" w:cs="Times New Roman"/>
          <w:sz w:val="24"/>
          <w:szCs w:val="24"/>
        </w:rPr>
        <w:t>Praganta</w:t>
      </w:r>
      <w:proofErr w:type="spellEnd"/>
      <w:r w:rsidRPr="00497923">
        <w:rPr>
          <w:rFonts w:ascii="Times New Roman" w:hAnsi="Times New Roman" w:cs="Times New Roman"/>
          <w:sz w:val="24"/>
          <w:szCs w:val="24"/>
        </w:rPr>
        <w:t xml:space="preserve"> J, De Silva H, De Silva R, Tong DC, Thomson WM. Effect of advanced platelet-rich fibrin (A-PRF) on postoperative level of pain and swelling following third molar surgery. J Oral </w:t>
      </w:r>
      <w:proofErr w:type="spellStart"/>
      <w:r w:rsidRPr="00497923">
        <w:rPr>
          <w:rFonts w:ascii="Times New Roman" w:hAnsi="Times New Roman" w:cs="Times New Roman"/>
          <w:sz w:val="24"/>
          <w:szCs w:val="24"/>
        </w:rPr>
        <w:t>Maxillofac</w:t>
      </w:r>
      <w:proofErr w:type="spellEnd"/>
      <w:r w:rsidRPr="00497923">
        <w:rPr>
          <w:rFonts w:ascii="Times New Roman" w:hAnsi="Times New Roman" w:cs="Times New Roman"/>
          <w:sz w:val="24"/>
          <w:szCs w:val="24"/>
        </w:rPr>
        <w:t xml:space="preserve"> Surg. </w:t>
      </w:r>
      <w:proofErr w:type="gramStart"/>
      <w:r w:rsidRPr="00497923">
        <w:rPr>
          <w:rFonts w:ascii="Times New Roman" w:hAnsi="Times New Roman" w:cs="Times New Roman"/>
          <w:sz w:val="24"/>
          <w:szCs w:val="24"/>
        </w:rPr>
        <w:t>2024;82:581</w:t>
      </w:r>
      <w:proofErr w:type="gramEnd"/>
      <w:r w:rsidRPr="00497923">
        <w:rPr>
          <w:rFonts w:ascii="Times New Roman" w:hAnsi="Times New Roman" w:cs="Times New Roman"/>
          <w:sz w:val="24"/>
          <w:szCs w:val="24"/>
        </w:rPr>
        <w:t xml:space="preserve">–9. </w:t>
      </w:r>
      <w:hyperlink r:id="rId39" w:tgtFrame="_new" w:history="1">
        <w:r w:rsidRPr="00497923">
          <w:rPr>
            <w:rStyle w:val="Kpr"/>
            <w:rFonts w:ascii="Times New Roman" w:hAnsi="Times New Roman" w:cs="Times New Roman"/>
            <w:sz w:val="24"/>
            <w:szCs w:val="24"/>
          </w:rPr>
          <w:t>https://doi.org/10.1016/j.joms.2024.02.003</w:t>
        </w:r>
      </w:hyperlink>
      <w:r w:rsidR="00F92182">
        <w:rPr>
          <w:rFonts w:ascii="Times New Roman" w:hAnsi="Times New Roman" w:cs="Times New Roman"/>
          <w:sz w:val="24"/>
          <w:szCs w:val="24"/>
        </w:rPr>
        <w:t>.</w:t>
      </w:r>
    </w:p>
    <w:p w14:paraId="4B641DCE" w14:textId="77777777" w:rsidR="004B18FE" w:rsidRPr="00497923" w:rsidRDefault="004B18FE" w:rsidP="004B18FE">
      <w:pPr>
        <w:rPr>
          <w:rFonts w:ascii="Times New Roman" w:hAnsi="Times New Roman" w:cs="Times New Roman"/>
          <w:sz w:val="24"/>
          <w:szCs w:val="24"/>
        </w:rPr>
      </w:pPr>
    </w:p>
    <w:p w14:paraId="347665DE" w14:textId="77777777" w:rsidR="004B18FE" w:rsidRPr="00497923" w:rsidRDefault="004B18FE" w:rsidP="004B18FE">
      <w:pPr>
        <w:rPr>
          <w:rFonts w:ascii="Times New Roman" w:hAnsi="Times New Roman" w:cs="Times New Roman"/>
          <w:sz w:val="24"/>
          <w:szCs w:val="24"/>
        </w:rPr>
      </w:pPr>
    </w:p>
    <w:p w14:paraId="45739BC2" w14:textId="77777777" w:rsidR="004B18FE" w:rsidRPr="00497923" w:rsidRDefault="004B18FE" w:rsidP="004B18FE">
      <w:pPr>
        <w:rPr>
          <w:rFonts w:ascii="Times New Roman" w:hAnsi="Times New Roman" w:cs="Times New Roman"/>
          <w:sz w:val="24"/>
          <w:szCs w:val="24"/>
        </w:rPr>
      </w:pPr>
    </w:p>
    <w:p w14:paraId="7088BF12" w14:textId="77777777" w:rsidR="00850046" w:rsidRPr="00497923" w:rsidRDefault="00850046" w:rsidP="004B18FE">
      <w:pPr>
        <w:rPr>
          <w:rFonts w:ascii="Times New Roman" w:hAnsi="Times New Roman" w:cs="Times New Roman"/>
          <w:b/>
          <w:bCs/>
          <w:sz w:val="32"/>
          <w:szCs w:val="32"/>
        </w:rPr>
      </w:pPr>
    </w:p>
    <w:p w14:paraId="6869F005" w14:textId="77777777" w:rsidR="0015315F" w:rsidRDefault="0015315F" w:rsidP="004B18FE">
      <w:pPr>
        <w:rPr>
          <w:rFonts w:ascii="Times New Roman" w:hAnsi="Times New Roman" w:cs="Times New Roman"/>
          <w:b/>
          <w:bCs/>
          <w:sz w:val="32"/>
          <w:szCs w:val="32"/>
        </w:rPr>
      </w:pPr>
    </w:p>
    <w:p w14:paraId="396892D2" w14:textId="77777777" w:rsidR="0015315F" w:rsidRDefault="0015315F" w:rsidP="004B18FE">
      <w:pPr>
        <w:rPr>
          <w:rFonts w:ascii="Times New Roman" w:hAnsi="Times New Roman" w:cs="Times New Roman"/>
          <w:b/>
          <w:bCs/>
          <w:sz w:val="32"/>
          <w:szCs w:val="32"/>
        </w:rPr>
      </w:pPr>
    </w:p>
    <w:p w14:paraId="3FAFD887" w14:textId="77777777" w:rsidR="0015315F" w:rsidRDefault="0015315F" w:rsidP="004B18FE">
      <w:pPr>
        <w:rPr>
          <w:rFonts w:ascii="Times New Roman" w:hAnsi="Times New Roman" w:cs="Times New Roman"/>
          <w:b/>
          <w:bCs/>
          <w:sz w:val="32"/>
          <w:szCs w:val="32"/>
        </w:rPr>
      </w:pPr>
    </w:p>
    <w:p w14:paraId="5A578FE9" w14:textId="77777777" w:rsidR="0015315F" w:rsidRDefault="0015315F" w:rsidP="004B18FE">
      <w:pPr>
        <w:rPr>
          <w:rFonts w:ascii="Times New Roman" w:hAnsi="Times New Roman" w:cs="Times New Roman"/>
          <w:b/>
          <w:bCs/>
          <w:sz w:val="32"/>
          <w:szCs w:val="32"/>
        </w:rPr>
      </w:pPr>
    </w:p>
    <w:p w14:paraId="59568586" w14:textId="77777777" w:rsidR="0015315F" w:rsidRDefault="0015315F" w:rsidP="004B18FE">
      <w:pPr>
        <w:rPr>
          <w:rFonts w:ascii="Times New Roman" w:hAnsi="Times New Roman" w:cs="Times New Roman"/>
          <w:b/>
          <w:bCs/>
          <w:sz w:val="32"/>
          <w:szCs w:val="32"/>
        </w:rPr>
      </w:pPr>
    </w:p>
    <w:p w14:paraId="1CD1FD3A" w14:textId="77777777" w:rsidR="0015315F" w:rsidRDefault="0015315F" w:rsidP="004B18FE">
      <w:pPr>
        <w:rPr>
          <w:rFonts w:ascii="Times New Roman" w:hAnsi="Times New Roman" w:cs="Times New Roman"/>
          <w:b/>
          <w:bCs/>
          <w:sz w:val="32"/>
          <w:szCs w:val="32"/>
        </w:rPr>
      </w:pPr>
    </w:p>
    <w:p w14:paraId="7DED0829" w14:textId="674D5565" w:rsidR="00F07370" w:rsidRPr="00497923" w:rsidRDefault="00F07370" w:rsidP="004B18FE">
      <w:pPr>
        <w:rPr>
          <w:rFonts w:ascii="Times New Roman" w:hAnsi="Times New Roman" w:cs="Times New Roman"/>
          <w:sz w:val="28"/>
          <w:szCs w:val="28"/>
        </w:rPr>
      </w:pPr>
      <w:r w:rsidRPr="00497923">
        <w:rPr>
          <w:rFonts w:ascii="Times New Roman" w:hAnsi="Times New Roman" w:cs="Times New Roman"/>
          <w:b/>
          <w:bCs/>
          <w:sz w:val="32"/>
          <w:szCs w:val="32"/>
        </w:rPr>
        <w:lastRenderedPageBreak/>
        <w:t>Tables</w:t>
      </w:r>
    </w:p>
    <w:p w14:paraId="4F240238" w14:textId="5F6791E7" w:rsidR="00F07370" w:rsidRPr="00497923" w:rsidRDefault="00F07370" w:rsidP="008E68C3">
      <w:pPr>
        <w:spacing w:line="480" w:lineRule="auto"/>
        <w:rPr>
          <w:rFonts w:ascii="Times New Roman" w:hAnsi="Times New Roman" w:cs="Times New Roman"/>
          <w:b/>
          <w:bCs/>
          <w:sz w:val="24"/>
          <w:szCs w:val="24"/>
        </w:rPr>
      </w:pPr>
      <w:r w:rsidRPr="00497923">
        <w:rPr>
          <w:rFonts w:ascii="Times New Roman" w:hAnsi="Times New Roman" w:cs="Times New Roman"/>
          <w:b/>
          <w:bCs/>
          <w:sz w:val="24"/>
          <w:szCs w:val="24"/>
        </w:rPr>
        <w:t xml:space="preserve">Table 1: </w:t>
      </w:r>
      <w:r w:rsidRPr="00497923">
        <w:rPr>
          <w:rFonts w:ascii="Times New Roman" w:hAnsi="Times New Roman" w:cs="Times New Roman"/>
          <w:sz w:val="24"/>
          <w:szCs w:val="24"/>
        </w:rPr>
        <w:t>Demographic and Professional Characteristics of the Participants</w:t>
      </w:r>
    </w:p>
    <w:tbl>
      <w:tblPr>
        <w:tblW w:w="0" w:type="auto"/>
        <w:tblLook w:val="04A0" w:firstRow="1" w:lastRow="0" w:firstColumn="1" w:lastColumn="0" w:noHBand="0" w:noVBand="1"/>
      </w:tblPr>
      <w:tblGrid>
        <w:gridCol w:w="3442"/>
        <w:gridCol w:w="4167"/>
      </w:tblGrid>
      <w:tr w:rsidR="00F07370" w:rsidRPr="00497923" w14:paraId="765A3B8E" w14:textId="77777777" w:rsidTr="007A5D47">
        <w:tc>
          <w:tcPr>
            <w:tcW w:w="0" w:type="auto"/>
            <w:tcBorders>
              <w:top w:val="single" w:sz="4" w:space="0" w:color="auto"/>
              <w:bottom w:val="single" w:sz="4" w:space="0" w:color="auto"/>
            </w:tcBorders>
            <w:hideMark/>
          </w:tcPr>
          <w:p w14:paraId="5E1AE2EA" w14:textId="77777777" w:rsidR="00F07370" w:rsidRPr="00497923" w:rsidRDefault="00F07370" w:rsidP="00F07370">
            <w:pPr>
              <w:spacing w:after="0" w:line="240" w:lineRule="auto"/>
              <w:rPr>
                <w:rFonts w:ascii="Times New Roman" w:eastAsia="Times New Roman" w:hAnsi="Times New Roman" w:cs="Times New Roman"/>
                <w:b/>
                <w:bCs/>
                <w:kern w:val="0"/>
                <w:sz w:val="24"/>
                <w:szCs w:val="24"/>
                <w:lang w:eastAsia="tr-TR"/>
                <w14:ligatures w14:val="none"/>
              </w:rPr>
            </w:pPr>
            <w:r w:rsidRPr="00497923">
              <w:rPr>
                <w:rFonts w:ascii="Times New Roman" w:eastAsia="Times New Roman" w:hAnsi="Times New Roman" w:cs="Times New Roman"/>
                <w:b/>
                <w:bCs/>
                <w:kern w:val="0"/>
                <w:sz w:val="24"/>
                <w:szCs w:val="24"/>
                <w:lang w:eastAsia="tr-TR"/>
                <w14:ligatures w14:val="none"/>
              </w:rPr>
              <w:t>Variable</w:t>
            </w:r>
          </w:p>
        </w:tc>
        <w:tc>
          <w:tcPr>
            <w:tcW w:w="4167" w:type="dxa"/>
            <w:tcBorders>
              <w:top w:val="single" w:sz="4" w:space="0" w:color="auto"/>
              <w:bottom w:val="single" w:sz="4" w:space="0" w:color="auto"/>
            </w:tcBorders>
            <w:hideMark/>
          </w:tcPr>
          <w:p w14:paraId="4880200C" w14:textId="37A591B8" w:rsidR="00F07370" w:rsidRPr="00497923" w:rsidRDefault="00F07370" w:rsidP="007A5D47">
            <w:pPr>
              <w:spacing w:after="0" w:line="240" w:lineRule="auto"/>
              <w:jc w:val="center"/>
              <w:rPr>
                <w:rFonts w:ascii="Times New Roman" w:eastAsia="Times New Roman" w:hAnsi="Times New Roman" w:cs="Times New Roman"/>
                <w:b/>
                <w:bCs/>
                <w:kern w:val="0"/>
                <w:sz w:val="24"/>
                <w:szCs w:val="24"/>
                <w:lang w:eastAsia="tr-TR"/>
                <w14:ligatures w14:val="none"/>
              </w:rPr>
            </w:pPr>
            <w:r w:rsidRPr="00497923">
              <w:rPr>
                <w:rFonts w:ascii="Times New Roman" w:eastAsia="Times New Roman" w:hAnsi="Times New Roman" w:cs="Times New Roman"/>
                <w:b/>
                <w:bCs/>
                <w:kern w:val="0"/>
                <w:sz w:val="24"/>
                <w:szCs w:val="24"/>
                <w:lang w:eastAsia="tr-TR"/>
                <w14:ligatures w14:val="none"/>
              </w:rPr>
              <w:t>Mean ± SD</w:t>
            </w:r>
          </w:p>
        </w:tc>
      </w:tr>
      <w:tr w:rsidR="00F07370" w:rsidRPr="00497923" w14:paraId="187CF5E2" w14:textId="77777777" w:rsidTr="007A5D47">
        <w:tc>
          <w:tcPr>
            <w:tcW w:w="0" w:type="auto"/>
            <w:tcBorders>
              <w:top w:val="single" w:sz="4" w:space="0" w:color="auto"/>
              <w:bottom w:val="single" w:sz="4" w:space="0" w:color="auto"/>
            </w:tcBorders>
            <w:hideMark/>
          </w:tcPr>
          <w:p w14:paraId="585F26D7" w14:textId="77777777" w:rsidR="00F07370" w:rsidRPr="00497923" w:rsidRDefault="00F07370" w:rsidP="00F07370">
            <w:pPr>
              <w:spacing w:after="0" w:line="240" w:lineRule="auto"/>
              <w:rPr>
                <w:rFonts w:ascii="Times New Roman" w:eastAsia="Times New Roman" w:hAnsi="Times New Roman" w:cs="Times New Roman"/>
                <w:b/>
                <w:bCs/>
                <w:kern w:val="0"/>
                <w:sz w:val="24"/>
                <w:szCs w:val="24"/>
                <w:lang w:eastAsia="tr-TR"/>
                <w14:ligatures w14:val="none"/>
              </w:rPr>
            </w:pPr>
          </w:p>
          <w:p w14:paraId="7EABB68F" w14:textId="0981EC9E" w:rsidR="00F07370" w:rsidRPr="00497923" w:rsidRDefault="00F07370" w:rsidP="00F07370">
            <w:pPr>
              <w:spacing w:after="0" w:line="240" w:lineRule="auto"/>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b/>
                <w:bCs/>
                <w:kern w:val="0"/>
                <w:sz w:val="24"/>
                <w:szCs w:val="24"/>
                <w:lang w:eastAsia="tr-TR"/>
                <w14:ligatures w14:val="none"/>
              </w:rPr>
              <w:t>Age (years)</w:t>
            </w:r>
          </w:p>
        </w:tc>
        <w:tc>
          <w:tcPr>
            <w:tcW w:w="4167" w:type="dxa"/>
            <w:tcBorders>
              <w:top w:val="single" w:sz="4" w:space="0" w:color="auto"/>
              <w:bottom w:val="single" w:sz="4" w:space="0" w:color="auto"/>
            </w:tcBorders>
            <w:hideMark/>
          </w:tcPr>
          <w:p w14:paraId="26889C35" w14:textId="77777777" w:rsidR="00F07370" w:rsidRPr="00497923" w:rsidRDefault="00F07370" w:rsidP="007A5D47">
            <w:pPr>
              <w:spacing w:after="0" w:line="240" w:lineRule="auto"/>
              <w:jc w:val="center"/>
              <w:rPr>
                <w:rFonts w:ascii="Times New Roman" w:eastAsia="Times New Roman" w:hAnsi="Times New Roman" w:cs="Times New Roman"/>
                <w:kern w:val="0"/>
                <w:sz w:val="24"/>
                <w:szCs w:val="24"/>
                <w:lang w:eastAsia="tr-TR"/>
                <w14:ligatures w14:val="none"/>
              </w:rPr>
            </w:pPr>
          </w:p>
          <w:p w14:paraId="1C879572" w14:textId="794F0BB2" w:rsidR="00F07370" w:rsidRPr="00497923" w:rsidRDefault="00F07370" w:rsidP="007A5D47">
            <w:pPr>
              <w:spacing w:after="0" w:line="240" w:lineRule="auto"/>
              <w:jc w:val="center"/>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33.91 ± 9.26</w:t>
            </w:r>
          </w:p>
        </w:tc>
      </w:tr>
      <w:tr w:rsidR="00F07370" w:rsidRPr="00497923" w14:paraId="6DF60D7E" w14:textId="77777777" w:rsidTr="007A5D47">
        <w:tc>
          <w:tcPr>
            <w:tcW w:w="0" w:type="auto"/>
            <w:tcBorders>
              <w:top w:val="single" w:sz="4" w:space="0" w:color="auto"/>
              <w:bottom w:val="single" w:sz="4" w:space="0" w:color="auto"/>
            </w:tcBorders>
            <w:hideMark/>
          </w:tcPr>
          <w:p w14:paraId="464D2C67" w14:textId="77777777" w:rsidR="00AB2DBE" w:rsidRPr="00497923" w:rsidRDefault="00AB2DBE" w:rsidP="00F07370">
            <w:pPr>
              <w:spacing w:after="0" w:line="240" w:lineRule="auto"/>
              <w:rPr>
                <w:rFonts w:ascii="Times New Roman" w:eastAsia="Times New Roman" w:hAnsi="Times New Roman" w:cs="Times New Roman"/>
                <w:b/>
                <w:bCs/>
                <w:kern w:val="0"/>
                <w:sz w:val="24"/>
                <w:szCs w:val="24"/>
                <w:lang w:eastAsia="tr-TR"/>
                <w14:ligatures w14:val="none"/>
              </w:rPr>
            </w:pPr>
          </w:p>
          <w:p w14:paraId="0CF18CD0" w14:textId="524543F7" w:rsidR="00F07370" w:rsidRPr="00497923" w:rsidRDefault="00F07370" w:rsidP="00F07370">
            <w:pPr>
              <w:spacing w:after="0" w:line="240" w:lineRule="auto"/>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b/>
                <w:bCs/>
                <w:kern w:val="0"/>
                <w:sz w:val="24"/>
                <w:szCs w:val="24"/>
                <w:lang w:eastAsia="tr-TR"/>
                <w14:ligatures w14:val="none"/>
              </w:rPr>
              <w:t>Sex</w:t>
            </w:r>
          </w:p>
        </w:tc>
        <w:tc>
          <w:tcPr>
            <w:tcW w:w="4167" w:type="dxa"/>
            <w:tcBorders>
              <w:top w:val="single" w:sz="4" w:space="0" w:color="auto"/>
              <w:bottom w:val="single" w:sz="4" w:space="0" w:color="auto"/>
            </w:tcBorders>
            <w:hideMark/>
          </w:tcPr>
          <w:p w14:paraId="29B3B366" w14:textId="7424253E" w:rsidR="00F07370" w:rsidRPr="00497923" w:rsidRDefault="007A5D47" w:rsidP="007A5D47">
            <w:pPr>
              <w:spacing w:after="0" w:line="240" w:lineRule="auto"/>
              <w:jc w:val="center"/>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b/>
                <w:bCs/>
                <w:kern w:val="0"/>
                <w:sz w:val="24"/>
                <w:szCs w:val="24"/>
                <w:lang w:eastAsia="tr-TR"/>
                <w14:ligatures w14:val="none"/>
              </w:rPr>
              <w:t>n (%)</w:t>
            </w:r>
          </w:p>
        </w:tc>
      </w:tr>
      <w:tr w:rsidR="00F07370" w:rsidRPr="00497923" w14:paraId="2E7E1819" w14:textId="77777777" w:rsidTr="007A5D47">
        <w:tc>
          <w:tcPr>
            <w:tcW w:w="0" w:type="auto"/>
            <w:tcBorders>
              <w:top w:val="single" w:sz="4" w:space="0" w:color="auto"/>
            </w:tcBorders>
            <w:hideMark/>
          </w:tcPr>
          <w:p w14:paraId="137098E1" w14:textId="77777777" w:rsidR="00F07370" w:rsidRPr="00497923" w:rsidRDefault="00F07370" w:rsidP="00F07370">
            <w:pPr>
              <w:spacing w:after="0" w:line="240" w:lineRule="auto"/>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Female</w:t>
            </w:r>
          </w:p>
        </w:tc>
        <w:tc>
          <w:tcPr>
            <w:tcW w:w="4167" w:type="dxa"/>
            <w:tcBorders>
              <w:top w:val="single" w:sz="4" w:space="0" w:color="auto"/>
            </w:tcBorders>
            <w:hideMark/>
          </w:tcPr>
          <w:p w14:paraId="61A5BE30" w14:textId="77777777" w:rsidR="00F07370" w:rsidRPr="00497923" w:rsidRDefault="00F07370" w:rsidP="007A5D47">
            <w:pPr>
              <w:spacing w:after="0" w:line="240" w:lineRule="auto"/>
              <w:jc w:val="center"/>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297 (59.3)</w:t>
            </w:r>
          </w:p>
        </w:tc>
      </w:tr>
      <w:tr w:rsidR="00F07370" w:rsidRPr="00497923" w14:paraId="79C88C6F" w14:textId="77777777" w:rsidTr="00F07370">
        <w:tc>
          <w:tcPr>
            <w:tcW w:w="0" w:type="auto"/>
            <w:hideMark/>
          </w:tcPr>
          <w:p w14:paraId="366F36B2" w14:textId="77777777" w:rsidR="00F07370" w:rsidRPr="00497923" w:rsidRDefault="00F07370" w:rsidP="00F07370">
            <w:pPr>
              <w:spacing w:after="0" w:line="240" w:lineRule="auto"/>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Male</w:t>
            </w:r>
          </w:p>
        </w:tc>
        <w:tc>
          <w:tcPr>
            <w:tcW w:w="4167" w:type="dxa"/>
            <w:hideMark/>
          </w:tcPr>
          <w:p w14:paraId="63922CAB" w14:textId="77777777" w:rsidR="00F07370" w:rsidRPr="00497923" w:rsidRDefault="00F07370" w:rsidP="007A5D47">
            <w:pPr>
              <w:spacing w:after="0" w:line="240" w:lineRule="auto"/>
              <w:jc w:val="center"/>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204 (40.7)</w:t>
            </w:r>
          </w:p>
        </w:tc>
      </w:tr>
      <w:tr w:rsidR="00F07370" w:rsidRPr="00497923" w14:paraId="727575F9" w14:textId="77777777" w:rsidTr="00F07370">
        <w:tc>
          <w:tcPr>
            <w:tcW w:w="0" w:type="auto"/>
            <w:hideMark/>
          </w:tcPr>
          <w:p w14:paraId="32BB30A0" w14:textId="77777777" w:rsidR="00AB2DBE" w:rsidRPr="00497923" w:rsidRDefault="00AB2DBE" w:rsidP="00F07370">
            <w:pPr>
              <w:spacing w:after="0" w:line="240" w:lineRule="auto"/>
              <w:rPr>
                <w:rFonts w:ascii="Times New Roman" w:eastAsia="Times New Roman" w:hAnsi="Times New Roman" w:cs="Times New Roman"/>
                <w:b/>
                <w:bCs/>
                <w:kern w:val="0"/>
                <w:sz w:val="24"/>
                <w:szCs w:val="24"/>
                <w:lang w:eastAsia="tr-TR"/>
                <w14:ligatures w14:val="none"/>
              </w:rPr>
            </w:pPr>
          </w:p>
          <w:p w14:paraId="1DC0893E" w14:textId="1549291E" w:rsidR="00F07370" w:rsidRPr="00497923" w:rsidRDefault="00F07370" w:rsidP="00F07370">
            <w:pPr>
              <w:spacing w:after="0" w:line="240" w:lineRule="auto"/>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b/>
                <w:bCs/>
                <w:kern w:val="0"/>
                <w:sz w:val="24"/>
                <w:szCs w:val="24"/>
                <w:lang w:eastAsia="tr-TR"/>
                <w14:ligatures w14:val="none"/>
              </w:rPr>
              <w:t>Professional Experience (years)</w:t>
            </w:r>
          </w:p>
        </w:tc>
        <w:tc>
          <w:tcPr>
            <w:tcW w:w="4167" w:type="dxa"/>
            <w:hideMark/>
          </w:tcPr>
          <w:p w14:paraId="7E5DE05E" w14:textId="77777777" w:rsidR="00F07370" w:rsidRPr="00497923" w:rsidRDefault="00F07370" w:rsidP="007A5D47">
            <w:pPr>
              <w:spacing w:after="0" w:line="240" w:lineRule="auto"/>
              <w:jc w:val="center"/>
              <w:rPr>
                <w:rFonts w:ascii="Times New Roman" w:eastAsia="Times New Roman" w:hAnsi="Times New Roman" w:cs="Times New Roman"/>
                <w:kern w:val="0"/>
                <w:sz w:val="24"/>
                <w:szCs w:val="24"/>
                <w:lang w:eastAsia="tr-TR"/>
                <w14:ligatures w14:val="none"/>
              </w:rPr>
            </w:pPr>
          </w:p>
        </w:tc>
      </w:tr>
      <w:tr w:rsidR="00F07370" w:rsidRPr="00497923" w14:paraId="672EFDFE" w14:textId="77777777" w:rsidTr="00F07370">
        <w:tc>
          <w:tcPr>
            <w:tcW w:w="0" w:type="auto"/>
            <w:hideMark/>
          </w:tcPr>
          <w:p w14:paraId="1F3BCD2A" w14:textId="77777777" w:rsidR="00F07370" w:rsidRPr="00497923" w:rsidRDefault="00F07370" w:rsidP="00F07370">
            <w:pPr>
              <w:spacing w:after="0" w:line="240" w:lineRule="auto"/>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0–5</w:t>
            </w:r>
          </w:p>
        </w:tc>
        <w:tc>
          <w:tcPr>
            <w:tcW w:w="4167" w:type="dxa"/>
            <w:hideMark/>
          </w:tcPr>
          <w:p w14:paraId="543A99E6" w14:textId="77777777" w:rsidR="00F07370" w:rsidRPr="00497923" w:rsidRDefault="00F07370" w:rsidP="007A5D47">
            <w:pPr>
              <w:spacing w:after="0" w:line="240" w:lineRule="auto"/>
              <w:jc w:val="center"/>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174 (34.7)</w:t>
            </w:r>
          </w:p>
        </w:tc>
      </w:tr>
      <w:tr w:rsidR="00F07370" w:rsidRPr="00497923" w14:paraId="2E3C5372" w14:textId="77777777" w:rsidTr="00F07370">
        <w:tc>
          <w:tcPr>
            <w:tcW w:w="0" w:type="auto"/>
            <w:hideMark/>
          </w:tcPr>
          <w:p w14:paraId="10D2F9A1" w14:textId="77777777" w:rsidR="00F07370" w:rsidRPr="00497923" w:rsidRDefault="00F07370" w:rsidP="00F07370">
            <w:pPr>
              <w:spacing w:after="0" w:line="240" w:lineRule="auto"/>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6–10</w:t>
            </w:r>
          </w:p>
        </w:tc>
        <w:tc>
          <w:tcPr>
            <w:tcW w:w="4167" w:type="dxa"/>
            <w:hideMark/>
          </w:tcPr>
          <w:p w14:paraId="08BF4EBD" w14:textId="77777777" w:rsidR="00F07370" w:rsidRPr="00497923" w:rsidRDefault="00F07370" w:rsidP="007A5D47">
            <w:pPr>
              <w:spacing w:after="0" w:line="240" w:lineRule="auto"/>
              <w:jc w:val="center"/>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146 (29.1)</w:t>
            </w:r>
          </w:p>
        </w:tc>
      </w:tr>
      <w:tr w:rsidR="00F07370" w:rsidRPr="00497923" w14:paraId="7B9B08C2" w14:textId="77777777" w:rsidTr="00F07370">
        <w:tc>
          <w:tcPr>
            <w:tcW w:w="0" w:type="auto"/>
            <w:hideMark/>
          </w:tcPr>
          <w:p w14:paraId="5B5A0B63" w14:textId="77777777" w:rsidR="00F07370" w:rsidRPr="00497923" w:rsidRDefault="00F07370" w:rsidP="00F07370">
            <w:pPr>
              <w:spacing w:after="0" w:line="240" w:lineRule="auto"/>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11–15</w:t>
            </w:r>
          </w:p>
        </w:tc>
        <w:tc>
          <w:tcPr>
            <w:tcW w:w="4167" w:type="dxa"/>
            <w:hideMark/>
          </w:tcPr>
          <w:p w14:paraId="2873C00A" w14:textId="77777777" w:rsidR="00F07370" w:rsidRPr="00497923" w:rsidRDefault="00F07370" w:rsidP="007A5D47">
            <w:pPr>
              <w:spacing w:after="0" w:line="240" w:lineRule="auto"/>
              <w:jc w:val="center"/>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109 (21.8)</w:t>
            </w:r>
          </w:p>
        </w:tc>
      </w:tr>
      <w:tr w:rsidR="00F07370" w:rsidRPr="00497923" w14:paraId="375F459E" w14:textId="77777777" w:rsidTr="00F07370">
        <w:tc>
          <w:tcPr>
            <w:tcW w:w="0" w:type="auto"/>
            <w:hideMark/>
          </w:tcPr>
          <w:p w14:paraId="05AC0579" w14:textId="12118DEB" w:rsidR="00F07370" w:rsidRPr="00497923" w:rsidRDefault="00BB3F6E" w:rsidP="00F07370">
            <w:pPr>
              <w:spacing w:after="0" w:line="240" w:lineRule="auto"/>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&gt;</w:t>
            </w:r>
            <w:r w:rsidR="00F07370" w:rsidRPr="00497923">
              <w:rPr>
                <w:rFonts w:ascii="Times New Roman" w:eastAsia="Times New Roman" w:hAnsi="Times New Roman" w:cs="Times New Roman"/>
                <w:kern w:val="0"/>
                <w:sz w:val="24"/>
                <w:szCs w:val="24"/>
                <w:lang w:eastAsia="tr-TR"/>
                <w14:ligatures w14:val="none"/>
              </w:rPr>
              <w:t>1</w:t>
            </w:r>
            <w:r w:rsidRPr="00497923">
              <w:rPr>
                <w:rFonts w:ascii="Times New Roman" w:eastAsia="Times New Roman" w:hAnsi="Times New Roman" w:cs="Times New Roman"/>
                <w:kern w:val="0"/>
                <w:sz w:val="24"/>
                <w:szCs w:val="24"/>
                <w:lang w:eastAsia="tr-TR"/>
                <w14:ligatures w14:val="none"/>
              </w:rPr>
              <w:t>5</w:t>
            </w:r>
          </w:p>
        </w:tc>
        <w:tc>
          <w:tcPr>
            <w:tcW w:w="4167" w:type="dxa"/>
            <w:hideMark/>
          </w:tcPr>
          <w:p w14:paraId="335AA456" w14:textId="77777777" w:rsidR="00F07370" w:rsidRPr="00497923" w:rsidRDefault="00F07370" w:rsidP="007A5D47">
            <w:pPr>
              <w:spacing w:after="0" w:line="240" w:lineRule="auto"/>
              <w:jc w:val="center"/>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72 (14.4)</w:t>
            </w:r>
          </w:p>
        </w:tc>
      </w:tr>
      <w:tr w:rsidR="00F07370" w:rsidRPr="00497923" w14:paraId="3A1549FD" w14:textId="77777777" w:rsidTr="00F07370">
        <w:tc>
          <w:tcPr>
            <w:tcW w:w="0" w:type="auto"/>
            <w:hideMark/>
          </w:tcPr>
          <w:p w14:paraId="2735876D" w14:textId="77777777" w:rsidR="00AB2DBE" w:rsidRPr="00497923" w:rsidRDefault="00AB2DBE" w:rsidP="00F07370">
            <w:pPr>
              <w:spacing w:after="0" w:line="240" w:lineRule="auto"/>
              <w:rPr>
                <w:rFonts w:ascii="Times New Roman" w:eastAsia="Times New Roman" w:hAnsi="Times New Roman" w:cs="Times New Roman"/>
                <w:b/>
                <w:bCs/>
                <w:kern w:val="0"/>
                <w:sz w:val="24"/>
                <w:szCs w:val="24"/>
                <w:lang w:eastAsia="tr-TR"/>
                <w14:ligatures w14:val="none"/>
              </w:rPr>
            </w:pPr>
          </w:p>
          <w:p w14:paraId="5CFE9816" w14:textId="19AD44CF" w:rsidR="00F07370" w:rsidRPr="00497923" w:rsidRDefault="00F07370" w:rsidP="00F07370">
            <w:pPr>
              <w:spacing w:after="0" w:line="240" w:lineRule="auto"/>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b/>
                <w:bCs/>
                <w:kern w:val="0"/>
                <w:sz w:val="24"/>
                <w:szCs w:val="24"/>
                <w:lang w:eastAsia="tr-TR"/>
                <w14:ligatures w14:val="none"/>
              </w:rPr>
              <w:t>Workplace</w:t>
            </w:r>
          </w:p>
        </w:tc>
        <w:tc>
          <w:tcPr>
            <w:tcW w:w="4167" w:type="dxa"/>
            <w:hideMark/>
          </w:tcPr>
          <w:p w14:paraId="2E1D6E18" w14:textId="77777777" w:rsidR="00F07370" w:rsidRPr="00497923" w:rsidRDefault="00F07370" w:rsidP="007A5D47">
            <w:pPr>
              <w:spacing w:after="0" w:line="240" w:lineRule="auto"/>
              <w:jc w:val="center"/>
              <w:rPr>
                <w:rFonts w:ascii="Times New Roman" w:eastAsia="Times New Roman" w:hAnsi="Times New Roman" w:cs="Times New Roman"/>
                <w:kern w:val="0"/>
                <w:sz w:val="24"/>
                <w:szCs w:val="24"/>
                <w:lang w:eastAsia="tr-TR"/>
                <w14:ligatures w14:val="none"/>
              </w:rPr>
            </w:pPr>
          </w:p>
        </w:tc>
      </w:tr>
      <w:tr w:rsidR="00F07370" w:rsidRPr="00497923" w14:paraId="52852BAA" w14:textId="77777777" w:rsidTr="00F07370">
        <w:tc>
          <w:tcPr>
            <w:tcW w:w="0" w:type="auto"/>
            <w:hideMark/>
          </w:tcPr>
          <w:p w14:paraId="5DC43C62" w14:textId="77777777" w:rsidR="00F07370" w:rsidRPr="00497923" w:rsidRDefault="00F07370" w:rsidP="00F07370">
            <w:pPr>
              <w:spacing w:after="0" w:line="240" w:lineRule="auto"/>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Public</w:t>
            </w:r>
          </w:p>
        </w:tc>
        <w:tc>
          <w:tcPr>
            <w:tcW w:w="4167" w:type="dxa"/>
            <w:hideMark/>
          </w:tcPr>
          <w:p w14:paraId="4C4D74C3" w14:textId="77777777" w:rsidR="00F07370" w:rsidRPr="00497923" w:rsidRDefault="00F07370" w:rsidP="007A5D47">
            <w:pPr>
              <w:spacing w:after="0" w:line="240" w:lineRule="auto"/>
              <w:jc w:val="center"/>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258 (51.5)</w:t>
            </w:r>
          </w:p>
        </w:tc>
      </w:tr>
      <w:tr w:rsidR="00F07370" w:rsidRPr="00497923" w14:paraId="5A172F31" w14:textId="77777777" w:rsidTr="00F07370">
        <w:tc>
          <w:tcPr>
            <w:tcW w:w="0" w:type="auto"/>
            <w:hideMark/>
          </w:tcPr>
          <w:p w14:paraId="59E8F5E4" w14:textId="77777777" w:rsidR="00F07370" w:rsidRPr="00497923" w:rsidRDefault="00F07370" w:rsidP="00F07370">
            <w:pPr>
              <w:spacing w:after="0" w:line="240" w:lineRule="auto"/>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Private</w:t>
            </w:r>
          </w:p>
        </w:tc>
        <w:tc>
          <w:tcPr>
            <w:tcW w:w="4167" w:type="dxa"/>
            <w:hideMark/>
          </w:tcPr>
          <w:p w14:paraId="592E2390" w14:textId="77777777" w:rsidR="00F07370" w:rsidRPr="00497923" w:rsidRDefault="00F07370" w:rsidP="007A5D47">
            <w:pPr>
              <w:spacing w:after="0" w:line="240" w:lineRule="auto"/>
              <w:jc w:val="center"/>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243 (48.5)</w:t>
            </w:r>
          </w:p>
        </w:tc>
      </w:tr>
      <w:tr w:rsidR="00F07370" w:rsidRPr="00497923" w14:paraId="5ABE6888" w14:textId="77777777" w:rsidTr="00F07370">
        <w:tc>
          <w:tcPr>
            <w:tcW w:w="0" w:type="auto"/>
            <w:hideMark/>
          </w:tcPr>
          <w:p w14:paraId="4E4744AC" w14:textId="77777777" w:rsidR="00AB2DBE" w:rsidRPr="00497923" w:rsidRDefault="00AB2DBE" w:rsidP="00F07370">
            <w:pPr>
              <w:spacing w:after="0" w:line="240" w:lineRule="auto"/>
              <w:rPr>
                <w:rFonts w:ascii="Times New Roman" w:eastAsia="Times New Roman" w:hAnsi="Times New Roman" w:cs="Times New Roman"/>
                <w:b/>
                <w:bCs/>
                <w:kern w:val="0"/>
                <w:sz w:val="24"/>
                <w:szCs w:val="24"/>
                <w:lang w:eastAsia="tr-TR"/>
                <w14:ligatures w14:val="none"/>
              </w:rPr>
            </w:pPr>
          </w:p>
          <w:p w14:paraId="467A4983" w14:textId="4B992C5A" w:rsidR="00F07370" w:rsidRPr="00497923" w:rsidRDefault="00F07370" w:rsidP="00F07370">
            <w:pPr>
              <w:spacing w:after="0" w:line="240" w:lineRule="auto"/>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b/>
                <w:bCs/>
                <w:kern w:val="0"/>
                <w:sz w:val="24"/>
                <w:szCs w:val="24"/>
                <w:lang w:eastAsia="tr-TR"/>
                <w14:ligatures w14:val="none"/>
              </w:rPr>
              <w:t>Annual Surgical Case Volume</w:t>
            </w:r>
          </w:p>
        </w:tc>
        <w:tc>
          <w:tcPr>
            <w:tcW w:w="4167" w:type="dxa"/>
            <w:hideMark/>
          </w:tcPr>
          <w:p w14:paraId="5C62F0D8" w14:textId="77777777" w:rsidR="00F07370" w:rsidRPr="00497923" w:rsidRDefault="00F07370" w:rsidP="007A5D47">
            <w:pPr>
              <w:spacing w:after="0" w:line="240" w:lineRule="auto"/>
              <w:jc w:val="center"/>
              <w:rPr>
                <w:rFonts w:ascii="Times New Roman" w:eastAsia="Times New Roman" w:hAnsi="Times New Roman" w:cs="Times New Roman"/>
                <w:kern w:val="0"/>
                <w:sz w:val="24"/>
                <w:szCs w:val="24"/>
                <w:lang w:eastAsia="tr-TR"/>
                <w14:ligatures w14:val="none"/>
              </w:rPr>
            </w:pPr>
          </w:p>
        </w:tc>
      </w:tr>
      <w:tr w:rsidR="00F07370" w:rsidRPr="00497923" w14:paraId="1464EDC1" w14:textId="77777777" w:rsidTr="00F07370">
        <w:tc>
          <w:tcPr>
            <w:tcW w:w="0" w:type="auto"/>
            <w:hideMark/>
          </w:tcPr>
          <w:p w14:paraId="55BD0FFB" w14:textId="77777777" w:rsidR="00F07370" w:rsidRPr="00497923" w:rsidRDefault="00F07370" w:rsidP="00F07370">
            <w:pPr>
              <w:spacing w:after="0" w:line="240" w:lineRule="auto"/>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0–100</w:t>
            </w:r>
          </w:p>
        </w:tc>
        <w:tc>
          <w:tcPr>
            <w:tcW w:w="4167" w:type="dxa"/>
            <w:hideMark/>
          </w:tcPr>
          <w:p w14:paraId="511B0393" w14:textId="77777777" w:rsidR="00F07370" w:rsidRPr="00497923" w:rsidRDefault="00F07370" w:rsidP="007A5D47">
            <w:pPr>
              <w:spacing w:after="0" w:line="240" w:lineRule="auto"/>
              <w:jc w:val="center"/>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50 (10.0)</w:t>
            </w:r>
          </w:p>
        </w:tc>
      </w:tr>
      <w:tr w:rsidR="00F07370" w:rsidRPr="00497923" w14:paraId="5374A87F" w14:textId="77777777" w:rsidTr="00F07370">
        <w:tc>
          <w:tcPr>
            <w:tcW w:w="0" w:type="auto"/>
            <w:hideMark/>
          </w:tcPr>
          <w:p w14:paraId="7F01C64C" w14:textId="77777777" w:rsidR="00F07370" w:rsidRPr="00497923" w:rsidRDefault="00F07370" w:rsidP="00F07370">
            <w:pPr>
              <w:spacing w:after="0" w:line="240" w:lineRule="auto"/>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101–250</w:t>
            </w:r>
          </w:p>
        </w:tc>
        <w:tc>
          <w:tcPr>
            <w:tcW w:w="4167" w:type="dxa"/>
            <w:hideMark/>
          </w:tcPr>
          <w:p w14:paraId="022152DD" w14:textId="77777777" w:rsidR="00F07370" w:rsidRPr="00497923" w:rsidRDefault="00F07370" w:rsidP="007A5D47">
            <w:pPr>
              <w:spacing w:after="0" w:line="240" w:lineRule="auto"/>
              <w:jc w:val="center"/>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171 (34.1)</w:t>
            </w:r>
          </w:p>
        </w:tc>
      </w:tr>
      <w:tr w:rsidR="00F07370" w:rsidRPr="00497923" w14:paraId="4AFD592D" w14:textId="77777777" w:rsidTr="00F07370">
        <w:tc>
          <w:tcPr>
            <w:tcW w:w="0" w:type="auto"/>
            <w:tcBorders>
              <w:bottom w:val="single" w:sz="4" w:space="0" w:color="auto"/>
            </w:tcBorders>
            <w:hideMark/>
          </w:tcPr>
          <w:p w14:paraId="3D710387" w14:textId="3186016D" w:rsidR="00F07370" w:rsidRPr="00497923" w:rsidRDefault="00BB3F6E" w:rsidP="00F07370">
            <w:pPr>
              <w:spacing w:after="0" w:line="240" w:lineRule="auto"/>
              <w:rPr>
                <w:rFonts w:ascii="Times New Roman" w:eastAsia="Times New Roman" w:hAnsi="Times New Roman" w:cs="Times New Roman"/>
                <w:kern w:val="0"/>
                <w:sz w:val="24"/>
                <w:szCs w:val="24"/>
                <w:lang w:eastAsia="tr-TR"/>
                <w14:ligatures w14:val="none"/>
              </w:rPr>
            </w:pPr>
            <w:r w:rsidRPr="00497923">
              <w:rPr>
                <w:rFonts w:ascii="Times New Roman" w:hAnsi="Times New Roman" w:cs="Times New Roman"/>
                <w:b/>
                <w:bCs/>
              </w:rPr>
              <w:t>&gt;</w:t>
            </w:r>
            <w:r w:rsidR="00F07370" w:rsidRPr="00497923">
              <w:rPr>
                <w:rFonts w:ascii="Times New Roman" w:eastAsia="Times New Roman" w:hAnsi="Times New Roman" w:cs="Times New Roman"/>
                <w:kern w:val="0"/>
                <w:sz w:val="24"/>
                <w:szCs w:val="24"/>
                <w:lang w:eastAsia="tr-TR"/>
                <w14:ligatures w14:val="none"/>
              </w:rPr>
              <w:t>25</w:t>
            </w:r>
            <w:r w:rsidRPr="00497923">
              <w:rPr>
                <w:rFonts w:ascii="Times New Roman" w:eastAsia="Times New Roman" w:hAnsi="Times New Roman" w:cs="Times New Roman"/>
                <w:kern w:val="0"/>
                <w:sz w:val="24"/>
                <w:szCs w:val="24"/>
                <w:lang w:eastAsia="tr-TR"/>
                <w14:ligatures w14:val="none"/>
              </w:rPr>
              <w:t>0</w:t>
            </w:r>
          </w:p>
        </w:tc>
        <w:tc>
          <w:tcPr>
            <w:tcW w:w="4167" w:type="dxa"/>
            <w:tcBorders>
              <w:bottom w:val="single" w:sz="4" w:space="0" w:color="auto"/>
            </w:tcBorders>
            <w:hideMark/>
          </w:tcPr>
          <w:p w14:paraId="33A13865" w14:textId="4D975F58" w:rsidR="00F07370" w:rsidRPr="00497923" w:rsidRDefault="00F07370" w:rsidP="007A5D47">
            <w:pPr>
              <w:spacing w:after="0" w:line="240" w:lineRule="auto"/>
              <w:jc w:val="center"/>
              <w:rPr>
                <w:rFonts w:ascii="Times New Roman" w:eastAsia="Times New Roman" w:hAnsi="Times New Roman" w:cs="Times New Roman"/>
                <w:kern w:val="0"/>
                <w:sz w:val="24"/>
                <w:szCs w:val="24"/>
                <w:lang w:eastAsia="tr-TR"/>
                <w14:ligatures w14:val="none"/>
              </w:rPr>
            </w:pPr>
            <w:r w:rsidRPr="00497923">
              <w:rPr>
                <w:rFonts w:ascii="Times New Roman" w:eastAsia="Times New Roman" w:hAnsi="Times New Roman" w:cs="Times New Roman"/>
                <w:kern w:val="0"/>
                <w:sz w:val="24"/>
                <w:szCs w:val="24"/>
                <w:lang w:eastAsia="tr-TR"/>
                <w14:ligatures w14:val="none"/>
              </w:rPr>
              <w:t>280 (55.9)</w:t>
            </w:r>
          </w:p>
        </w:tc>
      </w:tr>
    </w:tbl>
    <w:p w14:paraId="19D1E4C5" w14:textId="77777777" w:rsidR="00B800B2" w:rsidRDefault="00AB2DBE" w:rsidP="00AB2DBE">
      <w:pPr>
        <w:spacing w:line="480" w:lineRule="auto"/>
        <w:rPr>
          <w:rFonts w:ascii="Times New Roman" w:hAnsi="Times New Roman" w:cs="Times New Roman"/>
        </w:rPr>
        <w:sectPr w:rsidR="00B800B2" w:rsidSect="00B800B2">
          <w:pgSz w:w="11906" w:h="16838"/>
          <w:pgMar w:top="1417" w:right="1417" w:bottom="1417" w:left="1417" w:header="708" w:footer="708" w:gutter="0"/>
          <w:cols w:space="708"/>
          <w:docGrid w:linePitch="360"/>
        </w:sectPr>
      </w:pPr>
      <w:r w:rsidRPr="00497923">
        <w:rPr>
          <w:rFonts w:ascii="Times New Roman" w:hAnsi="Times New Roman" w:cs="Times New Roman"/>
        </w:rPr>
        <w:t>Values are presented as number (n) and percentage (%) or mean ± standard deviation (SD).</w:t>
      </w:r>
    </w:p>
    <w:p w14:paraId="55FD5B8A" w14:textId="77777777" w:rsidR="00283326" w:rsidRPr="00497923" w:rsidRDefault="00283326" w:rsidP="00283326">
      <w:pPr>
        <w:rPr>
          <w:rFonts w:ascii="Times New Roman" w:hAnsi="Times New Roman" w:cs="Times New Roman"/>
          <w:sz w:val="24"/>
          <w:szCs w:val="24"/>
        </w:rPr>
      </w:pPr>
      <w:r w:rsidRPr="00497923">
        <w:rPr>
          <w:rFonts w:ascii="Times New Roman" w:hAnsi="Times New Roman" w:cs="Times New Roman"/>
          <w:b/>
          <w:bCs/>
          <w:sz w:val="20"/>
          <w:szCs w:val="20"/>
        </w:rPr>
        <w:lastRenderedPageBreak/>
        <w:t>Table 2:</w:t>
      </w:r>
      <w:r w:rsidRPr="00497923">
        <w:rPr>
          <w:rFonts w:ascii="Segoe UI" w:hAnsi="Segoe UI" w:cs="Segoe UI"/>
          <w:color w:val="0F1115"/>
          <w:sz w:val="20"/>
          <w:szCs w:val="20"/>
          <w:shd w:val="clear" w:color="auto" w:fill="FFFFFF"/>
        </w:rPr>
        <w:t xml:space="preserve"> </w:t>
      </w:r>
      <w:r w:rsidRPr="00624D8E">
        <w:rPr>
          <w:rFonts w:ascii="Times New Roman" w:hAnsi="Times New Roman" w:cs="Times New Roman"/>
          <w:sz w:val="20"/>
          <w:szCs w:val="20"/>
          <w:highlight w:val="yellow"/>
        </w:rPr>
        <w:t>Knowledge Items and Prespecified Reference Answers Used for Scoring</w:t>
      </w:r>
    </w:p>
    <w:tbl>
      <w:tblPr>
        <w:tblW w:w="14483" w:type="dxa"/>
        <w:shd w:val="clear" w:color="auto" w:fill="FFFFFF"/>
        <w:tblCellMar>
          <w:top w:w="15" w:type="dxa"/>
          <w:left w:w="15" w:type="dxa"/>
          <w:bottom w:w="15" w:type="dxa"/>
          <w:right w:w="15" w:type="dxa"/>
        </w:tblCellMar>
        <w:tblLook w:val="04A0" w:firstRow="1" w:lastRow="0" w:firstColumn="1" w:lastColumn="0" w:noHBand="0" w:noVBand="1"/>
      </w:tblPr>
      <w:tblGrid>
        <w:gridCol w:w="5245"/>
        <w:gridCol w:w="6946"/>
        <w:gridCol w:w="2292"/>
      </w:tblGrid>
      <w:tr w:rsidR="00283326" w:rsidRPr="00497923" w14:paraId="6B83E00C" w14:textId="77777777" w:rsidTr="00732F74">
        <w:trPr>
          <w:trHeight w:val="704"/>
        </w:trPr>
        <w:tc>
          <w:tcPr>
            <w:tcW w:w="5245" w:type="dxa"/>
            <w:tcBorders>
              <w:top w:val="single" w:sz="4" w:space="0" w:color="auto"/>
              <w:bottom w:val="single" w:sz="4" w:space="0" w:color="auto"/>
            </w:tcBorders>
            <w:shd w:val="clear" w:color="auto" w:fill="FFFFFF"/>
            <w:tcMar>
              <w:top w:w="150" w:type="dxa"/>
              <w:left w:w="240" w:type="dxa"/>
              <w:bottom w:w="150" w:type="dxa"/>
              <w:right w:w="240" w:type="dxa"/>
            </w:tcMar>
            <w:vAlign w:val="center"/>
          </w:tcPr>
          <w:p w14:paraId="73AD94A5"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Question</w:t>
            </w:r>
          </w:p>
        </w:tc>
        <w:tc>
          <w:tcPr>
            <w:tcW w:w="6946" w:type="dxa"/>
            <w:tcBorders>
              <w:top w:val="single" w:sz="4" w:space="0" w:color="auto"/>
              <w:bottom w:val="single" w:sz="4" w:space="0" w:color="auto"/>
            </w:tcBorders>
            <w:shd w:val="clear" w:color="auto" w:fill="FFFFFF"/>
            <w:tcMar>
              <w:top w:w="150" w:type="dxa"/>
              <w:left w:w="240" w:type="dxa"/>
              <w:bottom w:w="150" w:type="dxa"/>
              <w:right w:w="240" w:type="dxa"/>
            </w:tcMar>
            <w:vAlign w:val="center"/>
          </w:tcPr>
          <w:p w14:paraId="652C8423" w14:textId="77777777" w:rsidR="00283326" w:rsidRPr="00497923" w:rsidRDefault="00283326" w:rsidP="00732F74">
            <w:pPr>
              <w:spacing w:line="240" w:lineRule="auto"/>
              <w:rPr>
                <w:rFonts w:ascii="Times New Roman" w:hAnsi="Times New Roman" w:cs="Times New Roman"/>
                <w:b/>
                <w:bCs/>
                <w:sz w:val="20"/>
                <w:szCs w:val="20"/>
              </w:rPr>
            </w:pPr>
            <w:r w:rsidRPr="00624D8E">
              <w:rPr>
                <w:rFonts w:ascii="Times New Roman" w:hAnsi="Times New Roman" w:cs="Times New Roman"/>
                <w:b/>
                <w:bCs/>
                <w:sz w:val="20"/>
                <w:szCs w:val="20"/>
                <w:highlight w:val="yellow"/>
              </w:rPr>
              <w:t>Prespecified Reference Answer</w:t>
            </w:r>
          </w:p>
        </w:tc>
        <w:tc>
          <w:tcPr>
            <w:tcW w:w="2292" w:type="dxa"/>
            <w:tcBorders>
              <w:top w:val="single" w:sz="4" w:space="0" w:color="auto"/>
              <w:bottom w:val="single" w:sz="4" w:space="0" w:color="auto"/>
            </w:tcBorders>
            <w:shd w:val="clear" w:color="auto" w:fill="FFFFFF"/>
            <w:tcMar>
              <w:top w:w="150" w:type="dxa"/>
              <w:left w:w="240" w:type="dxa"/>
              <w:bottom w:w="150" w:type="dxa"/>
              <w:right w:w="0" w:type="dxa"/>
            </w:tcMar>
            <w:vAlign w:val="center"/>
          </w:tcPr>
          <w:p w14:paraId="77D618D7"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n (%)</w:t>
            </w:r>
          </w:p>
        </w:tc>
      </w:tr>
      <w:tr w:rsidR="00283326" w:rsidRPr="00497923" w14:paraId="6CA3C36A" w14:textId="77777777" w:rsidTr="00732F74">
        <w:trPr>
          <w:trHeight w:val="704"/>
        </w:trPr>
        <w:tc>
          <w:tcPr>
            <w:tcW w:w="5245" w:type="dxa"/>
            <w:tcBorders>
              <w:top w:val="single" w:sz="4" w:space="0" w:color="auto"/>
            </w:tcBorders>
            <w:shd w:val="clear" w:color="auto" w:fill="FFFFFF"/>
            <w:tcMar>
              <w:top w:w="150" w:type="dxa"/>
              <w:left w:w="240" w:type="dxa"/>
              <w:bottom w:w="150" w:type="dxa"/>
              <w:right w:w="240" w:type="dxa"/>
            </w:tcMar>
            <w:vAlign w:val="center"/>
            <w:hideMark/>
          </w:tcPr>
          <w:p w14:paraId="3D371496"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What is the fundamental preparation-related difference between PRF and first-generation platelet concentrates such as PRP?</w:t>
            </w:r>
          </w:p>
        </w:tc>
        <w:tc>
          <w:tcPr>
            <w:tcW w:w="6946" w:type="dxa"/>
            <w:tcBorders>
              <w:top w:val="single" w:sz="4" w:space="0" w:color="auto"/>
            </w:tcBorders>
            <w:shd w:val="clear" w:color="auto" w:fill="FFFFFF"/>
            <w:tcMar>
              <w:top w:w="150" w:type="dxa"/>
              <w:left w:w="240" w:type="dxa"/>
              <w:bottom w:w="150" w:type="dxa"/>
              <w:right w:w="240" w:type="dxa"/>
            </w:tcMar>
            <w:vAlign w:val="center"/>
            <w:hideMark/>
          </w:tcPr>
          <w:p w14:paraId="051D8B73" w14:textId="77777777" w:rsidR="00283326" w:rsidRPr="00497923" w:rsidRDefault="00283326" w:rsidP="00732F74">
            <w:pPr>
              <w:spacing w:line="240" w:lineRule="auto"/>
              <w:rPr>
                <w:rFonts w:ascii="Times New Roman" w:hAnsi="Times New Roman" w:cs="Times New Roman"/>
                <w:sz w:val="20"/>
                <w:szCs w:val="20"/>
              </w:rPr>
            </w:pPr>
            <w:r w:rsidRPr="00497923">
              <w:rPr>
                <w:rFonts w:ascii="Times New Roman" w:hAnsi="Times New Roman" w:cs="Times New Roman"/>
                <w:sz w:val="20"/>
                <w:szCs w:val="20"/>
              </w:rPr>
              <w:t>One-step preparation without the use of anticoagulants</w:t>
            </w:r>
          </w:p>
        </w:tc>
        <w:tc>
          <w:tcPr>
            <w:tcW w:w="2292" w:type="dxa"/>
            <w:tcBorders>
              <w:top w:val="single" w:sz="4" w:space="0" w:color="auto"/>
            </w:tcBorders>
            <w:shd w:val="clear" w:color="auto" w:fill="FFFFFF"/>
            <w:tcMar>
              <w:top w:w="150" w:type="dxa"/>
              <w:left w:w="240" w:type="dxa"/>
              <w:bottom w:w="150" w:type="dxa"/>
              <w:right w:w="0" w:type="dxa"/>
            </w:tcMar>
            <w:vAlign w:val="center"/>
            <w:hideMark/>
          </w:tcPr>
          <w:p w14:paraId="597B5CCB"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276 (55.1)</w:t>
            </w:r>
          </w:p>
        </w:tc>
      </w:tr>
      <w:tr w:rsidR="00283326" w:rsidRPr="00497923" w14:paraId="65B3DE21" w14:textId="77777777" w:rsidTr="00732F74">
        <w:trPr>
          <w:trHeight w:val="704"/>
        </w:trPr>
        <w:tc>
          <w:tcPr>
            <w:tcW w:w="5245" w:type="dxa"/>
            <w:shd w:val="clear" w:color="auto" w:fill="FFFFFF"/>
            <w:tcMar>
              <w:top w:w="150" w:type="dxa"/>
              <w:left w:w="240" w:type="dxa"/>
              <w:bottom w:w="150" w:type="dxa"/>
              <w:right w:w="240" w:type="dxa"/>
            </w:tcMar>
            <w:vAlign w:val="center"/>
            <w:hideMark/>
          </w:tcPr>
          <w:p w14:paraId="618CBA62"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Which class of biological product does PRF belong to?</w:t>
            </w:r>
          </w:p>
        </w:tc>
        <w:tc>
          <w:tcPr>
            <w:tcW w:w="6946" w:type="dxa"/>
            <w:shd w:val="clear" w:color="auto" w:fill="FFFFFF"/>
            <w:tcMar>
              <w:top w:w="150" w:type="dxa"/>
              <w:left w:w="240" w:type="dxa"/>
              <w:bottom w:w="150" w:type="dxa"/>
              <w:right w:w="240" w:type="dxa"/>
            </w:tcMar>
            <w:vAlign w:val="center"/>
            <w:hideMark/>
          </w:tcPr>
          <w:p w14:paraId="6ED72B9F" w14:textId="77777777" w:rsidR="00283326" w:rsidRPr="00497923" w:rsidRDefault="00283326" w:rsidP="00732F74">
            <w:pPr>
              <w:spacing w:line="240" w:lineRule="auto"/>
              <w:rPr>
                <w:rFonts w:ascii="Times New Roman" w:hAnsi="Times New Roman" w:cs="Times New Roman"/>
                <w:sz w:val="20"/>
                <w:szCs w:val="20"/>
              </w:rPr>
            </w:pPr>
            <w:r w:rsidRPr="00497923">
              <w:rPr>
                <w:rFonts w:ascii="Times New Roman" w:hAnsi="Times New Roman" w:cs="Times New Roman"/>
                <w:sz w:val="20"/>
                <w:szCs w:val="20"/>
              </w:rPr>
              <w:t>Autologous clot containing platelets and leukocytes within a fibrin matrix</w:t>
            </w:r>
          </w:p>
        </w:tc>
        <w:tc>
          <w:tcPr>
            <w:tcW w:w="2292" w:type="dxa"/>
            <w:shd w:val="clear" w:color="auto" w:fill="FFFFFF"/>
            <w:tcMar>
              <w:top w:w="150" w:type="dxa"/>
              <w:left w:w="240" w:type="dxa"/>
              <w:bottom w:w="150" w:type="dxa"/>
              <w:right w:w="0" w:type="dxa"/>
            </w:tcMar>
            <w:vAlign w:val="center"/>
            <w:hideMark/>
          </w:tcPr>
          <w:p w14:paraId="4FB173CA"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265 (52.9)</w:t>
            </w:r>
          </w:p>
        </w:tc>
      </w:tr>
      <w:tr w:rsidR="00283326" w:rsidRPr="00497923" w14:paraId="604EC347" w14:textId="77777777" w:rsidTr="00732F74">
        <w:trPr>
          <w:trHeight w:val="692"/>
        </w:trPr>
        <w:tc>
          <w:tcPr>
            <w:tcW w:w="5245" w:type="dxa"/>
            <w:shd w:val="clear" w:color="auto" w:fill="FFFFFF"/>
            <w:tcMar>
              <w:top w:w="150" w:type="dxa"/>
              <w:left w:w="240" w:type="dxa"/>
              <w:bottom w:w="150" w:type="dxa"/>
              <w:right w:w="240" w:type="dxa"/>
            </w:tcMar>
            <w:vAlign w:val="center"/>
            <w:hideMark/>
          </w:tcPr>
          <w:p w14:paraId="405D7859" w14:textId="77777777" w:rsidR="00283326" w:rsidRPr="00497923" w:rsidRDefault="00283326" w:rsidP="00732F74">
            <w:pPr>
              <w:spacing w:line="240" w:lineRule="auto"/>
              <w:rPr>
                <w:rFonts w:ascii="Times New Roman" w:hAnsi="Times New Roman" w:cs="Times New Roman"/>
                <w:b/>
                <w:bCs/>
                <w:sz w:val="20"/>
                <w:szCs w:val="20"/>
              </w:rPr>
            </w:pPr>
          </w:p>
          <w:p w14:paraId="5CDEB86F"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Which type of tube is classically recommended for L-PRF preparation?</w:t>
            </w:r>
          </w:p>
          <w:p w14:paraId="67566CD0" w14:textId="77777777" w:rsidR="00283326" w:rsidRPr="00497923" w:rsidRDefault="00283326" w:rsidP="00732F74">
            <w:pPr>
              <w:spacing w:line="240" w:lineRule="auto"/>
              <w:rPr>
                <w:rFonts w:ascii="Times New Roman" w:hAnsi="Times New Roman" w:cs="Times New Roman"/>
                <w:b/>
                <w:bCs/>
                <w:sz w:val="20"/>
                <w:szCs w:val="20"/>
              </w:rPr>
            </w:pPr>
          </w:p>
        </w:tc>
        <w:tc>
          <w:tcPr>
            <w:tcW w:w="6946" w:type="dxa"/>
            <w:shd w:val="clear" w:color="auto" w:fill="FFFFFF"/>
            <w:tcMar>
              <w:top w:w="150" w:type="dxa"/>
              <w:left w:w="240" w:type="dxa"/>
              <w:bottom w:w="150" w:type="dxa"/>
              <w:right w:w="240" w:type="dxa"/>
            </w:tcMar>
            <w:vAlign w:val="center"/>
            <w:hideMark/>
          </w:tcPr>
          <w:p w14:paraId="79995661" w14:textId="77777777" w:rsidR="00283326" w:rsidRPr="00497923" w:rsidRDefault="00283326" w:rsidP="00732F74">
            <w:pPr>
              <w:spacing w:line="240" w:lineRule="auto"/>
              <w:rPr>
                <w:rFonts w:ascii="Times New Roman" w:hAnsi="Times New Roman" w:cs="Times New Roman"/>
                <w:sz w:val="20"/>
                <w:szCs w:val="20"/>
              </w:rPr>
            </w:pPr>
            <w:r w:rsidRPr="00497923">
              <w:rPr>
                <w:rFonts w:ascii="Times New Roman" w:hAnsi="Times New Roman" w:cs="Times New Roman"/>
                <w:sz w:val="20"/>
                <w:szCs w:val="20"/>
              </w:rPr>
              <w:t>Glass or glass-coated tubes without added anticoagulants</w:t>
            </w:r>
          </w:p>
        </w:tc>
        <w:tc>
          <w:tcPr>
            <w:tcW w:w="2292" w:type="dxa"/>
            <w:shd w:val="clear" w:color="auto" w:fill="FFFFFF"/>
            <w:tcMar>
              <w:top w:w="150" w:type="dxa"/>
              <w:left w:w="240" w:type="dxa"/>
              <w:bottom w:w="150" w:type="dxa"/>
              <w:right w:w="0" w:type="dxa"/>
            </w:tcMar>
            <w:vAlign w:val="center"/>
            <w:hideMark/>
          </w:tcPr>
          <w:p w14:paraId="0A93B9E2"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250 (49.9)</w:t>
            </w:r>
          </w:p>
        </w:tc>
      </w:tr>
      <w:tr w:rsidR="00283326" w:rsidRPr="00497923" w14:paraId="7B22FC22" w14:textId="77777777" w:rsidTr="00732F74">
        <w:trPr>
          <w:trHeight w:val="704"/>
        </w:trPr>
        <w:tc>
          <w:tcPr>
            <w:tcW w:w="5245" w:type="dxa"/>
            <w:shd w:val="clear" w:color="auto" w:fill="FFFFFF"/>
            <w:tcMar>
              <w:top w:w="150" w:type="dxa"/>
              <w:left w:w="240" w:type="dxa"/>
              <w:bottom w:w="150" w:type="dxa"/>
              <w:right w:w="240" w:type="dxa"/>
            </w:tcMar>
            <w:vAlign w:val="center"/>
            <w:hideMark/>
          </w:tcPr>
          <w:p w14:paraId="48A67321"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 xml:space="preserve">Which centrifugation setting is classically associated with the original </w:t>
            </w:r>
            <w:proofErr w:type="spellStart"/>
            <w:r w:rsidRPr="00497923">
              <w:rPr>
                <w:rFonts w:ascii="Times New Roman" w:hAnsi="Times New Roman" w:cs="Times New Roman"/>
                <w:b/>
                <w:bCs/>
                <w:sz w:val="20"/>
                <w:szCs w:val="20"/>
              </w:rPr>
              <w:t>Choukroun</w:t>
            </w:r>
            <w:proofErr w:type="spellEnd"/>
            <w:r w:rsidRPr="00497923">
              <w:rPr>
                <w:rFonts w:ascii="Times New Roman" w:hAnsi="Times New Roman" w:cs="Times New Roman"/>
                <w:b/>
                <w:bCs/>
                <w:sz w:val="20"/>
                <w:szCs w:val="20"/>
              </w:rPr>
              <w:t xml:space="preserve"> L-PRF protocol?</w:t>
            </w:r>
          </w:p>
        </w:tc>
        <w:tc>
          <w:tcPr>
            <w:tcW w:w="6946" w:type="dxa"/>
            <w:shd w:val="clear" w:color="auto" w:fill="FFFFFF"/>
            <w:tcMar>
              <w:top w:w="150" w:type="dxa"/>
              <w:left w:w="240" w:type="dxa"/>
              <w:bottom w:w="150" w:type="dxa"/>
              <w:right w:w="240" w:type="dxa"/>
            </w:tcMar>
            <w:vAlign w:val="center"/>
            <w:hideMark/>
          </w:tcPr>
          <w:p w14:paraId="349B87E4" w14:textId="77777777" w:rsidR="00283326" w:rsidRPr="00497923" w:rsidRDefault="00283326" w:rsidP="00732F74">
            <w:pPr>
              <w:spacing w:line="240" w:lineRule="auto"/>
              <w:rPr>
                <w:rFonts w:ascii="Times New Roman" w:hAnsi="Times New Roman" w:cs="Times New Roman"/>
                <w:sz w:val="20"/>
                <w:szCs w:val="20"/>
              </w:rPr>
            </w:pPr>
            <w:r w:rsidRPr="00497923">
              <w:rPr>
                <w:rFonts w:ascii="Times New Roman" w:hAnsi="Times New Roman" w:cs="Times New Roman"/>
                <w:sz w:val="20"/>
                <w:szCs w:val="20"/>
              </w:rPr>
              <w:t>Approximately 2700 rpm for 12 minutes</w:t>
            </w:r>
          </w:p>
          <w:p w14:paraId="4DB8F392" w14:textId="77777777" w:rsidR="00283326" w:rsidRPr="00497923" w:rsidRDefault="00283326" w:rsidP="00732F74">
            <w:pPr>
              <w:spacing w:line="240" w:lineRule="auto"/>
              <w:rPr>
                <w:rFonts w:ascii="Times New Roman" w:hAnsi="Times New Roman" w:cs="Times New Roman"/>
                <w:sz w:val="20"/>
                <w:szCs w:val="20"/>
              </w:rPr>
            </w:pPr>
          </w:p>
        </w:tc>
        <w:tc>
          <w:tcPr>
            <w:tcW w:w="2292" w:type="dxa"/>
            <w:shd w:val="clear" w:color="auto" w:fill="FFFFFF"/>
            <w:tcMar>
              <w:top w:w="150" w:type="dxa"/>
              <w:left w:w="240" w:type="dxa"/>
              <w:bottom w:w="150" w:type="dxa"/>
              <w:right w:w="0" w:type="dxa"/>
            </w:tcMar>
            <w:vAlign w:val="center"/>
            <w:hideMark/>
          </w:tcPr>
          <w:p w14:paraId="4B64F54A"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306 (61.1)</w:t>
            </w:r>
          </w:p>
        </w:tc>
      </w:tr>
      <w:tr w:rsidR="00283326" w:rsidRPr="00497923" w14:paraId="2A586FEA" w14:textId="77777777" w:rsidTr="00732F74">
        <w:trPr>
          <w:trHeight w:val="704"/>
        </w:trPr>
        <w:tc>
          <w:tcPr>
            <w:tcW w:w="5245" w:type="dxa"/>
            <w:shd w:val="clear" w:color="auto" w:fill="FFFFFF"/>
            <w:tcMar>
              <w:top w:w="150" w:type="dxa"/>
              <w:left w:w="240" w:type="dxa"/>
              <w:bottom w:w="150" w:type="dxa"/>
              <w:right w:w="240" w:type="dxa"/>
            </w:tcMar>
            <w:vAlign w:val="center"/>
            <w:hideMark/>
          </w:tcPr>
          <w:p w14:paraId="082FA5E8"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What is the primary rationale for avoiding anticoagulants during L-PRF preparation?</w:t>
            </w:r>
          </w:p>
        </w:tc>
        <w:tc>
          <w:tcPr>
            <w:tcW w:w="6946" w:type="dxa"/>
            <w:shd w:val="clear" w:color="auto" w:fill="FFFFFF"/>
            <w:tcMar>
              <w:top w:w="150" w:type="dxa"/>
              <w:left w:w="240" w:type="dxa"/>
              <w:bottom w:w="150" w:type="dxa"/>
              <w:right w:w="240" w:type="dxa"/>
            </w:tcMar>
            <w:vAlign w:val="center"/>
            <w:hideMark/>
          </w:tcPr>
          <w:p w14:paraId="26FC6B02" w14:textId="77777777" w:rsidR="00283326" w:rsidRPr="00497923" w:rsidRDefault="00283326" w:rsidP="00732F74">
            <w:pPr>
              <w:spacing w:line="240" w:lineRule="auto"/>
              <w:rPr>
                <w:rFonts w:ascii="Times New Roman" w:hAnsi="Times New Roman" w:cs="Times New Roman"/>
                <w:sz w:val="20"/>
                <w:szCs w:val="20"/>
              </w:rPr>
            </w:pPr>
            <w:r w:rsidRPr="00497923">
              <w:rPr>
                <w:rFonts w:ascii="Times New Roman" w:hAnsi="Times New Roman" w:cs="Times New Roman"/>
                <w:sz w:val="20"/>
                <w:szCs w:val="20"/>
              </w:rPr>
              <w:t>Allowing natural fibrin polymerization</w:t>
            </w:r>
          </w:p>
        </w:tc>
        <w:tc>
          <w:tcPr>
            <w:tcW w:w="2292" w:type="dxa"/>
            <w:shd w:val="clear" w:color="auto" w:fill="FFFFFF"/>
            <w:tcMar>
              <w:top w:w="150" w:type="dxa"/>
              <w:left w:w="240" w:type="dxa"/>
              <w:bottom w:w="150" w:type="dxa"/>
              <w:right w:w="0" w:type="dxa"/>
            </w:tcMar>
            <w:vAlign w:val="center"/>
            <w:hideMark/>
          </w:tcPr>
          <w:p w14:paraId="3CA1E845"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231 (46.1)</w:t>
            </w:r>
          </w:p>
        </w:tc>
      </w:tr>
      <w:tr w:rsidR="00283326" w:rsidRPr="00497923" w14:paraId="00CF67D4" w14:textId="77777777" w:rsidTr="00732F74">
        <w:trPr>
          <w:trHeight w:val="692"/>
        </w:trPr>
        <w:tc>
          <w:tcPr>
            <w:tcW w:w="5245" w:type="dxa"/>
            <w:shd w:val="clear" w:color="auto" w:fill="FFFFFF"/>
            <w:tcMar>
              <w:top w:w="150" w:type="dxa"/>
              <w:left w:w="240" w:type="dxa"/>
              <w:bottom w:w="150" w:type="dxa"/>
              <w:right w:w="240" w:type="dxa"/>
            </w:tcMar>
            <w:vAlign w:val="center"/>
            <w:hideMark/>
          </w:tcPr>
          <w:p w14:paraId="1DCA3D79"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What is the principal difference between the A-PRF and L-PRF protocols?</w:t>
            </w:r>
          </w:p>
        </w:tc>
        <w:tc>
          <w:tcPr>
            <w:tcW w:w="6946" w:type="dxa"/>
            <w:shd w:val="clear" w:color="auto" w:fill="FFFFFF"/>
            <w:tcMar>
              <w:top w:w="150" w:type="dxa"/>
              <w:left w:w="240" w:type="dxa"/>
              <w:bottom w:w="150" w:type="dxa"/>
              <w:right w:w="240" w:type="dxa"/>
            </w:tcMar>
            <w:vAlign w:val="center"/>
            <w:hideMark/>
          </w:tcPr>
          <w:p w14:paraId="72A52026" w14:textId="77777777" w:rsidR="00283326" w:rsidRPr="00497923" w:rsidRDefault="00283326" w:rsidP="00732F74">
            <w:pPr>
              <w:spacing w:line="240" w:lineRule="auto"/>
              <w:rPr>
                <w:rFonts w:ascii="Times New Roman" w:hAnsi="Times New Roman" w:cs="Times New Roman"/>
                <w:sz w:val="20"/>
                <w:szCs w:val="20"/>
              </w:rPr>
            </w:pPr>
            <w:r w:rsidRPr="00497923">
              <w:rPr>
                <w:rFonts w:ascii="Times New Roman" w:hAnsi="Times New Roman" w:cs="Times New Roman"/>
                <w:sz w:val="20"/>
                <w:szCs w:val="20"/>
              </w:rPr>
              <w:t>A-PRF is prepared using lower centrifugation speeds and longer centrifugation times</w:t>
            </w:r>
          </w:p>
        </w:tc>
        <w:tc>
          <w:tcPr>
            <w:tcW w:w="2292" w:type="dxa"/>
            <w:shd w:val="clear" w:color="auto" w:fill="FFFFFF"/>
            <w:tcMar>
              <w:top w:w="150" w:type="dxa"/>
              <w:left w:w="240" w:type="dxa"/>
              <w:bottom w:w="150" w:type="dxa"/>
              <w:right w:w="0" w:type="dxa"/>
            </w:tcMar>
            <w:vAlign w:val="center"/>
            <w:hideMark/>
          </w:tcPr>
          <w:p w14:paraId="43CF3FCD"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290 (57.9)</w:t>
            </w:r>
          </w:p>
        </w:tc>
      </w:tr>
      <w:tr w:rsidR="00283326" w:rsidRPr="00497923" w14:paraId="6C8812BD" w14:textId="77777777" w:rsidTr="00732F74">
        <w:trPr>
          <w:trHeight w:val="704"/>
        </w:trPr>
        <w:tc>
          <w:tcPr>
            <w:tcW w:w="5245" w:type="dxa"/>
            <w:shd w:val="clear" w:color="auto" w:fill="FFFFFF"/>
            <w:tcMar>
              <w:top w:w="150" w:type="dxa"/>
              <w:left w:w="240" w:type="dxa"/>
              <w:bottom w:w="150" w:type="dxa"/>
              <w:right w:w="240" w:type="dxa"/>
            </w:tcMar>
            <w:vAlign w:val="center"/>
            <w:hideMark/>
          </w:tcPr>
          <w:p w14:paraId="2FCEE704"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What is the main effect of lower centrifugation speed on the cellular distribution within A-PRF?</w:t>
            </w:r>
          </w:p>
        </w:tc>
        <w:tc>
          <w:tcPr>
            <w:tcW w:w="6946" w:type="dxa"/>
            <w:shd w:val="clear" w:color="auto" w:fill="FFFFFF"/>
            <w:tcMar>
              <w:top w:w="150" w:type="dxa"/>
              <w:left w:w="240" w:type="dxa"/>
              <w:bottom w:w="150" w:type="dxa"/>
              <w:right w:w="240" w:type="dxa"/>
            </w:tcMar>
            <w:vAlign w:val="center"/>
            <w:hideMark/>
          </w:tcPr>
          <w:p w14:paraId="2F81445F" w14:textId="77777777" w:rsidR="00283326" w:rsidRPr="00497923" w:rsidRDefault="00283326" w:rsidP="00732F74">
            <w:pPr>
              <w:spacing w:line="240" w:lineRule="auto"/>
              <w:rPr>
                <w:rFonts w:ascii="Times New Roman" w:hAnsi="Times New Roman" w:cs="Times New Roman"/>
                <w:sz w:val="20"/>
                <w:szCs w:val="20"/>
              </w:rPr>
            </w:pPr>
            <w:r w:rsidRPr="00497923">
              <w:rPr>
                <w:rFonts w:ascii="Times New Roman" w:hAnsi="Times New Roman" w:cs="Times New Roman"/>
                <w:sz w:val="20"/>
                <w:szCs w:val="20"/>
              </w:rPr>
              <w:t>A more homogeneous distribution of leukocytes and platelets within the fibrin matrix</w:t>
            </w:r>
          </w:p>
        </w:tc>
        <w:tc>
          <w:tcPr>
            <w:tcW w:w="2292" w:type="dxa"/>
            <w:shd w:val="clear" w:color="auto" w:fill="FFFFFF"/>
            <w:tcMar>
              <w:top w:w="150" w:type="dxa"/>
              <w:left w:w="240" w:type="dxa"/>
              <w:bottom w:w="150" w:type="dxa"/>
              <w:right w:w="0" w:type="dxa"/>
            </w:tcMar>
            <w:vAlign w:val="center"/>
            <w:hideMark/>
          </w:tcPr>
          <w:p w14:paraId="0D28AD2B"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204 (40.7)</w:t>
            </w:r>
          </w:p>
        </w:tc>
      </w:tr>
      <w:tr w:rsidR="00283326" w:rsidRPr="00497923" w14:paraId="7371CB35" w14:textId="77777777" w:rsidTr="00732F74">
        <w:trPr>
          <w:trHeight w:val="704"/>
        </w:trPr>
        <w:tc>
          <w:tcPr>
            <w:tcW w:w="5245" w:type="dxa"/>
            <w:shd w:val="clear" w:color="auto" w:fill="FFFFFF"/>
            <w:tcMar>
              <w:top w:w="150" w:type="dxa"/>
              <w:left w:w="240" w:type="dxa"/>
              <w:bottom w:w="150" w:type="dxa"/>
              <w:right w:w="240" w:type="dxa"/>
            </w:tcMar>
            <w:vAlign w:val="center"/>
            <w:hideMark/>
          </w:tcPr>
          <w:p w14:paraId="3B43C320"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lastRenderedPageBreak/>
              <w:t>Which of the following is the key feature that enhances the biological activity of A-PRF?</w:t>
            </w:r>
          </w:p>
        </w:tc>
        <w:tc>
          <w:tcPr>
            <w:tcW w:w="6946" w:type="dxa"/>
            <w:shd w:val="clear" w:color="auto" w:fill="FFFFFF"/>
            <w:tcMar>
              <w:top w:w="150" w:type="dxa"/>
              <w:left w:w="240" w:type="dxa"/>
              <w:bottom w:w="150" w:type="dxa"/>
              <w:right w:w="240" w:type="dxa"/>
            </w:tcMar>
            <w:vAlign w:val="center"/>
            <w:hideMark/>
          </w:tcPr>
          <w:p w14:paraId="31A1786B" w14:textId="77777777" w:rsidR="00283326" w:rsidRPr="00497923" w:rsidRDefault="00283326" w:rsidP="00732F74">
            <w:pPr>
              <w:spacing w:line="240" w:lineRule="auto"/>
              <w:rPr>
                <w:rFonts w:ascii="Times New Roman" w:hAnsi="Times New Roman" w:cs="Times New Roman"/>
                <w:sz w:val="20"/>
                <w:szCs w:val="20"/>
              </w:rPr>
            </w:pPr>
            <w:r w:rsidRPr="00497923">
              <w:rPr>
                <w:rFonts w:ascii="Times New Roman" w:hAnsi="Times New Roman" w:cs="Times New Roman"/>
                <w:sz w:val="20"/>
                <w:szCs w:val="20"/>
              </w:rPr>
              <w:t>Its prolonged and gradual release of growth factors</w:t>
            </w:r>
          </w:p>
        </w:tc>
        <w:tc>
          <w:tcPr>
            <w:tcW w:w="2292" w:type="dxa"/>
            <w:shd w:val="clear" w:color="auto" w:fill="FFFFFF"/>
            <w:tcMar>
              <w:top w:w="150" w:type="dxa"/>
              <w:left w:w="240" w:type="dxa"/>
              <w:bottom w:w="150" w:type="dxa"/>
              <w:right w:w="0" w:type="dxa"/>
            </w:tcMar>
            <w:vAlign w:val="center"/>
            <w:hideMark/>
          </w:tcPr>
          <w:p w14:paraId="1A9579E3"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180 (35.9)</w:t>
            </w:r>
          </w:p>
        </w:tc>
      </w:tr>
      <w:tr w:rsidR="00283326" w:rsidRPr="00497923" w14:paraId="00F8B8DE" w14:textId="77777777" w:rsidTr="00732F74">
        <w:trPr>
          <w:trHeight w:val="692"/>
        </w:trPr>
        <w:tc>
          <w:tcPr>
            <w:tcW w:w="5245" w:type="dxa"/>
            <w:shd w:val="clear" w:color="auto" w:fill="FFFFFF"/>
            <w:tcMar>
              <w:top w:w="150" w:type="dxa"/>
              <w:left w:w="240" w:type="dxa"/>
              <w:bottom w:w="150" w:type="dxa"/>
              <w:right w:w="240" w:type="dxa"/>
            </w:tcMar>
            <w:vAlign w:val="center"/>
            <w:hideMark/>
          </w:tcPr>
          <w:p w14:paraId="6F8DB6F9" w14:textId="77777777" w:rsidR="00283326" w:rsidRPr="00497923" w:rsidRDefault="00283326" w:rsidP="00732F74">
            <w:pPr>
              <w:spacing w:line="240" w:lineRule="auto"/>
              <w:rPr>
                <w:rFonts w:ascii="Times New Roman" w:hAnsi="Times New Roman" w:cs="Times New Roman"/>
                <w:b/>
                <w:bCs/>
                <w:sz w:val="20"/>
                <w:szCs w:val="20"/>
              </w:rPr>
            </w:pPr>
          </w:p>
          <w:p w14:paraId="2AB15F13"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How is the fibrin architecture of A-PRF+ best described?</w:t>
            </w:r>
          </w:p>
          <w:p w14:paraId="7199360A" w14:textId="77777777" w:rsidR="00283326" w:rsidRPr="00497923" w:rsidRDefault="00283326" w:rsidP="00732F74">
            <w:pPr>
              <w:spacing w:line="240" w:lineRule="auto"/>
              <w:rPr>
                <w:rFonts w:ascii="Times New Roman" w:hAnsi="Times New Roman" w:cs="Times New Roman"/>
                <w:b/>
                <w:bCs/>
                <w:sz w:val="20"/>
                <w:szCs w:val="20"/>
              </w:rPr>
            </w:pPr>
          </w:p>
        </w:tc>
        <w:tc>
          <w:tcPr>
            <w:tcW w:w="6946" w:type="dxa"/>
            <w:shd w:val="clear" w:color="auto" w:fill="FFFFFF"/>
            <w:tcMar>
              <w:top w:w="150" w:type="dxa"/>
              <w:left w:w="240" w:type="dxa"/>
              <w:bottom w:w="150" w:type="dxa"/>
              <w:right w:w="240" w:type="dxa"/>
            </w:tcMar>
            <w:vAlign w:val="center"/>
            <w:hideMark/>
          </w:tcPr>
          <w:p w14:paraId="1DBB0B2E" w14:textId="77777777" w:rsidR="00283326" w:rsidRPr="00497923" w:rsidRDefault="00283326" w:rsidP="00732F74">
            <w:pPr>
              <w:spacing w:line="240" w:lineRule="auto"/>
              <w:rPr>
                <w:rFonts w:ascii="Times New Roman" w:hAnsi="Times New Roman" w:cs="Times New Roman"/>
                <w:sz w:val="20"/>
                <w:szCs w:val="20"/>
              </w:rPr>
            </w:pPr>
            <w:r w:rsidRPr="00497923">
              <w:rPr>
                <w:rFonts w:ascii="Times New Roman" w:hAnsi="Times New Roman" w:cs="Times New Roman"/>
                <w:sz w:val="20"/>
                <w:szCs w:val="20"/>
              </w:rPr>
              <w:t>A loose, three-dimensional fibrin meshwork</w:t>
            </w:r>
          </w:p>
        </w:tc>
        <w:tc>
          <w:tcPr>
            <w:tcW w:w="2292" w:type="dxa"/>
            <w:shd w:val="clear" w:color="auto" w:fill="FFFFFF"/>
            <w:tcMar>
              <w:top w:w="150" w:type="dxa"/>
              <w:left w:w="240" w:type="dxa"/>
              <w:bottom w:w="150" w:type="dxa"/>
              <w:right w:w="0" w:type="dxa"/>
            </w:tcMar>
            <w:vAlign w:val="center"/>
            <w:hideMark/>
          </w:tcPr>
          <w:p w14:paraId="2BA8ACC5"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158 (31.5)</w:t>
            </w:r>
          </w:p>
        </w:tc>
      </w:tr>
      <w:tr w:rsidR="00283326" w:rsidRPr="00497923" w14:paraId="7EDA3DB5" w14:textId="77777777" w:rsidTr="00732F74">
        <w:trPr>
          <w:trHeight w:val="704"/>
        </w:trPr>
        <w:tc>
          <w:tcPr>
            <w:tcW w:w="5245" w:type="dxa"/>
            <w:shd w:val="clear" w:color="auto" w:fill="FFFFFF"/>
            <w:tcMar>
              <w:top w:w="150" w:type="dxa"/>
              <w:left w:w="240" w:type="dxa"/>
              <w:bottom w:w="150" w:type="dxa"/>
              <w:right w:w="240" w:type="dxa"/>
            </w:tcMar>
            <w:vAlign w:val="center"/>
            <w:hideMark/>
          </w:tcPr>
          <w:p w14:paraId="60D8D212"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Which clinical application is most commonly associated with A-PRF+?</w:t>
            </w:r>
          </w:p>
        </w:tc>
        <w:tc>
          <w:tcPr>
            <w:tcW w:w="6946" w:type="dxa"/>
            <w:shd w:val="clear" w:color="auto" w:fill="FFFFFF"/>
            <w:tcMar>
              <w:top w:w="150" w:type="dxa"/>
              <w:left w:w="240" w:type="dxa"/>
              <w:bottom w:w="150" w:type="dxa"/>
              <w:right w:w="240" w:type="dxa"/>
            </w:tcMar>
            <w:vAlign w:val="center"/>
            <w:hideMark/>
          </w:tcPr>
          <w:p w14:paraId="78FFE9EF" w14:textId="77777777" w:rsidR="00283326" w:rsidRPr="00497923" w:rsidRDefault="00283326" w:rsidP="00732F74">
            <w:pPr>
              <w:spacing w:line="240" w:lineRule="auto"/>
              <w:rPr>
                <w:rFonts w:ascii="Times New Roman" w:hAnsi="Times New Roman" w:cs="Times New Roman"/>
                <w:sz w:val="20"/>
                <w:szCs w:val="20"/>
              </w:rPr>
            </w:pPr>
            <w:r w:rsidRPr="00497923">
              <w:rPr>
                <w:rFonts w:ascii="Times New Roman" w:hAnsi="Times New Roman" w:cs="Times New Roman"/>
                <w:sz w:val="20"/>
                <w:szCs w:val="20"/>
              </w:rPr>
              <w:t>Enhancing soft tissue healing</w:t>
            </w:r>
          </w:p>
        </w:tc>
        <w:tc>
          <w:tcPr>
            <w:tcW w:w="2292" w:type="dxa"/>
            <w:shd w:val="clear" w:color="auto" w:fill="FFFFFF"/>
            <w:tcMar>
              <w:top w:w="150" w:type="dxa"/>
              <w:left w:w="240" w:type="dxa"/>
              <w:bottom w:w="150" w:type="dxa"/>
              <w:right w:w="0" w:type="dxa"/>
            </w:tcMar>
            <w:vAlign w:val="center"/>
            <w:hideMark/>
          </w:tcPr>
          <w:p w14:paraId="0CBE62A0"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309 (61.7)</w:t>
            </w:r>
          </w:p>
        </w:tc>
      </w:tr>
      <w:tr w:rsidR="00283326" w:rsidRPr="00497923" w14:paraId="25358080" w14:textId="77777777" w:rsidTr="00732F74">
        <w:trPr>
          <w:trHeight w:val="704"/>
        </w:trPr>
        <w:tc>
          <w:tcPr>
            <w:tcW w:w="5245" w:type="dxa"/>
            <w:shd w:val="clear" w:color="auto" w:fill="FFFFFF"/>
            <w:tcMar>
              <w:top w:w="150" w:type="dxa"/>
              <w:left w:w="240" w:type="dxa"/>
              <w:bottom w:w="150" w:type="dxa"/>
              <w:right w:w="240" w:type="dxa"/>
            </w:tcMar>
            <w:vAlign w:val="center"/>
            <w:hideMark/>
          </w:tcPr>
          <w:p w14:paraId="157E41B1"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Which type of tube is used in the preparation of T-PRF?</w:t>
            </w:r>
          </w:p>
        </w:tc>
        <w:tc>
          <w:tcPr>
            <w:tcW w:w="6946" w:type="dxa"/>
            <w:shd w:val="clear" w:color="auto" w:fill="FFFFFF"/>
            <w:tcMar>
              <w:top w:w="150" w:type="dxa"/>
              <w:left w:w="240" w:type="dxa"/>
              <w:bottom w:w="150" w:type="dxa"/>
              <w:right w:w="240" w:type="dxa"/>
            </w:tcMar>
            <w:vAlign w:val="center"/>
            <w:hideMark/>
          </w:tcPr>
          <w:p w14:paraId="27AADD5F" w14:textId="77777777" w:rsidR="00283326" w:rsidRPr="00497923" w:rsidRDefault="00283326" w:rsidP="00732F74">
            <w:pPr>
              <w:spacing w:line="240" w:lineRule="auto"/>
              <w:rPr>
                <w:rFonts w:ascii="Times New Roman" w:hAnsi="Times New Roman" w:cs="Times New Roman"/>
                <w:sz w:val="20"/>
                <w:szCs w:val="20"/>
              </w:rPr>
            </w:pPr>
            <w:r w:rsidRPr="00497923">
              <w:rPr>
                <w:rFonts w:ascii="Times New Roman" w:hAnsi="Times New Roman" w:cs="Times New Roman"/>
                <w:sz w:val="20"/>
                <w:szCs w:val="20"/>
              </w:rPr>
              <w:t>Titanium tubes</w:t>
            </w:r>
          </w:p>
        </w:tc>
        <w:tc>
          <w:tcPr>
            <w:tcW w:w="2292" w:type="dxa"/>
            <w:shd w:val="clear" w:color="auto" w:fill="FFFFFF"/>
            <w:tcMar>
              <w:top w:w="150" w:type="dxa"/>
              <w:left w:w="240" w:type="dxa"/>
              <w:bottom w:w="150" w:type="dxa"/>
              <w:right w:w="0" w:type="dxa"/>
            </w:tcMar>
            <w:vAlign w:val="center"/>
            <w:hideMark/>
          </w:tcPr>
          <w:p w14:paraId="60FB5695"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280 (55.9)</w:t>
            </w:r>
          </w:p>
        </w:tc>
      </w:tr>
      <w:tr w:rsidR="00283326" w:rsidRPr="00497923" w14:paraId="5288BF6C" w14:textId="77777777" w:rsidTr="00732F74">
        <w:trPr>
          <w:trHeight w:val="692"/>
        </w:trPr>
        <w:tc>
          <w:tcPr>
            <w:tcW w:w="5245" w:type="dxa"/>
            <w:shd w:val="clear" w:color="auto" w:fill="FFFFFF"/>
            <w:tcMar>
              <w:top w:w="150" w:type="dxa"/>
              <w:left w:w="240" w:type="dxa"/>
              <w:bottom w:w="150" w:type="dxa"/>
              <w:right w:w="240" w:type="dxa"/>
            </w:tcMar>
            <w:vAlign w:val="center"/>
            <w:hideMark/>
          </w:tcPr>
          <w:p w14:paraId="108F7755"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How is the fibrin matrix of T-PRF characterized histologically?</w:t>
            </w:r>
          </w:p>
        </w:tc>
        <w:tc>
          <w:tcPr>
            <w:tcW w:w="6946" w:type="dxa"/>
            <w:shd w:val="clear" w:color="auto" w:fill="FFFFFF"/>
            <w:tcMar>
              <w:top w:w="150" w:type="dxa"/>
              <w:left w:w="240" w:type="dxa"/>
              <w:bottom w:w="150" w:type="dxa"/>
              <w:right w:w="240" w:type="dxa"/>
            </w:tcMar>
            <w:vAlign w:val="center"/>
            <w:hideMark/>
          </w:tcPr>
          <w:p w14:paraId="6AE1C0A2" w14:textId="77777777" w:rsidR="00283326" w:rsidRPr="00497923" w:rsidRDefault="00283326" w:rsidP="00732F74">
            <w:pPr>
              <w:spacing w:line="240" w:lineRule="auto"/>
              <w:rPr>
                <w:rFonts w:ascii="Times New Roman" w:hAnsi="Times New Roman" w:cs="Times New Roman"/>
                <w:sz w:val="20"/>
                <w:szCs w:val="20"/>
              </w:rPr>
            </w:pPr>
            <w:r w:rsidRPr="00497923">
              <w:rPr>
                <w:rFonts w:ascii="Times New Roman" w:hAnsi="Times New Roman" w:cs="Times New Roman"/>
                <w:sz w:val="20"/>
                <w:szCs w:val="20"/>
              </w:rPr>
              <w:t>A denser and more highly organized fibrin network</w:t>
            </w:r>
          </w:p>
        </w:tc>
        <w:tc>
          <w:tcPr>
            <w:tcW w:w="2292" w:type="dxa"/>
            <w:shd w:val="clear" w:color="auto" w:fill="FFFFFF"/>
            <w:tcMar>
              <w:top w:w="150" w:type="dxa"/>
              <w:left w:w="240" w:type="dxa"/>
              <w:bottom w:w="150" w:type="dxa"/>
              <w:right w:w="0" w:type="dxa"/>
            </w:tcMar>
            <w:vAlign w:val="center"/>
            <w:hideMark/>
          </w:tcPr>
          <w:p w14:paraId="71A7EF00"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198 (39.5)</w:t>
            </w:r>
          </w:p>
        </w:tc>
      </w:tr>
      <w:tr w:rsidR="00283326" w:rsidRPr="00497923" w14:paraId="1CF0DEF1" w14:textId="77777777" w:rsidTr="00732F74">
        <w:trPr>
          <w:trHeight w:val="704"/>
        </w:trPr>
        <w:tc>
          <w:tcPr>
            <w:tcW w:w="5245" w:type="dxa"/>
            <w:shd w:val="clear" w:color="auto" w:fill="FFFFFF"/>
            <w:tcMar>
              <w:top w:w="150" w:type="dxa"/>
              <w:left w:w="240" w:type="dxa"/>
              <w:bottom w:w="150" w:type="dxa"/>
              <w:right w:w="240" w:type="dxa"/>
            </w:tcMar>
            <w:vAlign w:val="center"/>
            <w:hideMark/>
          </w:tcPr>
          <w:p w14:paraId="632465C7"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Compared with conventional PRF, how is the resorption time of T-PRF generally described in the literature?</w:t>
            </w:r>
          </w:p>
        </w:tc>
        <w:tc>
          <w:tcPr>
            <w:tcW w:w="6946" w:type="dxa"/>
            <w:shd w:val="clear" w:color="auto" w:fill="FFFFFF"/>
            <w:tcMar>
              <w:top w:w="150" w:type="dxa"/>
              <w:left w:w="240" w:type="dxa"/>
              <w:bottom w:w="150" w:type="dxa"/>
              <w:right w:w="240" w:type="dxa"/>
            </w:tcMar>
            <w:vAlign w:val="center"/>
            <w:hideMark/>
          </w:tcPr>
          <w:p w14:paraId="06617171" w14:textId="77777777" w:rsidR="00283326" w:rsidRPr="00497923" w:rsidRDefault="00283326" w:rsidP="00732F74">
            <w:pPr>
              <w:spacing w:line="240" w:lineRule="auto"/>
              <w:rPr>
                <w:rFonts w:ascii="Times New Roman" w:hAnsi="Times New Roman" w:cs="Times New Roman"/>
                <w:sz w:val="20"/>
                <w:szCs w:val="20"/>
              </w:rPr>
            </w:pPr>
            <w:r w:rsidRPr="00497923">
              <w:rPr>
                <w:rFonts w:ascii="Times New Roman" w:hAnsi="Times New Roman" w:cs="Times New Roman"/>
                <w:sz w:val="20"/>
                <w:szCs w:val="20"/>
              </w:rPr>
              <w:t>It is generally reported to be longer</w:t>
            </w:r>
          </w:p>
        </w:tc>
        <w:tc>
          <w:tcPr>
            <w:tcW w:w="2292" w:type="dxa"/>
            <w:shd w:val="clear" w:color="auto" w:fill="FFFFFF"/>
            <w:tcMar>
              <w:top w:w="150" w:type="dxa"/>
              <w:left w:w="240" w:type="dxa"/>
              <w:bottom w:w="150" w:type="dxa"/>
              <w:right w:w="0" w:type="dxa"/>
            </w:tcMar>
            <w:vAlign w:val="center"/>
            <w:hideMark/>
          </w:tcPr>
          <w:p w14:paraId="6349AFF9"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272 (54.3)</w:t>
            </w:r>
          </w:p>
        </w:tc>
      </w:tr>
      <w:tr w:rsidR="00283326" w:rsidRPr="00497923" w14:paraId="2CA22A80" w14:textId="77777777" w:rsidTr="00732F74">
        <w:trPr>
          <w:trHeight w:val="692"/>
        </w:trPr>
        <w:tc>
          <w:tcPr>
            <w:tcW w:w="5245" w:type="dxa"/>
            <w:shd w:val="clear" w:color="auto" w:fill="FFFFFF"/>
            <w:tcMar>
              <w:top w:w="150" w:type="dxa"/>
              <w:left w:w="240" w:type="dxa"/>
              <w:bottom w:w="150" w:type="dxa"/>
              <w:right w:w="240" w:type="dxa"/>
            </w:tcMar>
            <w:vAlign w:val="center"/>
            <w:hideMark/>
          </w:tcPr>
          <w:p w14:paraId="5FA58436"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Which of the following procedures is involved when preparing Alb-PRF?</w:t>
            </w:r>
          </w:p>
        </w:tc>
        <w:tc>
          <w:tcPr>
            <w:tcW w:w="6946" w:type="dxa"/>
            <w:shd w:val="clear" w:color="auto" w:fill="FFFFFF"/>
            <w:tcMar>
              <w:top w:w="150" w:type="dxa"/>
              <w:left w:w="240" w:type="dxa"/>
              <w:bottom w:w="150" w:type="dxa"/>
              <w:right w:w="240" w:type="dxa"/>
            </w:tcMar>
            <w:vAlign w:val="center"/>
            <w:hideMark/>
          </w:tcPr>
          <w:p w14:paraId="6BCE0273" w14:textId="77777777" w:rsidR="00283326" w:rsidRPr="00497923" w:rsidRDefault="00283326" w:rsidP="00732F74">
            <w:pPr>
              <w:spacing w:line="240" w:lineRule="auto"/>
              <w:rPr>
                <w:rFonts w:ascii="Times New Roman" w:hAnsi="Times New Roman" w:cs="Times New Roman"/>
                <w:sz w:val="20"/>
                <w:szCs w:val="20"/>
              </w:rPr>
            </w:pPr>
            <w:r w:rsidRPr="00497923">
              <w:rPr>
                <w:rFonts w:ascii="Times New Roman" w:hAnsi="Times New Roman" w:cs="Times New Roman"/>
                <w:sz w:val="20"/>
                <w:szCs w:val="20"/>
              </w:rPr>
              <w:t>Thermal modification of PRF</w:t>
            </w:r>
          </w:p>
        </w:tc>
        <w:tc>
          <w:tcPr>
            <w:tcW w:w="2292" w:type="dxa"/>
            <w:shd w:val="clear" w:color="auto" w:fill="FFFFFF"/>
            <w:tcMar>
              <w:top w:w="150" w:type="dxa"/>
              <w:left w:w="240" w:type="dxa"/>
              <w:bottom w:w="150" w:type="dxa"/>
              <w:right w:w="0" w:type="dxa"/>
            </w:tcMar>
            <w:vAlign w:val="center"/>
            <w:hideMark/>
          </w:tcPr>
          <w:p w14:paraId="5940F920"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231 (46.1)</w:t>
            </w:r>
          </w:p>
        </w:tc>
      </w:tr>
      <w:tr w:rsidR="00283326" w:rsidRPr="00497923" w14:paraId="0625D3D2" w14:textId="77777777" w:rsidTr="00732F74">
        <w:trPr>
          <w:trHeight w:val="704"/>
        </w:trPr>
        <w:tc>
          <w:tcPr>
            <w:tcW w:w="5245" w:type="dxa"/>
            <w:shd w:val="clear" w:color="auto" w:fill="FFFFFF"/>
            <w:tcMar>
              <w:top w:w="150" w:type="dxa"/>
              <w:left w:w="240" w:type="dxa"/>
              <w:bottom w:w="150" w:type="dxa"/>
              <w:right w:w="240" w:type="dxa"/>
            </w:tcMar>
            <w:vAlign w:val="center"/>
            <w:hideMark/>
          </w:tcPr>
          <w:p w14:paraId="64453D3A"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What is the primary purpose of heat treatment in Alb-PRF?</w:t>
            </w:r>
          </w:p>
        </w:tc>
        <w:tc>
          <w:tcPr>
            <w:tcW w:w="6946" w:type="dxa"/>
            <w:shd w:val="clear" w:color="auto" w:fill="FFFFFF"/>
            <w:tcMar>
              <w:top w:w="150" w:type="dxa"/>
              <w:left w:w="240" w:type="dxa"/>
              <w:bottom w:w="150" w:type="dxa"/>
              <w:right w:w="240" w:type="dxa"/>
            </w:tcMar>
            <w:vAlign w:val="center"/>
            <w:hideMark/>
          </w:tcPr>
          <w:p w14:paraId="4F4AB3E9" w14:textId="77777777" w:rsidR="00283326" w:rsidRPr="00497923" w:rsidRDefault="00283326" w:rsidP="00732F74">
            <w:pPr>
              <w:spacing w:line="240" w:lineRule="auto"/>
              <w:rPr>
                <w:rFonts w:ascii="Times New Roman" w:hAnsi="Times New Roman" w:cs="Times New Roman"/>
                <w:sz w:val="20"/>
                <w:szCs w:val="20"/>
              </w:rPr>
            </w:pPr>
            <w:r w:rsidRPr="00497923">
              <w:rPr>
                <w:rFonts w:ascii="Times New Roman" w:hAnsi="Times New Roman" w:cs="Times New Roman"/>
                <w:sz w:val="20"/>
                <w:szCs w:val="20"/>
              </w:rPr>
              <w:t>To create a stable gel through albumin denaturation</w:t>
            </w:r>
          </w:p>
        </w:tc>
        <w:tc>
          <w:tcPr>
            <w:tcW w:w="2292" w:type="dxa"/>
            <w:shd w:val="clear" w:color="auto" w:fill="FFFFFF"/>
            <w:tcMar>
              <w:top w:w="150" w:type="dxa"/>
              <w:left w:w="240" w:type="dxa"/>
              <w:bottom w:w="150" w:type="dxa"/>
              <w:right w:w="0" w:type="dxa"/>
            </w:tcMar>
            <w:vAlign w:val="center"/>
            <w:hideMark/>
          </w:tcPr>
          <w:p w14:paraId="7FE4C350"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195 (38.9)</w:t>
            </w:r>
          </w:p>
        </w:tc>
      </w:tr>
      <w:tr w:rsidR="00283326" w:rsidRPr="00497923" w14:paraId="43A53A34" w14:textId="77777777" w:rsidTr="00732F74">
        <w:trPr>
          <w:trHeight w:val="704"/>
        </w:trPr>
        <w:tc>
          <w:tcPr>
            <w:tcW w:w="5245" w:type="dxa"/>
            <w:shd w:val="clear" w:color="auto" w:fill="FFFFFF"/>
            <w:tcMar>
              <w:top w:w="150" w:type="dxa"/>
              <w:left w:w="240" w:type="dxa"/>
              <w:bottom w:w="150" w:type="dxa"/>
              <w:right w:w="240" w:type="dxa"/>
            </w:tcMar>
            <w:vAlign w:val="center"/>
            <w:hideMark/>
          </w:tcPr>
          <w:p w14:paraId="743BC739"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lastRenderedPageBreak/>
              <w:t>Which of the following is the main advantage of Alb-PRF over conventional PRF?</w:t>
            </w:r>
          </w:p>
        </w:tc>
        <w:tc>
          <w:tcPr>
            <w:tcW w:w="6946" w:type="dxa"/>
            <w:shd w:val="clear" w:color="auto" w:fill="FFFFFF"/>
            <w:tcMar>
              <w:top w:w="150" w:type="dxa"/>
              <w:left w:w="240" w:type="dxa"/>
              <w:bottom w:w="150" w:type="dxa"/>
              <w:right w:w="240" w:type="dxa"/>
            </w:tcMar>
            <w:vAlign w:val="center"/>
            <w:hideMark/>
          </w:tcPr>
          <w:p w14:paraId="3456CECB" w14:textId="77777777" w:rsidR="00283326" w:rsidRPr="00497923" w:rsidRDefault="00283326" w:rsidP="00732F74">
            <w:pPr>
              <w:spacing w:line="240" w:lineRule="auto"/>
              <w:rPr>
                <w:rFonts w:ascii="Times New Roman" w:hAnsi="Times New Roman" w:cs="Times New Roman"/>
                <w:sz w:val="20"/>
                <w:szCs w:val="20"/>
              </w:rPr>
            </w:pPr>
            <w:r w:rsidRPr="00497923">
              <w:rPr>
                <w:rFonts w:ascii="Times New Roman" w:hAnsi="Times New Roman" w:cs="Times New Roman"/>
                <w:sz w:val="20"/>
                <w:szCs w:val="20"/>
              </w:rPr>
              <w:t>Longer resorption time and improved volumetric stability</w:t>
            </w:r>
          </w:p>
        </w:tc>
        <w:tc>
          <w:tcPr>
            <w:tcW w:w="2292" w:type="dxa"/>
            <w:shd w:val="clear" w:color="auto" w:fill="FFFFFF"/>
            <w:tcMar>
              <w:top w:w="150" w:type="dxa"/>
              <w:left w:w="240" w:type="dxa"/>
              <w:bottom w:w="150" w:type="dxa"/>
              <w:right w:w="0" w:type="dxa"/>
            </w:tcMar>
            <w:vAlign w:val="center"/>
            <w:hideMark/>
          </w:tcPr>
          <w:p w14:paraId="0148099B"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245 (48.9)</w:t>
            </w:r>
          </w:p>
        </w:tc>
      </w:tr>
      <w:tr w:rsidR="00283326" w:rsidRPr="00497923" w14:paraId="5F8A3699" w14:textId="77777777" w:rsidTr="00732F74">
        <w:trPr>
          <w:trHeight w:val="692"/>
        </w:trPr>
        <w:tc>
          <w:tcPr>
            <w:tcW w:w="5245" w:type="dxa"/>
            <w:shd w:val="clear" w:color="auto" w:fill="FFFFFF"/>
            <w:tcMar>
              <w:top w:w="150" w:type="dxa"/>
              <w:left w:w="240" w:type="dxa"/>
              <w:bottom w:w="150" w:type="dxa"/>
              <w:right w:w="240" w:type="dxa"/>
            </w:tcMar>
            <w:vAlign w:val="center"/>
            <w:hideMark/>
          </w:tcPr>
          <w:p w14:paraId="34B6ADE4"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 xml:space="preserve">What is the fundamental difference between </w:t>
            </w:r>
            <w:proofErr w:type="spellStart"/>
            <w:r w:rsidRPr="00497923">
              <w:rPr>
                <w:rFonts w:ascii="Times New Roman" w:hAnsi="Times New Roman" w:cs="Times New Roman"/>
                <w:b/>
                <w:bCs/>
                <w:sz w:val="20"/>
                <w:szCs w:val="20"/>
              </w:rPr>
              <w:t>i</w:t>
            </w:r>
            <w:proofErr w:type="spellEnd"/>
            <w:r w:rsidRPr="00497923">
              <w:rPr>
                <w:rFonts w:ascii="Times New Roman" w:hAnsi="Times New Roman" w:cs="Times New Roman"/>
                <w:b/>
                <w:bCs/>
                <w:sz w:val="20"/>
                <w:szCs w:val="20"/>
              </w:rPr>
              <w:t>-PRF and other conventional PRF forms?</w:t>
            </w:r>
          </w:p>
        </w:tc>
        <w:tc>
          <w:tcPr>
            <w:tcW w:w="6946" w:type="dxa"/>
            <w:shd w:val="clear" w:color="auto" w:fill="FFFFFF"/>
            <w:tcMar>
              <w:top w:w="150" w:type="dxa"/>
              <w:left w:w="240" w:type="dxa"/>
              <w:bottom w:w="150" w:type="dxa"/>
              <w:right w:w="240" w:type="dxa"/>
            </w:tcMar>
            <w:vAlign w:val="center"/>
            <w:hideMark/>
          </w:tcPr>
          <w:p w14:paraId="5F39D054" w14:textId="77777777" w:rsidR="00283326" w:rsidRPr="00497923" w:rsidRDefault="00283326" w:rsidP="00732F74">
            <w:pPr>
              <w:spacing w:line="240" w:lineRule="auto"/>
              <w:rPr>
                <w:rFonts w:ascii="Times New Roman" w:hAnsi="Times New Roman" w:cs="Times New Roman"/>
                <w:sz w:val="20"/>
                <w:szCs w:val="20"/>
              </w:rPr>
            </w:pPr>
            <w:r w:rsidRPr="00497923">
              <w:rPr>
                <w:rFonts w:ascii="Times New Roman" w:hAnsi="Times New Roman" w:cs="Times New Roman"/>
                <w:sz w:val="20"/>
                <w:szCs w:val="20"/>
              </w:rPr>
              <w:t>It is obtained in a liquid form suitable for injection</w:t>
            </w:r>
          </w:p>
        </w:tc>
        <w:tc>
          <w:tcPr>
            <w:tcW w:w="2292" w:type="dxa"/>
            <w:shd w:val="clear" w:color="auto" w:fill="FFFFFF"/>
            <w:tcMar>
              <w:top w:w="150" w:type="dxa"/>
              <w:left w:w="240" w:type="dxa"/>
              <w:bottom w:w="150" w:type="dxa"/>
              <w:right w:w="0" w:type="dxa"/>
            </w:tcMar>
            <w:vAlign w:val="center"/>
            <w:hideMark/>
          </w:tcPr>
          <w:p w14:paraId="47FA11D0"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278 (55.5)</w:t>
            </w:r>
          </w:p>
        </w:tc>
      </w:tr>
      <w:tr w:rsidR="00283326" w:rsidRPr="00497923" w14:paraId="55FE0273" w14:textId="77777777" w:rsidTr="00732F74">
        <w:trPr>
          <w:trHeight w:val="704"/>
        </w:trPr>
        <w:tc>
          <w:tcPr>
            <w:tcW w:w="5245" w:type="dxa"/>
            <w:shd w:val="clear" w:color="auto" w:fill="FFFFFF"/>
            <w:tcMar>
              <w:top w:w="150" w:type="dxa"/>
              <w:left w:w="240" w:type="dxa"/>
              <w:bottom w:w="150" w:type="dxa"/>
              <w:right w:w="240" w:type="dxa"/>
            </w:tcMar>
            <w:vAlign w:val="center"/>
            <w:hideMark/>
          </w:tcPr>
          <w:p w14:paraId="545D63D9"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 xml:space="preserve">Which approach is used in the preparation of </w:t>
            </w:r>
            <w:proofErr w:type="spellStart"/>
            <w:r w:rsidRPr="00497923">
              <w:rPr>
                <w:rFonts w:ascii="Times New Roman" w:hAnsi="Times New Roman" w:cs="Times New Roman"/>
                <w:b/>
                <w:bCs/>
                <w:sz w:val="20"/>
                <w:szCs w:val="20"/>
              </w:rPr>
              <w:t>i</w:t>
            </w:r>
            <w:proofErr w:type="spellEnd"/>
            <w:r w:rsidRPr="00497923">
              <w:rPr>
                <w:rFonts w:ascii="Times New Roman" w:hAnsi="Times New Roman" w:cs="Times New Roman"/>
                <w:b/>
                <w:bCs/>
                <w:sz w:val="20"/>
                <w:szCs w:val="20"/>
              </w:rPr>
              <w:t>-PRF?</w:t>
            </w:r>
          </w:p>
        </w:tc>
        <w:tc>
          <w:tcPr>
            <w:tcW w:w="6946" w:type="dxa"/>
            <w:shd w:val="clear" w:color="auto" w:fill="FFFFFF"/>
            <w:tcMar>
              <w:top w:w="150" w:type="dxa"/>
              <w:left w:w="240" w:type="dxa"/>
              <w:bottom w:w="150" w:type="dxa"/>
              <w:right w:w="240" w:type="dxa"/>
            </w:tcMar>
            <w:vAlign w:val="center"/>
            <w:hideMark/>
          </w:tcPr>
          <w:p w14:paraId="1DCC54A0" w14:textId="77777777" w:rsidR="00283326" w:rsidRPr="00497923" w:rsidRDefault="00283326" w:rsidP="00732F74">
            <w:pPr>
              <w:spacing w:line="240" w:lineRule="auto"/>
              <w:rPr>
                <w:rFonts w:ascii="Times New Roman" w:hAnsi="Times New Roman" w:cs="Times New Roman"/>
                <w:sz w:val="20"/>
                <w:szCs w:val="20"/>
              </w:rPr>
            </w:pPr>
            <w:r w:rsidRPr="00497923">
              <w:rPr>
                <w:rFonts w:ascii="Times New Roman" w:hAnsi="Times New Roman" w:cs="Times New Roman"/>
                <w:sz w:val="20"/>
                <w:szCs w:val="20"/>
              </w:rPr>
              <w:t>Low centrifugation force applied for a short time</w:t>
            </w:r>
          </w:p>
        </w:tc>
        <w:tc>
          <w:tcPr>
            <w:tcW w:w="2292" w:type="dxa"/>
            <w:shd w:val="clear" w:color="auto" w:fill="FFFFFF"/>
            <w:tcMar>
              <w:top w:w="150" w:type="dxa"/>
              <w:left w:w="240" w:type="dxa"/>
              <w:bottom w:w="150" w:type="dxa"/>
              <w:right w:w="0" w:type="dxa"/>
            </w:tcMar>
            <w:vAlign w:val="center"/>
            <w:hideMark/>
          </w:tcPr>
          <w:p w14:paraId="42D73AF8"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219 (43.7)</w:t>
            </w:r>
          </w:p>
        </w:tc>
      </w:tr>
      <w:tr w:rsidR="00283326" w:rsidRPr="00497923" w14:paraId="719CA3E1" w14:textId="77777777" w:rsidTr="00732F74">
        <w:trPr>
          <w:trHeight w:val="704"/>
        </w:trPr>
        <w:tc>
          <w:tcPr>
            <w:tcW w:w="5245" w:type="dxa"/>
            <w:shd w:val="clear" w:color="auto" w:fill="FFFFFF"/>
            <w:tcMar>
              <w:top w:w="150" w:type="dxa"/>
              <w:left w:w="240" w:type="dxa"/>
              <w:bottom w:w="150" w:type="dxa"/>
              <w:right w:w="240" w:type="dxa"/>
            </w:tcMar>
            <w:vAlign w:val="center"/>
            <w:hideMark/>
          </w:tcPr>
          <w:p w14:paraId="0CB0E520"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 xml:space="preserve">When </w:t>
            </w:r>
            <w:proofErr w:type="spellStart"/>
            <w:r w:rsidRPr="00497923">
              <w:rPr>
                <w:rFonts w:ascii="Times New Roman" w:hAnsi="Times New Roman" w:cs="Times New Roman"/>
                <w:b/>
                <w:bCs/>
                <w:sz w:val="20"/>
                <w:szCs w:val="20"/>
              </w:rPr>
              <w:t>i</w:t>
            </w:r>
            <w:proofErr w:type="spellEnd"/>
            <w:r w:rsidRPr="00497923">
              <w:rPr>
                <w:rFonts w:ascii="Times New Roman" w:hAnsi="Times New Roman" w:cs="Times New Roman"/>
                <w:b/>
                <w:bCs/>
                <w:sz w:val="20"/>
                <w:szCs w:val="20"/>
              </w:rPr>
              <w:t>-PRF is combined with graft particles in clinical practice, what is the resulting construct commonly called?</w:t>
            </w:r>
          </w:p>
        </w:tc>
        <w:tc>
          <w:tcPr>
            <w:tcW w:w="6946" w:type="dxa"/>
            <w:shd w:val="clear" w:color="auto" w:fill="FFFFFF"/>
            <w:tcMar>
              <w:top w:w="150" w:type="dxa"/>
              <w:left w:w="240" w:type="dxa"/>
              <w:bottom w:w="150" w:type="dxa"/>
              <w:right w:w="240" w:type="dxa"/>
            </w:tcMar>
            <w:vAlign w:val="center"/>
            <w:hideMark/>
          </w:tcPr>
          <w:p w14:paraId="7952ACF3" w14:textId="77777777" w:rsidR="00283326" w:rsidRPr="00497923" w:rsidRDefault="00283326" w:rsidP="00732F74">
            <w:pPr>
              <w:spacing w:line="240" w:lineRule="auto"/>
              <w:rPr>
                <w:rFonts w:ascii="Times New Roman" w:hAnsi="Times New Roman" w:cs="Times New Roman"/>
                <w:sz w:val="20"/>
                <w:szCs w:val="20"/>
              </w:rPr>
            </w:pPr>
            <w:r w:rsidRPr="00497923">
              <w:rPr>
                <w:rFonts w:ascii="Times New Roman" w:hAnsi="Times New Roman" w:cs="Times New Roman"/>
                <w:sz w:val="20"/>
                <w:szCs w:val="20"/>
              </w:rPr>
              <w:t>Sticky bone</w:t>
            </w:r>
          </w:p>
        </w:tc>
        <w:tc>
          <w:tcPr>
            <w:tcW w:w="2292" w:type="dxa"/>
            <w:shd w:val="clear" w:color="auto" w:fill="FFFFFF"/>
            <w:tcMar>
              <w:top w:w="150" w:type="dxa"/>
              <w:left w:w="240" w:type="dxa"/>
              <w:bottom w:w="150" w:type="dxa"/>
              <w:right w:w="0" w:type="dxa"/>
            </w:tcMar>
            <w:vAlign w:val="center"/>
            <w:hideMark/>
          </w:tcPr>
          <w:p w14:paraId="73C1EC8C"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240 (47.9)</w:t>
            </w:r>
          </w:p>
        </w:tc>
      </w:tr>
      <w:tr w:rsidR="00283326" w:rsidRPr="00497923" w14:paraId="29A88E64" w14:textId="77777777" w:rsidTr="00732F74">
        <w:trPr>
          <w:trHeight w:val="692"/>
        </w:trPr>
        <w:tc>
          <w:tcPr>
            <w:tcW w:w="5245" w:type="dxa"/>
            <w:shd w:val="clear" w:color="auto" w:fill="FFFFFF"/>
            <w:tcMar>
              <w:top w:w="150" w:type="dxa"/>
              <w:left w:w="240" w:type="dxa"/>
              <w:bottom w:w="150" w:type="dxa"/>
              <w:right w:w="240" w:type="dxa"/>
            </w:tcMar>
            <w:vAlign w:val="center"/>
            <w:hideMark/>
          </w:tcPr>
          <w:p w14:paraId="2147D3AB"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Which of the following combinations shows the greatest variation in physical form (liquid, gel, and membrane) among PRF derivatives?</w:t>
            </w:r>
          </w:p>
        </w:tc>
        <w:tc>
          <w:tcPr>
            <w:tcW w:w="6946" w:type="dxa"/>
            <w:shd w:val="clear" w:color="auto" w:fill="FFFFFF"/>
            <w:tcMar>
              <w:top w:w="150" w:type="dxa"/>
              <w:left w:w="240" w:type="dxa"/>
              <w:bottom w:w="150" w:type="dxa"/>
              <w:right w:w="240" w:type="dxa"/>
            </w:tcMar>
            <w:vAlign w:val="center"/>
            <w:hideMark/>
          </w:tcPr>
          <w:p w14:paraId="5B90145F" w14:textId="77777777" w:rsidR="00283326" w:rsidRPr="00497923" w:rsidRDefault="00283326" w:rsidP="00732F74">
            <w:pPr>
              <w:spacing w:line="240" w:lineRule="auto"/>
              <w:rPr>
                <w:rFonts w:ascii="Times New Roman" w:hAnsi="Times New Roman" w:cs="Times New Roman"/>
                <w:sz w:val="20"/>
                <w:szCs w:val="20"/>
              </w:rPr>
            </w:pPr>
            <w:proofErr w:type="spellStart"/>
            <w:r w:rsidRPr="00497923">
              <w:rPr>
                <w:rFonts w:ascii="Times New Roman" w:hAnsi="Times New Roman" w:cs="Times New Roman"/>
                <w:sz w:val="20"/>
                <w:szCs w:val="20"/>
              </w:rPr>
              <w:t>i</w:t>
            </w:r>
            <w:proofErr w:type="spellEnd"/>
            <w:r w:rsidRPr="00497923">
              <w:rPr>
                <w:rFonts w:ascii="Times New Roman" w:hAnsi="Times New Roman" w:cs="Times New Roman"/>
                <w:sz w:val="20"/>
                <w:szCs w:val="20"/>
              </w:rPr>
              <w:t>-PRF – Alb-PRF – L-PRF</w:t>
            </w:r>
          </w:p>
        </w:tc>
        <w:tc>
          <w:tcPr>
            <w:tcW w:w="2292" w:type="dxa"/>
            <w:shd w:val="clear" w:color="auto" w:fill="FFFFFF"/>
            <w:tcMar>
              <w:top w:w="150" w:type="dxa"/>
              <w:left w:w="240" w:type="dxa"/>
              <w:bottom w:w="150" w:type="dxa"/>
              <w:right w:w="0" w:type="dxa"/>
            </w:tcMar>
            <w:vAlign w:val="center"/>
            <w:hideMark/>
          </w:tcPr>
          <w:p w14:paraId="416A64C4"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255 (50.9)</w:t>
            </w:r>
          </w:p>
        </w:tc>
      </w:tr>
      <w:tr w:rsidR="00283326" w:rsidRPr="00497923" w14:paraId="19DE0653" w14:textId="77777777" w:rsidTr="00732F74">
        <w:trPr>
          <w:trHeight w:val="704"/>
        </w:trPr>
        <w:tc>
          <w:tcPr>
            <w:tcW w:w="5245" w:type="dxa"/>
            <w:tcBorders>
              <w:bottom w:val="single" w:sz="4" w:space="0" w:color="auto"/>
            </w:tcBorders>
            <w:shd w:val="clear" w:color="auto" w:fill="FFFFFF"/>
            <w:tcMar>
              <w:top w:w="150" w:type="dxa"/>
              <w:left w:w="240" w:type="dxa"/>
              <w:bottom w:w="150" w:type="dxa"/>
              <w:right w:w="240" w:type="dxa"/>
            </w:tcMar>
            <w:vAlign w:val="center"/>
            <w:hideMark/>
          </w:tcPr>
          <w:p w14:paraId="426B6E57" w14:textId="77777777" w:rsidR="00283326" w:rsidRPr="00497923" w:rsidRDefault="00283326" w:rsidP="00732F74">
            <w:pPr>
              <w:spacing w:line="240" w:lineRule="auto"/>
              <w:rPr>
                <w:rFonts w:ascii="Times New Roman" w:hAnsi="Times New Roman" w:cs="Times New Roman"/>
                <w:b/>
                <w:bCs/>
                <w:sz w:val="20"/>
                <w:szCs w:val="20"/>
              </w:rPr>
            </w:pPr>
            <w:r w:rsidRPr="00497923">
              <w:rPr>
                <w:rFonts w:ascii="Times New Roman" w:hAnsi="Times New Roman" w:cs="Times New Roman"/>
                <w:b/>
                <w:bCs/>
                <w:sz w:val="20"/>
                <w:szCs w:val="20"/>
              </w:rPr>
              <w:t>Which pair of PRF derivatives differs primarily in centrifugation parameters rather than in overall preparation principle?</w:t>
            </w:r>
          </w:p>
        </w:tc>
        <w:tc>
          <w:tcPr>
            <w:tcW w:w="6946" w:type="dxa"/>
            <w:tcBorders>
              <w:bottom w:val="single" w:sz="4" w:space="0" w:color="auto"/>
            </w:tcBorders>
            <w:shd w:val="clear" w:color="auto" w:fill="FFFFFF"/>
            <w:tcMar>
              <w:top w:w="150" w:type="dxa"/>
              <w:left w:w="240" w:type="dxa"/>
              <w:bottom w:w="150" w:type="dxa"/>
              <w:right w:w="240" w:type="dxa"/>
            </w:tcMar>
            <w:vAlign w:val="center"/>
            <w:hideMark/>
          </w:tcPr>
          <w:p w14:paraId="2E74DB8B" w14:textId="77777777" w:rsidR="00283326" w:rsidRPr="00497923" w:rsidRDefault="00283326" w:rsidP="00732F74">
            <w:pPr>
              <w:spacing w:line="240" w:lineRule="auto"/>
              <w:rPr>
                <w:rFonts w:ascii="Times New Roman" w:hAnsi="Times New Roman" w:cs="Times New Roman"/>
                <w:sz w:val="20"/>
                <w:szCs w:val="20"/>
              </w:rPr>
            </w:pPr>
            <w:r w:rsidRPr="00497923">
              <w:rPr>
                <w:rFonts w:ascii="Times New Roman" w:hAnsi="Times New Roman" w:cs="Times New Roman"/>
                <w:sz w:val="20"/>
                <w:szCs w:val="20"/>
              </w:rPr>
              <w:t>A-PRF – A-PRF+</w:t>
            </w:r>
          </w:p>
        </w:tc>
        <w:tc>
          <w:tcPr>
            <w:tcW w:w="2292" w:type="dxa"/>
            <w:tcBorders>
              <w:bottom w:val="single" w:sz="4" w:space="0" w:color="auto"/>
            </w:tcBorders>
            <w:shd w:val="clear" w:color="auto" w:fill="FFFFFF"/>
            <w:tcMar>
              <w:top w:w="150" w:type="dxa"/>
              <w:left w:w="240" w:type="dxa"/>
              <w:bottom w:w="150" w:type="dxa"/>
              <w:right w:w="0" w:type="dxa"/>
            </w:tcMar>
            <w:vAlign w:val="center"/>
            <w:hideMark/>
          </w:tcPr>
          <w:p w14:paraId="54173877" w14:textId="77777777" w:rsidR="00283326" w:rsidRPr="00497923" w:rsidRDefault="00283326" w:rsidP="00732F74">
            <w:pPr>
              <w:spacing w:line="240" w:lineRule="auto"/>
              <w:rPr>
                <w:rFonts w:ascii="Times New Roman" w:hAnsi="Times New Roman" w:cs="Times New Roman"/>
                <w:sz w:val="20"/>
                <w:szCs w:val="20"/>
              </w:rPr>
            </w:pPr>
            <w:r w:rsidRPr="008B3742">
              <w:rPr>
                <w:rFonts w:ascii="Times New Roman" w:hAnsi="Times New Roman" w:cs="Times New Roman"/>
                <w:noProof/>
                <w:sz w:val="24"/>
                <w:szCs w:val="24"/>
              </w:rPr>
              <w:t>255 (50.9)</w:t>
            </w:r>
          </w:p>
        </w:tc>
      </w:tr>
    </w:tbl>
    <w:p w14:paraId="75A55080" w14:textId="77777777" w:rsidR="00283326" w:rsidRPr="00497923" w:rsidRDefault="00283326" w:rsidP="00283326">
      <w:pPr>
        <w:rPr>
          <w:rFonts w:ascii="Times New Roman" w:hAnsi="Times New Roman" w:cs="Times New Roman"/>
          <w:i/>
          <w:iCs/>
        </w:rPr>
      </w:pPr>
      <w:r w:rsidRPr="001D4205">
        <w:rPr>
          <w:rFonts w:ascii="Times New Roman" w:hAnsi="Times New Roman" w:cs="Times New Roman"/>
          <w:i/>
          <w:iCs/>
        </w:rPr>
        <w:t>n = number of respondents whose response matched the prespecified reference answer; % = percentage of total participants (N = 501).</w:t>
      </w:r>
      <w:r w:rsidRPr="00497923">
        <w:rPr>
          <w:rFonts w:ascii="Times New Roman" w:hAnsi="Times New Roman" w:cs="Times New Roman"/>
          <w:i/>
          <w:iCs/>
        </w:rPr>
        <w:br w:type="page"/>
      </w:r>
    </w:p>
    <w:p w14:paraId="21809858" w14:textId="6D30AB34" w:rsidR="0015315F" w:rsidRPr="008B3742" w:rsidRDefault="0015315F" w:rsidP="0015315F">
      <w:pPr>
        <w:jc w:val="both"/>
        <w:rPr>
          <w:rFonts w:ascii="Times New Roman" w:hAnsi="Times New Roman" w:cs="Times New Roman"/>
          <w:i/>
          <w:iCs/>
          <w:noProof/>
          <w:sz w:val="24"/>
          <w:szCs w:val="24"/>
        </w:rPr>
      </w:pPr>
      <w:r w:rsidRPr="008B3742">
        <w:rPr>
          <w:rFonts w:ascii="Times New Roman" w:hAnsi="Times New Roman" w:cs="Times New Roman"/>
          <w:b/>
          <w:bCs/>
          <w:noProof/>
          <w:sz w:val="24"/>
          <w:szCs w:val="24"/>
        </w:rPr>
        <w:lastRenderedPageBreak/>
        <w:t>Table 3:</w:t>
      </w:r>
      <w:r w:rsidRPr="008B3742">
        <w:rPr>
          <w:rFonts w:ascii="Times New Roman" w:hAnsi="Times New Roman" w:cs="Times New Roman"/>
          <w:noProof/>
          <w:sz w:val="24"/>
          <w:szCs w:val="24"/>
        </w:rPr>
        <w:t xml:space="preserve"> Responses to Likert Scale Items</w:t>
      </w:r>
    </w:p>
    <w:tbl>
      <w:tblPr>
        <w:tblW w:w="15253" w:type="dxa"/>
        <w:tblInd w:w="-567" w:type="dxa"/>
        <w:shd w:val="clear" w:color="auto" w:fill="FFFFFF"/>
        <w:tblCellMar>
          <w:top w:w="15" w:type="dxa"/>
          <w:left w:w="15" w:type="dxa"/>
          <w:bottom w:w="15" w:type="dxa"/>
          <w:right w:w="15" w:type="dxa"/>
        </w:tblCellMar>
        <w:tblLook w:val="04A0" w:firstRow="1" w:lastRow="0" w:firstColumn="1" w:lastColumn="0" w:noHBand="0" w:noVBand="1"/>
      </w:tblPr>
      <w:tblGrid>
        <w:gridCol w:w="7938"/>
        <w:gridCol w:w="1418"/>
        <w:gridCol w:w="1417"/>
        <w:gridCol w:w="1418"/>
        <w:gridCol w:w="1417"/>
        <w:gridCol w:w="1645"/>
      </w:tblGrid>
      <w:tr w:rsidR="0015315F" w:rsidRPr="00E50D5B" w14:paraId="4FC655F7" w14:textId="77777777" w:rsidTr="007A40DA">
        <w:trPr>
          <w:trHeight w:val="700"/>
          <w:tblHeader/>
        </w:trPr>
        <w:tc>
          <w:tcPr>
            <w:tcW w:w="7938" w:type="dxa"/>
            <w:tcBorders>
              <w:top w:val="single" w:sz="4" w:space="0" w:color="auto"/>
              <w:bottom w:val="single" w:sz="4" w:space="0" w:color="auto"/>
            </w:tcBorders>
            <w:shd w:val="clear" w:color="auto" w:fill="FFFFFF"/>
            <w:tcMar>
              <w:top w:w="150" w:type="dxa"/>
              <w:left w:w="0" w:type="dxa"/>
              <w:bottom w:w="150" w:type="dxa"/>
              <w:right w:w="240" w:type="dxa"/>
            </w:tcMar>
            <w:vAlign w:val="center"/>
            <w:hideMark/>
          </w:tcPr>
          <w:p w14:paraId="5D611B5E" w14:textId="77777777" w:rsidR="0015315F" w:rsidRPr="00E50D5B" w:rsidRDefault="0015315F" w:rsidP="007A40DA">
            <w:pPr>
              <w:jc w:val="both"/>
              <w:rPr>
                <w:rFonts w:ascii="Times New Roman" w:hAnsi="Times New Roman" w:cs="Times New Roman"/>
                <w:b/>
                <w:bCs/>
                <w:noProof/>
              </w:rPr>
            </w:pPr>
            <w:r w:rsidRPr="00E50D5B">
              <w:rPr>
                <w:rFonts w:ascii="Times New Roman" w:hAnsi="Times New Roman" w:cs="Times New Roman"/>
                <w:b/>
                <w:bCs/>
                <w:noProof/>
              </w:rPr>
              <w:t>Question</w:t>
            </w:r>
          </w:p>
        </w:tc>
        <w:tc>
          <w:tcPr>
            <w:tcW w:w="1418" w:type="dxa"/>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7163D636" w14:textId="77777777" w:rsidR="0015315F" w:rsidRPr="00E50D5B" w:rsidRDefault="0015315F" w:rsidP="007A40DA">
            <w:pPr>
              <w:jc w:val="both"/>
              <w:rPr>
                <w:rFonts w:ascii="Times New Roman" w:hAnsi="Times New Roman" w:cs="Times New Roman"/>
                <w:b/>
                <w:bCs/>
                <w:noProof/>
              </w:rPr>
            </w:pPr>
            <w:r w:rsidRPr="00E50D5B">
              <w:rPr>
                <w:rFonts w:ascii="Times New Roman" w:hAnsi="Times New Roman" w:cs="Times New Roman"/>
                <w:b/>
                <w:bCs/>
                <w:noProof/>
              </w:rPr>
              <w:t>1 n (%)</w:t>
            </w:r>
          </w:p>
        </w:tc>
        <w:tc>
          <w:tcPr>
            <w:tcW w:w="1417" w:type="dxa"/>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1E1DD97E" w14:textId="77777777" w:rsidR="0015315F" w:rsidRPr="00E50D5B" w:rsidRDefault="0015315F" w:rsidP="007A40DA">
            <w:pPr>
              <w:jc w:val="both"/>
              <w:rPr>
                <w:rFonts w:ascii="Times New Roman" w:hAnsi="Times New Roman" w:cs="Times New Roman"/>
                <w:b/>
                <w:bCs/>
                <w:noProof/>
              </w:rPr>
            </w:pPr>
            <w:r w:rsidRPr="00E50D5B">
              <w:rPr>
                <w:rFonts w:ascii="Times New Roman" w:hAnsi="Times New Roman" w:cs="Times New Roman"/>
                <w:b/>
                <w:bCs/>
                <w:noProof/>
              </w:rPr>
              <w:t>2 n (%)</w:t>
            </w:r>
          </w:p>
        </w:tc>
        <w:tc>
          <w:tcPr>
            <w:tcW w:w="1418" w:type="dxa"/>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7A2D849F" w14:textId="77777777" w:rsidR="0015315F" w:rsidRPr="00E50D5B" w:rsidRDefault="0015315F" w:rsidP="007A40DA">
            <w:pPr>
              <w:jc w:val="both"/>
              <w:rPr>
                <w:rFonts w:ascii="Times New Roman" w:hAnsi="Times New Roman" w:cs="Times New Roman"/>
                <w:b/>
                <w:bCs/>
                <w:noProof/>
              </w:rPr>
            </w:pPr>
            <w:r w:rsidRPr="00E50D5B">
              <w:rPr>
                <w:rFonts w:ascii="Times New Roman" w:hAnsi="Times New Roman" w:cs="Times New Roman"/>
                <w:b/>
                <w:bCs/>
                <w:noProof/>
              </w:rPr>
              <w:t>3 n (%)</w:t>
            </w:r>
          </w:p>
        </w:tc>
        <w:tc>
          <w:tcPr>
            <w:tcW w:w="1417" w:type="dxa"/>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3F45BD66" w14:textId="77777777" w:rsidR="0015315F" w:rsidRPr="00E50D5B" w:rsidRDefault="0015315F" w:rsidP="007A40DA">
            <w:pPr>
              <w:jc w:val="both"/>
              <w:rPr>
                <w:rFonts w:ascii="Times New Roman" w:hAnsi="Times New Roman" w:cs="Times New Roman"/>
                <w:b/>
                <w:bCs/>
                <w:noProof/>
              </w:rPr>
            </w:pPr>
            <w:r w:rsidRPr="00E50D5B">
              <w:rPr>
                <w:rFonts w:ascii="Times New Roman" w:hAnsi="Times New Roman" w:cs="Times New Roman"/>
                <w:b/>
                <w:bCs/>
                <w:noProof/>
              </w:rPr>
              <w:t>4 n (%)</w:t>
            </w:r>
          </w:p>
        </w:tc>
        <w:tc>
          <w:tcPr>
            <w:tcW w:w="1645" w:type="dxa"/>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717FD2C9" w14:textId="77777777" w:rsidR="0015315F" w:rsidRPr="00E50D5B" w:rsidRDefault="0015315F" w:rsidP="007A40DA">
            <w:pPr>
              <w:jc w:val="both"/>
              <w:rPr>
                <w:rFonts w:ascii="Times New Roman" w:hAnsi="Times New Roman" w:cs="Times New Roman"/>
                <w:b/>
                <w:bCs/>
                <w:noProof/>
              </w:rPr>
            </w:pPr>
            <w:r w:rsidRPr="00E50D5B">
              <w:rPr>
                <w:rFonts w:ascii="Times New Roman" w:hAnsi="Times New Roman" w:cs="Times New Roman"/>
                <w:b/>
                <w:bCs/>
                <w:noProof/>
              </w:rPr>
              <w:t>5 n (%)</w:t>
            </w:r>
          </w:p>
        </w:tc>
      </w:tr>
      <w:tr w:rsidR="0015315F" w:rsidRPr="00E50D5B" w14:paraId="789C4D26" w14:textId="77777777" w:rsidTr="007A40DA">
        <w:trPr>
          <w:trHeight w:val="688"/>
        </w:trPr>
        <w:tc>
          <w:tcPr>
            <w:tcW w:w="7938" w:type="dxa"/>
            <w:tcBorders>
              <w:top w:val="single" w:sz="4" w:space="0" w:color="auto"/>
            </w:tcBorders>
            <w:shd w:val="clear" w:color="auto" w:fill="FFFFFF"/>
            <w:tcMar>
              <w:top w:w="150" w:type="dxa"/>
              <w:left w:w="0" w:type="dxa"/>
              <w:bottom w:w="150" w:type="dxa"/>
              <w:right w:w="240" w:type="dxa"/>
            </w:tcMar>
            <w:vAlign w:val="center"/>
            <w:hideMark/>
          </w:tcPr>
          <w:p w14:paraId="06DCC2C5" w14:textId="77777777" w:rsidR="0015315F" w:rsidRPr="00E50D5B" w:rsidRDefault="0015315F" w:rsidP="007A40DA">
            <w:pPr>
              <w:jc w:val="both"/>
              <w:rPr>
                <w:rFonts w:ascii="Times New Roman" w:hAnsi="Times New Roman" w:cs="Times New Roman"/>
                <w:b/>
                <w:bCs/>
                <w:noProof/>
              </w:rPr>
            </w:pPr>
            <w:r w:rsidRPr="00E50D5B">
              <w:rPr>
                <w:rFonts w:ascii="Times New Roman" w:hAnsi="Times New Roman" w:cs="Times New Roman"/>
                <w:b/>
                <w:bCs/>
                <w:noProof/>
              </w:rPr>
              <w:t>PRF enhances soft tissue healing</w:t>
            </w:r>
          </w:p>
        </w:tc>
        <w:tc>
          <w:tcPr>
            <w:tcW w:w="1418" w:type="dxa"/>
            <w:tcBorders>
              <w:top w:val="single" w:sz="4" w:space="0" w:color="auto"/>
            </w:tcBorders>
            <w:shd w:val="clear" w:color="auto" w:fill="FFFFFF"/>
            <w:tcMar>
              <w:top w:w="150" w:type="dxa"/>
              <w:left w:w="240" w:type="dxa"/>
              <w:bottom w:w="150" w:type="dxa"/>
              <w:right w:w="240" w:type="dxa"/>
            </w:tcMar>
            <w:vAlign w:val="center"/>
            <w:hideMark/>
          </w:tcPr>
          <w:p w14:paraId="5E28B178"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45 (9.0)</w:t>
            </w:r>
          </w:p>
        </w:tc>
        <w:tc>
          <w:tcPr>
            <w:tcW w:w="1417" w:type="dxa"/>
            <w:tcBorders>
              <w:top w:val="single" w:sz="4" w:space="0" w:color="auto"/>
            </w:tcBorders>
            <w:shd w:val="clear" w:color="auto" w:fill="FFFFFF"/>
            <w:tcMar>
              <w:top w:w="150" w:type="dxa"/>
              <w:left w:w="240" w:type="dxa"/>
              <w:bottom w:w="150" w:type="dxa"/>
              <w:right w:w="240" w:type="dxa"/>
            </w:tcMar>
            <w:vAlign w:val="center"/>
            <w:hideMark/>
          </w:tcPr>
          <w:p w14:paraId="5A2D2162"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39 (7.8)</w:t>
            </w:r>
          </w:p>
        </w:tc>
        <w:tc>
          <w:tcPr>
            <w:tcW w:w="1418" w:type="dxa"/>
            <w:tcBorders>
              <w:top w:val="single" w:sz="4" w:space="0" w:color="auto"/>
            </w:tcBorders>
            <w:shd w:val="clear" w:color="auto" w:fill="FFFFFF"/>
            <w:tcMar>
              <w:top w:w="150" w:type="dxa"/>
              <w:left w:w="240" w:type="dxa"/>
              <w:bottom w:w="150" w:type="dxa"/>
              <w:right w:w="240" w:type="dxa"/>
            </w:tcMar>
            <w:vAlign w:val="center"/>
            <w:hideMark/>
          </w:tcPr>
          <w:p w14:paraId="10668FCF"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110 (22.0)</w:t>
            </w:r>
          </w:p>
        </w:tc>
        <w:tc>
          <w:tcPr>
            <w:tcW w:w="1417" w:type="dxa"/>
            <w:tcBorders>
              <w:top w:val="single" w:sz="4" w:space="0" w:color="auto"/>
            </w:tcBorders>
            <w:shd w:val="clear" w:color="auto" w:fill="FFFFFF"/>
            <w:tcMar>
              <w:top w:w="150" w:type="dxa"/>
              <w:left w:w="240" w:type="dxa"/>
              <w:bottom w:w="150" w:type="dxa"/>
              <w:right w:w="240" w:type="dxa"/>
            </w:tcMar>
            <w:vAlign w:val="center"/>
            <w:hideMark/>
          </w:tcPr>
          <w:p w14:paraId="49A7BE8E"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234 (46.7)</w:t>
            </w:r>
          </w:p>
        </w:tc>
        <w:tc>
          <w:tcPr>
            <w:tcW w:w="1645" w:type="dxa"/>
            <w:tcBorders>
              <w:top w:val="single" w:sz="4" w:space="0" w:color="auto"/>
            </w:tcBorders>
            <w:shd w:val="clear" w:color="auto" w:fill="FFFFFF"/>
            <w:tcMar>
              <w:top w:w="150" w:type="dxa"/>
              <w:left w:w="240" w:type="dxa"/>
              <w:bottom w:w="150" w:type="dxa"/>
              <w:right w:w="0" w:type="dxa"/>
            </w:tcMar>
            <w:vAlign w:val="center"/>
            <w:hideMark/>
          </w:tcPr>
          <w:p w14:paraId="43463CEE"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73 (14.6)</w:t>
            </w:r>
          </w:p>
        </w:tc>
      </w:tr>
      <w:tr w:rsidR="0015315F" w:rsidRPr="00E50D5B" w14:paraId="267827F4" w14:textId="77777777" w:rsidTr="007A40DA">
        <w:trPr>
          <w:trHeight w:val="700"/>
        </w:trPr>
        <w:tc>
          <w:tcPr>
            <w:tcW w:w="7938" w:type="dxa"/>
            <w:shd w:val="clear" w:color="auto" w:fill="FFFFFF"/>
            <w:tcMar>
              <w:top w:w="150" w:type="dxa"/>
              <w:left w:w="0" w:type="dxa"/>
              <w:bottom w:w="150" w:type="dxa"/>
              <w:right w:w="240" w:type="dxa"/>
            </w:tcMar>
            <w:vAlign w:val="center"/>
            <w:hideMark/>
          </w:tcPr>
          <w:p w14:paraId="1F48B114" w14:textId="77777777" w:rsidR="0015315F" w:rsidRPr="00E50D5B" w:rsidRDefault="0015315F" w:rsidP="007A40DA">
            <w:pPr>
              <w:jc w:val="both"/>
              <w:rPr>
                <w:rFonts w:ascii="Times New Roman" w:hAnsi="Times New Roman" w:cs="Times New Roman"/>
                <w:b/>
                <w:bCs/>
                <w:noProof/>
              </w:rPr>
            </w:pPr>
            <w:r w:rsidRPr="00E50D5B">
              <w:rPr>
                <w:rFonts w:ascii="Times New Roman" w:hAnsi="Times New Roman" w:cs="Times New Roman"/>
                <w:b/>
                <w:bCs/>
                <w:noProof/>
              </w:rPr>
              <w:t>PRF supports bone regeneration</w:t>
            </w:r>
          </w:p>
        </w:tc>
        <w:tc>
          <w:tcPr>
            <w:tcW w:w="1418" w:type="dxa"/>
            <w:shd w:val="clear" w:color="auto" w:fill="FFFFFF"/>
            <w:tcMar>
              <w:top w:w="150" w:type="dxa"/>
              <w:left w:w="240" w:type="dxa"/>
              <w:bottom w:w="150" w:type="dxa"/>
              <w:right w:w="240" w:type="dxa"/>
            </w:tcMar>
            <w:vAlign w:val="center"/>
            <w:hideMark/>
          </w:tcPr>
          <w:p w14:paraId="42BE12EC"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32 (6.4)</w:t>
            </w:r>
          </w:p>
        </w:tc>
        <w:tc>
          <w:tcPr>
            <w:tcW w:w="1417" w:type="dxa"/>
            <w:shd w:val="clear" w:color="auto" w:fill="FFFFFF"/>
            <w:tcMar>
              <w:top w:w="150" w:type="dxa"/>
              <w:left w:w="240" w:type="dxa"/>
              <w:bottom w:w="150" w:type="dxa"/>
              <w:right w:w="240" w:type="dxa"/>
            </w:tcMar>
            <w:vAlign w:val="center"/>
            <w:hideMark/>
          </w:tcPr>
          <w:p w14:paraId="10E8CC97"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27 (5.4)</w:t>
            </w:r>
          </w:p>
        </w:tc>
        <w:tc>
          <w:tcPr>
            <w:tcW w:w="1418" w:type="dxa"/>
            <w:shd w:val="clear" w:color="auto" w:fill="FFFFFF"/>
            <w:tcMar>
              <w:top w:w="150" w:type="dxa"/>
              <w:left w:w="240" w:type="dxa"/>
              <w:bottom w:w="150" w:type="dxa"/>
              <w:right w:w="240" w:type="dxa"/>
            </w:tcMar>
            <w:vAlign w:val="center"/>
            <w:hideMark/>
          </w:tcPr>
          <w:p w14:paraId="4DFD8310"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129 (25.7)</w:t>
            </w:r>
          </w:p>
        </w:tc>
        <w:tc>
          <w:tcPr>
            <w:tcW w:w="1417" w:type="dxa"/>
            <w:shd w:val="clear" w:color="auto" w:fill="FFFFFF"/>
            <w:tcMar>
              <w:top w:w="150" w:type="dxa"/>
              <w:left w:w="240" w:type="dxa"/>
              <w:bottom w:w="150" w:type="dxa"/>
              <w:right w:w="240" w:type="dxa"/>
            </w:tcMar>
            <w:vAlign w:val="center"/>
            <w:hideMark/>
          </w:tcPr>
          <w:p w14:paraId="1199DE39"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238 (47.5)</w:t>
            </w:r>
          </w:p>
        </w:tc>
        <w:tc>
          <w:tcPr>
            <w:tcW w:w="1645" w:type="dxa"/>
            <w:shd w:val="clear" w:color="auto" w:fill="FFFFFF"/>
            <w:tcMar>
              <w:top w:w="150" w:type="dxa"/>
              <w:left w:w="240" w:type="dxa"/>
              <w:bottom w:w="150" w:type="dxa"/>
              <w:right w:w="0" w:type="dxa"/>
            </w:tcMar>
            <w:vAlign w:val="center"/>
            <w:hideMark/>
          </w:tcPr>
          <w:p w14:paraId="56EEE947"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75 (15.0)</w:t>
            </w:r>
          </w:p>
        </w:tc>
      </w:tr>
      <w:tr w:rsidR="0015315F" w:rsidRPr="00E50D5B" w14:paraId="0560CC2C" w14:textId="77777777" w:rsidTr="007A40DA">
        <w:trPr>
          <w:trHeight w:val="700"/>
        </w:trPr>
        <w:tc>
          <w:tcPr>
            <w:tcW w:w="7938" w:type="dxa"/>
            <w:shd w:val="clear" w:color="auto" w:fill="FFFFFF"/>
            <w:tcMar>
              <w:top w:w="150" w:type="dxa"/>
              <w:left w:w="0" w:type="dxa"/>
              <w:bottom w:w="150" w:type="dxa"/>
              <w:right w:w="240" w:type="dxa"/>
            </w:tcMar>
            <w:vAlign w:val="center"/>
            <w:hideMark/>
          </w:tcPr>
          <w:p w14:paraId="6AA18957" w14:textId="77777777" w:rsidR="0015315F" w:rsidRPr="00E50D5B" w:rsidRDefault="0015315F" w:rsidP="007A40DA">
            <w:pPr>
              <w:jc w:val="both"/>
              <w:rPr>
                <w:rFonts w:ascii="Times New Roman" w:hAnsi="Times New Roman" w:cs="Times New Roman"/>
                <w:b/>
                <w:bCs/>
                <w:noProof/>
              </w:rPr>
            </w:pPr>
            <w:r w:rsidRPr="00E50D5B">
              <w:rPr>
                <w:rFonts w:ascii="Times New Roman" w:hAnsi="Times New Roman" w:cs="Times New Roman"/>
                <w:b/>
                <w:bCs/>
                <w:noProof/>
              </w:rPr>
              <w:t>I have sufficient knowledge of PRF preparation protocols</w:t>
            </w:r>
          </w:p>
        </w:tc>
        <w:tc>
          <w:tcPr>
            <w:tcW w:w="1418" w:type="dxa"/>
            <w:shd w:val="clear" w:color="auto" w:fill="FFFFFF"/>
            <w:tcMar>
              <w:top w:w="150" w:type="dxa"/>
              <w:left w:w="240" w:type="dxa"/>
              <w:bottom w:w="150" w:type="dxa"/>
              <w:right w:w="240" w:type="dxa"/>
            </w:tcMar>
            <w:vAlign w:val="center"/>
            <w:hideMark/>
          </w:tcPr>
          <w:p w14:paraId="521EB64E"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76 (15.2)</w:t>
            </w:r>
          </w:p>
        </w:tc>
        <w:tc>
          <w:tcPr>
            <w:tcW w:w="1417" w:type="dxa"/>
            <w:shd w:val="clear" w:color="auto" w:fill="FFFFFF"/>
            <w:tcMar>
              <w:top w:w="150" w:type="dxa"/>
              <w:left w:w="240" w:type="dxa"/>
              <w:bottom w:w="150" w:type="dxa"/>
              <w:right w:w="240" w:type="dxa"/>
            </w:tcMar>
            <w:vAlign w:val="center"/>
            <w:hideMark/>
          </w:tcPr>
          <w:p w14:paraId="7F44B728"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102 (20.4)</w:t>
            </w:r>
          </w:p>
        </w:tc>
        <w:tc>
          <w:tcPr>
            <w:tcW w:w="1418" w:type="dxa"/>
            <w:shd w:val="clear" w:color="auto" w:fill="FFFFFF"/>
            <w:tcMar>
              <w:top w:w="150" w:type="dxa"/>
              <w:left w:w="240" w:type="dxa"/>
              <w:bottom w:w="150" w:type="dxa"/>
              <w:right w:w="240" w:type="dxa"/>
            </w:tcMar>
            <w:vAlign w:val="center"/>
            <w:hideMark/>
          </w:tcPr>
          <w:p w14:paraId="0A337E28"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179 (35.7)</w:t>
            </w:r>
          </w:p>
        </w:tc>
        <w:tc>
          <w:tcPr>
            <w:tcW w:w="1417" w:type="dxa"/>
            <w:shd w:val="clear" w:color="auto" w:fill="FFFFFF"/>
            <w:tcMar>
              <w:top w:w="150" w:type="dxa"/>
              <w:left w:w="240" w:type="dxa"/>
              <w:bottom w:w="150" w:type="dxa"/>
              <w:right w:w="240" w:type="dxa"/>
            </w:tcMar>
            <w:vAlign w:val="center"/>
            <w:hideMark/>
          </w:tcPr>
          <w:p w14:paraId="747B8B7C"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113 (22.6)</w:t>
            </w:r>
          </w:p>
        </w:tc>
        <w:tc>
          <w:tcPr>
            <w:tcW w:w="1645" w:type="dxa"/>
            <w:shd w:val="clear" w:color="auto" w:fill="FFFFFF"/>
            <w:tcMar>
              <w:top w:w="150" w:type="dxa"/>
              <w:left w:w="240" w:type="dxa"/>
              <w:bottom w:w="150" w:type="dxa"/>
              <w:right w:w="0" w:type="dxa"/>
            </w:tcMar>
            <w:vAlign w:val="center"/>
            <w:hideMark/>
          </w:tcPr>
          <w:p w14:paraId="42A314C6"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31 (6.2)</w:t>
            </w:r>
          </w:p>
        </w:tc>
      </w:tr>
      <w:tr w:rsidR="0015315F" w:rsidRPr="00E50D5B" w14:paraId="02F2C6B1" w14:textId="77777777" w:rsidTr="007A40DA">
        <w:trPr>
          <w:trHeight w:val="688"/>
        </w:trPr>
        <w:tc>
          <w:tcPr>
            <w:tcW w:w="7938" w:type="dxa"/>
            <w:shd w:val="clear" w:color="auto" w:fill="FFFFFF"/>
            <w:tcMar>
              <w:top w:w="150" w:type="dxa"/>
              <w:left w:w="0" w:type="dxa"/>
              <w:bottom w:w="150" w:type="dxa"/>
              <w:right w:w="240" w:type="dxa"/>
            </w:tcMar>
            <w:vAlign w:val="center"/>
            <w:hideMark/>
          </w:tcPr>
          <w:p w14:paraId="6D855819" w14:textId="77777777" w:rsidR="0015315F" w:rsidRPr="00E50D5B" w:rsidRDefault="0015315F" w:rsidP="007A40DA">
            <w:pPr>
              <w:jc w:val="both"/>
              <w:rPr>
                <w:rFonts w:ascii="Times New Roman" w:hAnsi="Times New Roman" w:cs="Times New Roman"/>
                <w:b/>
                <w:bCs/>
                <w:noProof/>
              </w:rPr>
            </w:pPr>
            <w:r w:rsidRPr="00E50D5B">
              <w:rPr>
                <w:rFonts w:ascii="Times New Roman" w:hAnsi="Times New Roman" w:cs="Times New Roman"/>
                <w:b/>
                <w:bCs/>
                <w:noProof/>
              </w:rPr>
              <w:t>I consider myself competent in the clinical application of PRF</w:t>
            </w:r>
          </w:p>
        </w:tc>
        <w:tc>
          <w:tcPr>
            <w:tcW w:w="1418" w:type="dxa"/>
            <w:shd w:val="clear" w:color="auto" w:fill="FFFFFF"/>
            <w:tcMar>
              <w:top w:w="150" w:type="dxa"/>
              <w:left w:w="240" w:type="dxa"/>
              <w:bottom w:w="150" w:type="dxa"/>
              <w:right w:w="240" w:type="dxa"/>
            </w:tcMar>
            <w:vAlign w:val="center"/>
            <w:hideMark/>
          </w:tcPr>
          <w:p w14:paraId="2F91A60D"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100 (20.0)</w:t>
            </w:r>
          </w:p>
        </w:tc>
        <w:tc>
          <w:tcPr>
            <w:tcW w:w="1417" w:type="dxa"/>
            <w:shd w:val="clear" w:color="auto" w:fill="FFFFFF"/>
            <w:tcMar>
              <w:top w:w="150" w:type="dxa"/>
              <w:left w:w="240" w:type="dxa"/>
              <w:bottom w:w="150" w:type="dxa"/>
              <w:right w:w="240" w:type="dxa"/>
            </w:tcMar>
            <w:vAlign w:val="center"/>
            <w:hideMark/>
          </w:tcPr>
          <w:p w14:paraId="019C1B04"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117 (23.4)</w:t>
            </w:r>
          </w:p>
        </w:tc>
        <w:tc>
          <w:tcPr>
            <w:tcW w:w="1418" w:type="dxa"/>
            <w:shd w:val="clear" w:color="auto" w:fill="FFFFFF"/>
            <w:tcMar>
              <w:top w:w="150" w:type="dxa"/>
              <w:left w:w="240" w:type="dxa"/>
              <w:bottom w:w="150" w:type="dxa"/>
              <w:right w:w="240" w:type="dxa"/>
            </w:tcMar>
            <w:vAlign w:val="center"/>
            <w:hideMark/>
          </w:tcPr>
          <w:p w14:paraId="5CC51735"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181 (36.1)</w:t>
            </w:r>
          </w:p>
        </w:tc>
        <w:tc>
          <w:tcPr>
            <w:tcW w:w="1417" w:type="dxa"/>
            <w:shd w:val="clear" w:color="auto" w:fill="FFFFFF"/>
            <w:tcMar>
              <w:top w:w="150" w:type="dxa"/>
              <w:left w:w="240" w:type="dxa"/>
              <w:bottom w:w="150" w:type="dxa"/>
              <w:right w:w="240" w:type="dxa"/>
            </w:tcMar>
            <w:vAlign w:val="center"/>
            <w:hideMark/>
          </w:tcPr>
          <w:p w14:paraId="10183349"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76 (15.2)</w:t>
            </w:r>
          </w:p>
        </w:tc>
        <w:tc>
          <w:tcPr>
            <w:tcW w:w="1645" w:type="dxa"/>
            <w:shd w:val="clear" w:color="auto" w:fill="FFFFFF"/>
            <w:tcMar>
              <w:top w:w="150" w:type="dxa"/>
              <w:left w:w="240" w:type="dxa"/>
              <w:bottom w:w="150" w:type="dxa"/>
              <w:right w:w="0" w:type="dxa"/>
            </w:tcMar>
            <w:vAlign w:val="center"/>
            <w:hideMark/>
          </w:tcPr>
          <w:p w14:paraId="0B742D19"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27 (5.4)</w:t>
            </w:r>
          </w:p>
        </w:tc>
      </w:tr>
      <w:tr w:rsidR="0015315F" w:rsidRPr="00E50D5B" w14:paraId="17135F7E" w14:textId="77777777" w:rsidTr="007A40DA">
        <w:trPr>
          <w:trHeight w:val="700"/>
        </w:trPr>
        <w:tc>
          <w:tcPr>
            <w:tcW w:w="7938" w:type="dxa"/>
            <w:shd w:val="clear" w:color="auto" w:fill="FFFFFF"/>
            <w:tcMar>
              <w:top w:w="150" w:type="dxa"/>
              <w:left w:w="0" w:type="dxa"/>
              <w:bottom w:w="150" w:type="dxa"/>
              <w:right w:w="240" w:type="dxa"/>
            </w:tcMar>
            <w:vAlign w:val="center"/>
            <w:hideMark/>
          </w:tcPr>
          <w:p w14:paraId="36BD2707" w14:textId="77777777" w:rsidR="0015315F" w:rsidRPr="00E50D5B" w:rsidRDefault="0015315F" w:rsidP="007A40DA">
            <w:pPr>
              <w:jc w:val="both"/>
              <w:rPr>
                <w:rFonts w:ascii="Times New Roman" w:hAnsi="Times New Roman" w:cs="Times New Roman"/>
                <w:b/>
                <w:bCs/>
                <w:noProof/>
              </w:rPr>
            </w:pPr>
            <w:r w:rsidRPr="00E50D5B">
              <w:rPr>
                <w:rFonts w:ascii="Times New Roman" w:hAnsi="Times New Roman" w:cs="Times New Roman"/>
                <w:b/>
                <w:bCs/>
                <w:noProof/>
              </w:rPr>
              <w:t>I would like to receive additional training on PRF and its derivatives</w:t>
            </w:r>
          </w:p>
        </w:tc>
        <w:tc>
          <w:tcPr>
            <w:tcW w:w="1418" w:type="dxa"/>
            <w:shd w:val="clear" w:color="auto" w:fill="FFFFFF"/>
            <w:tcMar>
              <w:top w:w="150" w:type="dxa"/>
              <w:left w:w="240" w:type="dxa"/>
              <w:bottom w:w="150" w:type="dxa"/>
              <w:right w:w="240" w:type="dxa"/>
            </w:tcMar>
            <w:vAlign w:val="center"/>
            <w:hideMark/>
          </w:tcPr>
          <w:p w14:paraId="118F1043"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16 (3.2)</w:t>
            </w:r>
          </w:p>
        </w:tc>
        <w:tc>
          <w:tcPr>
            <w:tcW w:w="1417" w:type="dxa"/>
            <w:shd w:val="clear" w:color="auto" w:fill="FFFFFF"/>
            <w:tcMar>
              <w:top w:w="150" w:type="dxa"/>
              <w:left w:w="240" w:type="dxa"/>
              <w:bottom w:w="150" w:type="dxa"/>
              <w:right w:w="240" w:type="dxa"/>
            </w:tcMar>
            <w:vAlign w:val="center"/>
            <w:hideMark/>
          </w:tcPr>
          <w:p w14:paraId="386FA738"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28 (5.6)</w:t>
            </w:r>
          </w:p>
        </w:tc>
        <w:tc>
          <w:tcPr>
            <w:tcW w:w="1418" w:type="dxa"/>
            <w:shd w:val="clear" w:color="auto" w:fill="FFFFFF"/>
            <w:tcMar>
              <w:top w:w="150" w:type="dxa"/>
              <w:left w:w="240" w:type="dxa"/>
              <w:bottom w:w="150" w:type="dxa"/>
              <w:right w:w="240" w:type="dxa"/>
            </w:tcMar>
            <w:vAlign w:val="center"/>
            <w:hideMark/>
          </w:tcPr>
          <w:p w14:paraId="2E6ED0C2"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103 (20.6)</w:t>
            </w:r>
          </w:p>
        </w:tc>
        <w:tc>
          <w:tcPr>
            <w:tcW w:w="1417" w:type="dxa"/>
            <w:shd w:val="clear" w:color="auto" w:fill="FFFFFF"/>
            <w:tcMar>
              <w:top w:w="150" w:type="dxa"/>
              <w:left w:w="240" w:type="dxa"/>
              <w:bottom w:w="150" w:type="dxa"/>
              <w:right w:w="240" w:type="dxa"/>
            </w:tcMar>
            <w:vAlign w:val="center"/>
            <w:hideMark/>
          </w:tcPr>
          <w:p w14:paraId="6C4B6BE7"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215 (42.9)</w:t>
            </w:r>
          </w:p>
        </w:tc>
        <w:tc>
          <w:tcPr>
            <w:tcW w:w="1645" w:type="dxa"/>
            <w:shd w:val="clear" w:color="auto" w:fill="FFFFFF"/>
            <w:tcMar>
              <w:top w:w="150" w:type="dxa"/>
              <w:left w:w="240" w:type="dxa"/>
              <w:bottom w:w="150" w:type="dxa"/>
              <w:right w:w="0" w:type="dxa"/>
            </w:tcMar>
            <w:vAlign w:val="center"/>
            <w:hideMark/>
          </w:tcPr>
          <w:p w14:paraId="24777D6C"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139 (27.7)</w:t>
            </w:r>
          </w:p>
        </w:tc>
      </w:tr>
      <w:tr w:rsidR="0015315F" w:rsidRPr="00E50D5B" w14:paraId="1C12A0C7" w14:textId="77777777" w:rsidTr="007A40DA">
        <w:trPr>
          <w:trHeight w:val="688"/>
        </w:trPr>
        <w:tc>
          <w:tcPr>
            <w:tcW w:w="7938" w:type="dxa"/>
            <w:shd w:val="clear" w:color="auto" w:fill="FFFFFF"/>
            <w:tcMar>
              <w:top w:w="150" w:type="dxa"/>
              <w:left w:w="0" w:type="dxa"/>
              <w:bottom w:w="150" w:type="dxa"/>
              <w:right w:w="240" w:type="dxa"/>
            </w:tcMar>
            <w:vAlign w:val="center"/>
            <w:hideMark/>
          </w:tcPr>
          <w:p w14:paraId="5D4334A5" w14:textId="77777777" w:rsidR="0015315F" w:rsidRPr="00E50D5B" w:rsidRDefault="0015315F" w:rsidP="007A40DA">
            <w:pPr>
              <w:jc w:val="both"/>
              <w:rPr>
                <w:rFonts w:ascii="Times New Roman" w:hAnsi="Times New Roman" w:cs="Times New Roman"/>
                <w:b/>
                <w:bCs/>
                <w:noProof/>
              </w:rPr>
            </w:pPr>
            <w:r w:rsidRPr="00E50D5B">
              <w:rPr>
                <w:rFonts w:ascii="Times New Roman" w:hAnsi="Times New Roman" w:cs="Times New Roman"/>
                <w:b/>
                <w:bCs/>
                <w:noProof/>
              </w:rPr>
              <w:t>PRF is a cost-effective method</w:t>
            </w:r>
          </w:p>
        </w:tc>
        <w:tc>
          <w:tcPr>
            <w:tcW w:w="1418" w:type="dxa"/>
            <w:shd w:val="clear" w:color="auto" w:fill="FFFFFF"/>
            <w:tcMar>
              <w:top w:w="150" w:type="dxa"/>
              <w:left w:w="240" w:type="dxa"/>
              <w:bottom w:w="150" w:type="dxa"/>
              <w:right w:w="240" w:type="dxa"/>
            </w:tcMar>
            <w:vAlign w:val="center"/>
            <w:hideMark/>
          </w:tcPr>
          <w:p w14:paraId="76478FE8"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26 (5.2)</w:t>
            </w:r>
          </w:p>
        </w:tc>
        <w:tc>
          <w:tcPr>
            <w:tcW w:w="1417" w:type="dxa"/>
            <w:shd w:val="clear" w:color="auto" w:fill="FFFFFF"/>
            <w:tcMar>
              <w:top w:w="150" w:type="dxa"/>
              <w:left w:w="240" w:type="dxa"/>
              <w:bottom w:w="150" w:type="dxa"/>
              <w:right w:w="240" w:type="dxa"/>
            </w:tcMar>
            <w:vAlign w:val="center"/>
            <w:hideMark/>
          </w:tcPr>
          <w:p w14:paraId="32689BB0"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27 (5.4)</w:t>
            </w:r>
          </w:p>
        </w:tc>
        <w:tc>
          <w:tcPr>
            <w:tcW w:w="1418" w:type="dxa"/>
            <w:shd w:val="clear" w:color="auto" w:fill="FFFFFF"/>
            <w:tcMar>
              <w:top w:w="150" w:type="dxa"/>
              <w:left w:w="240" w:type="dxa"/>
              <w:bottom w:w="150" w:type="dxa"/>
              <w:right w:w="240" w:type="dxa"/>
            </w:tcMar>
            <w:vAlign w:val="center"/>
            <w:hideMark/>
          </w:tcPr>
          <w:p w14:paraId="722971B2"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203 (40.5)</w:t>
            </w:r>
          </w:p>
        </w:tc>
        <w:tc>
          <w:tcPr>
            <w:tcW w:w="1417" w:type="dxa"/>
            <w:shd w:val="clear" w:color="auto" w:fill="FFFFFF"/>
            <w:tcMar>
              <w:top w:w="150" w:type="dxa"/>
              <w:left w:w="240" w:type="dxa"/>
              <w:bottom w:w="150" w:type="dxa"/>
              <w:right w:w="240" w:type="dxa"/>
            </w:tcMar>
            <w:vAlign w:val="center"/>
            <w:hideMark/>
          </w:tcPr>
          <w:p w14:paraId="3AFBB3CC"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195 (38.9)</w:t>
            </w:r>
          </w:p>
        </w:tc>
        <w:tc>
          <w:tcPr>
            <w:tcW w:w="1645" w:type="dxa"/>
            <w:shd w:val="clear" w:color="auto" w:fill="FFFFFF"/>
            <w:tcMar>
              <w:top w:w="150" w:type="dxa"/>
              <w:left w:w="240" w:type="dxa"/>
              <w:bottom w:w="150" w:type="dxa"/>
              <w:right w:w="0" w:type="dxa"/>
            </w:tcMar>
            <w:vAlign w:val="center"/>
            <w:hideMark/>
          </w:tcPr>
          <w:p w14:paraId="652D75F2"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50 (10.0)</w:t>
            </w:r>
          </w:p>
        </w:tc>
      </w:tr>
      <w:tr w:rsidR="0015315F" w:rsidRPr="00E50D5B" w14:paraId="1DE84F5E" w14:textId="77777777" w:rsidTr="007A40DA">
        <w:trPr>
          <w:trHeight w:val="700"/>
        </w:trPr>
        <w:tc>
          <w:tcPr>
            <w:tcW w:w="7938" w:type="dxa"/>
            <w:tcBorders>
              <w:bottom w:val="single" w:sz="4" w:space="0" w:color="auto"/>
            </w:tcBorders>
            <w:shd w:val="clear" w:color="auto" w:fill="FFFFFF"/>
            <w:tcMar>
              <w:top w:w="150" w:type="dxa"/>
              <w:left w:w="0" w:type="dxa"/>
              <w:bottom w:w="150" w:type="dxa"/>
              <w:right w:w="240" w:type="dxa"/>
            </w:tcMar>
            <w:vAlign w:val="center"/>
            <w:hideMark/>
          </w:tcPr>
          <w:p w14:paraId="11AEC04C" w14:textId="77777777" w:rsidR="0015315F" w:rsidRPr="00E50D5B" w:rsidRDefault="0015315F" w:rsidP="007A40DA">
            <w:pPr>
              <w:jc w:val="both"/>
              <w:rPr>
                <w:rFonts w:ascii="Times New Roman" w:hAnsi="Times New Roman" w:cs="Times New Roman"/>
                <w:b/>
                <w:bCs/>
                <w:noProof/>
              </w:rPr>
            </w:pPr>
            <w:r w:rsidRPr="00E50D5B">
              <w:rPr>
                <w:rFonts w:ascii="Times New Roman" w:hAnsi="Times New Roman" w:cs="Times New Roman"/>
                <w:b/>
                <w:bCs/>
                <w:noProof/>
              </w:rPr>
              <w:t>The infrastructure required for PRF preparation is available at my institution</w:t>
            </w:r>
          </w:p>
        </w:tc>
        <w:tc>
          <w:tcPr>
            <w:tcW w:w="1418" w:type="dxa"/>
            <w:tcBorders>
              <w:bottom w:val="single" w:sz="4" w:space="0" w:color="auto"/>
            </w:tcBorders>
            <w:shd w:val="clear" w:color="auto" w:fill="FFFFFF"/>
            <w:tcMar>
              <w:top w:w="150" w:type="dxa"/>
              <w:left w:w="240" w:type="dxa"/>
              <w:bottom w:w="150" w:type="dxa"/>
              <w:right w:w="240" w:type="dxa"/>
            </w:tcMar>
            <w:vAlign w:val="center"/>
            <w:hideMark/>
          </w:tcPr>
          <w:p w14:paraId="7813DA74"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38 (7.6)</w:t>
            </w:r>
          </w:p>
        </w:tc>
        <w:tc>
          <w:tcPr>
            <w:tcW w:w="1417" w:type="dxa"/>
            <w:tcBorders>
              <w:bottom w:val="single" w:sz="4" w:space="0" w:color="auto"/>
            </w:tcBorders>
            <w:shd w:val="clear" w:color="auto" w:fill="FFFFFF"/>
            <w:tcMar>
              <w:top w:w="150" w:type="dxa"/>
              <w:left w:w="240" w:type="dxa"/>
              <w:bottom w:w="150" w:type="dxa"/>
              <w:right w:w="240" w:type="dxa"/>
            </w:tcMar>
            <w:vAlign w:val="center"/>
            <w:hideMark/>
          </w:tcPr>
          <w:p w14:paraId="2CB092D9"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54 (10.8)</w:t>
            </w:r>
          </w:p>
        </w:tc>
        <w:tc>
          <w:tcPr>
            <w:tcW w:w="1418" w:type="dxa"/>
            <w:tcBorders>
              <w:bottom w:val="single" w:sz="4" w:space="0" w:color="auto"/>
            </w:tcBorders>
            <w:shd w:val="clear" w:color="auto" w:fill="FFFFFF"/>
            <w:tcMar>
              <w:top w:w="150" w:type="dxa"/>
              <w:left w:w="240" w:type="dxa"/>
              <w:bottom w:w="150" w:type="dxa"/>
              <w:right w:w="240" w:type="dxa"/>
            </w:tcMar>
            <w:vAlign w:val="center"/>
            <w:hideMark/>
          </w:tcPr>
          <w:p w14:paraId="0CFE484E"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212 (42.3)</w:t>
            </w:r>
          </w:p>
        </w:tc>
        <w:tc>
          <w:tcPr>
            <w:tcW w:w="1417" w:type="dxa"/>
            <w:tcBorders>
              <w:bottom w:val="single" w:sz="4" w:space="0" w:color="auto"/>
            </w:tcBorders>
            <w:shd w:val="clear" w:color="auto" w:fill="FFFFFF"/>
            <w:tcMar>
              <w:top w:w="150" w:type="dxa"/>
              <w:left w:w="240" w:type="dxa"/>
              <w:bottom w:w="150" w:type="dxa"/>
              <w:right w:w="240" w:type="dxa"/>
            </w:tcMar>
            <w:vAlign w:val="center"/>
            <w:hideMark/>
          </w:tcPr>
          <w:p w14:paraId="12289807"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153 (30.5)</w:t>
            </w:r>
          </w:p>
        </w:tc>
        <w:tc>
          <w:tcPr>
            <w:tcW w:w="1645" w:type="dxa"/>
            <w:tcBorders>
              <w:bottom w:val="single" w:sz="4" w:space="0" w:color="auto"/>
            </w:tcBorders>
            <w:shd w:val="clear" w:color="auto" w:fill="FFFFFF"/>
            <w:tcMar>
              <w:top w:w="150" w:type="dxa"/>
              <w:left w:w="240" w:type="dxa"/>
              <w:bottom w:w="150" w:type="dxa"/>
              <w:right w:w="0" w:type="dxa"/>
            </w:tcMar>
            <w:vAlign w:val="center"/>
            <w:hideMark/>
          </w:tcPr>
          <w:p w14:paraId="3A5D0728" w14:textId="77777777" w:rsidR="0015315F" w:rsidRPr="00E50D5B" w:rsidRDefault="0015315F" w:rsidP="007A40DA">
            <w:pPr>
              <w:jc w:val="both"/>
              <w:rPr>
                <w:rFonts w:ascii="Times New Roman" w:hAnsi="Times New Roman" w:cs="Times New Roman"/>
                <w:noProof/>
              </w:rPr>
            </w:pPr>
            <w:r w:rsidRPr="00E50D5B">
              <w:rPr>
                <w:rFonts w:ascii="Times New Roman" w:hAnsi="Times New Roman" w:cs="Times New Roman"/>
                <w:noProof/>
              </w:rPr>
              <w:t>44 (8.8)</w:t>
            </w:r>
          </w:p>
        </w:tc>
      </w:tr>
    </w:tbl>
    <w:p w14:paraId="743987B6" w14:textId="77777777" w:rsidR="0015315F" w:rsidRPr="00E50D5B" w:rsidRDefault="0015315F" w:rsidP="0015315F">
      <w:pPr>
        <w:jc w:val="both"/>
        <w:rPr>
          <w:rFonts w:ascii="Times New Roman" w:hAnsi="Times New Roman" w:cs="Times New Roman"/>
          <w:i/>
          <w:iCs/>
          <w:noProof/>
        </w:rPr>
      </w:pPr>
      <w:r w:rsidRPr="00E50D5B">
        <w:rPr>
          <w:rFonts w:ascii="Times New Roman" w:hAnsi="Times New Roman" w:cs="Times New Roman"/>
          <w:i/>
          <w:iCs/>
          <w:noProof/>
        </w:rPr>
        <w:t>1=Strongly disagree, 2=Disagree, 3=Undecided, 4=Agree, 5=Strongly agree. n=frequency, %=row percentage.</w:t>
      </w:r>
    </w:p>
    <w:p w14:paraId="640EBE77" w14:textId="3029CDF5" w:rsidR="0015315F" w:rsidRPr="00977198" w:rsidRDefault="0015315F" w:rsidP="0015315F">
      <w:pPr>
        <w:jc w:val="both"/>
        <w:rPr>
          <w:rFonts w:ascii="Times New Roman" w:hAnsi="Times New Roman" w:cs="Times New Roman"/>
          <w:i/>
          <w:iCs/>
          <w:noProof/>
          <w:sz w:val="24"/>
          <w:szCs w:val="24"/>
        </w:rPr>
        <w:sectPr w:rsidR="0015315F" w:rsidRPr="00977198" w:rsidSect="0015315F">
          <w:pgSz w:w="16838" w:h="11906" w:orient="landscape"/>
          <w:pgMar w:top="1417" w:right="1417" w:bottom="1417" w:left="1417" w:header="708" w:footer="708" w:gutter="0"/>
          <w:cols w:space="708"/>
          <w:docGrid w:linePitch="360"/>
        </w:sectPr>
      </w:pPr>
    </w:p>
    <w:p w14:paraId="24ADC87A" w14:textId="77777777" w:rsidR="0015315F" w:rsidRPr="00977198" w:rsidRDefault="0015315F" w:rsidP="0015315F">
      <w:pPr>
        <w:spacing w:line="360" w:lineRule="auto"/>
        <w:jc w:val="both"/>
        <w:rPr>
          <w:rFonts w:ascii="Times New Roman" w:hAnsi="Times New Roman" w:cs="Times New Roman"/>
          <w:b/>
          <w:bCs/>
          <w:noProof/>
          <w:sz w:val="24"/>
          <w:szCs w:val="24"/>
        </w:rPr>
      </w:pPr>
      <w:r w:rsidRPr="00977198">
        <w:rPr>
          <w:rFonts w:ascii="Times New Roman" w:hAnsi="Times New Roman" w:cs="Times New Roman"/>
          <w:b/>
          <w:bCs/>
          <w:noProof/>
          <w:sz w:val="24"/>
          <w:szCs w:val="24"/>
        </w:rPr>
        <w:lastRenderedPageBreak/>
        <w:t>Table 4:</w:t>
      </w:r>
      <w:r w:rsidRPr="00977198">
        <w:rPr>
          <w:rFonts w:ascii="Times New Roman" w:hAnsi="Times New Roman" w:cs="Times New Roman"/>
          <w:noProof/>
          <w:color w:val="0F1115"/>
          <w:sz w:val="24"/>
          <w:szCs w:val="24"/>
          <w:shd w:val="clear" w:color="auto" w:fill="FFFFFF"/>
        </w:rPr>
        <w:t xml:space="preserve"> </w:t>
      </w:r>
      <w:r w:rsidRPr="00977198">
        <w:rPr>
          <w:rFonts w:ascii="Times New Roman" w:hAnsi="Times New Roman" w:cs="Times New Roman"/>
          <w:noProof/>
          <w:sz w:val="24"/>
          <w:szCs w:val="24"/>
        </w:rPr>
        <w:t>Association Between Demographic/Professional Characteristics and Attitude and Knowledge Scores</w:t>
      </w:r>
    </w:p>
    <w:tbl>
      <w:tblPr>
        <w:tblW w:w="9087" w:type="dxa"/>
        <w:tblBorders>
          <w:top w:val="single" w:sz="4" w:space="0" w:color="auto"/>
          <w:bottom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013"/>
        <w:gridCol w:w="1466"/>
        <w:gridCol w:w="1706"/>
        <w:gridCol w:w="2902"/>
      </w:tblGrid>
      <w:tr w:rsidR="0015315F" w:rsidRPr="00977198" w14:paraId="46D77F70" w14:textId="77777777" w:rsidTr="007A40DA">
        <w:trPr>
          <w:trHeight w:val="828"/>
          <w:tblHeader/>
        </w:trPr>
        <w:tc>
          <w:tcPr>
            <w:tcW w:w="3503" w:type="dxa"/>
            <w:tcBorders>
              <w:top w:val="single" w:sz="4" w:space="0" w:color="auto"/>
              <w:bottom w:val="single" w:sz="4" w:space="0" w:color="auto"/>
            </w:tcBorders>
            <w:shd w:val="clear" w:color="auto" w:fill="FFFFFF"/>
            <w:tcMar>
              <w:top w:w="150" w:type="dxa"/>
              <w:left w:w="0" w:type="dxa"/>
              <w:bottom w:w="150" w:type="dxa"/>
              <w:right w:w="240" w:type="dxa"/>
            </w:tcMar>
            <w:vAlign w:val="center"/>
            <w:hideMark/>
          </w:tcPr>
          <w:p w14:paraId="39F0C3B7" w14:textId="77777777" w:rsidR="0015315F" w:rsidRPr="00977198" w:rsidRDefault="0015315F" w:rsidP="007A40DA">
            <w:pPr>
              <w:spacing w:line="360" w:lineRule="auto"/>
              <w:jc w:val="both"/>
              <w:rPr>
                <w:rFonts w:ascii="Times New Roman" w:hAnsi="Times New Roman" w:cs="Times New Roman"/>
                <w:b/>
                <w:bCs/>
                <w:noProof/>
                <w:sz w:val="24"/>
                <w:szCs w:val="24"/>
              </w:rPr>
            </w:pPr>
            <w:r w:rsidRPr="00977198">
              <w:rPr>
                <w:rFonts w:ascii="Times New Roman" w:hAnsi="Times New Roman" w:cs="Times New Roman"/>
                <w:b/>
                <w:bCs/>
                <w:noProof/>
                <w:sz w:val="24"/>
                <w:szCs w:val="24"/>
              </w:rPr>
              <w:t>Independent Variables</w:t>
            </w:r>
          </w:p>
        </w:tc>
        <w:tc>
          <w:tcPr>
            <w:tcW w:w="1511" w:type="dxa"/>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649123B0"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Attitude score</w:t>
            </w:r>
            <w:r w:rsidRPr="008B3742">
              <w:rPr>
                <w:rFonts w:ascii="Times New Roman" w:hAnsi="Times New Roman" w:cs="Times New Roman"/>
                <w:noProof/>
                <w:sz w:val="24"/>
                <w:szCs w:val="24"/>
                <w:highlight w:val="yellow"/>
              </w:rPr>
              <w:br/>
              <w:t>Statistic; p; effect size</w:t>
            </w:r>
          </w:p>
        </w:tc>
        <w:tc>
          <w:tcPr>
            <w:tcW w:w="1805" w:type="dxa"/>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2F12F978"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Corrected knowledge score</w:t>
            </w:r>
            <w:r w:rsidRPr="008B3742">
              <w:rPr>
                <w:rFonts w:ascii="Times New Roman" w:hAnsi="Times New Roman" w:cs="Times New Roman"/>
                <w:noProof/>
                <w:sz w:val="24"/>
                <w:szCs w:val="24"/>
                <w:highlight w:val="yellow"/>
              </w:rPr>
              <w:br/>
              <w:t>Statistic; p; effect size</w:t>
            </w:r>
          </w:p>
        </w:tc>
        <w:tc>
          <w:tcPr>
            <w:tcW w:w="2268" w:type="dxa"/>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05F944F8" w14:textId="77777777" w:rsidR="0015315F" w:rsidRPr="00977198" w:rsidRDefault="0015315F" w:rsidP="007A40DA">
            <w:pPr>
              <w:spacing w:line="360" w:lineRule="auto"/>
              <w:jc w:val="both"/>
              <w:rPr>
                <w:rFonts w:ascii="Times New Roman" w:hAnsi="Times New Roman" w:cs="Times New Roman"/>
                <w:b/>
                <w:bCs/>
                <w:noProof/>
                <w:sz w:val="24"/>
                <w:szCs w:val="24"/>
              </w:rPr>
            </w:pPr>
            <w:r w:rsidRPr="00977198">
              <w:rPr>
                <w:rFonts w:ascii="Times New Roman" w:hAnsi="Times New Roman" w:cs="Times New Roman"/>
                <w:b/>
                <w:bCs/>
                <w:noProof/>
                <w:sz w:val="24"/>
                <w:szCs w:val="24"/>
              </w:rPr>
              <w:t>Direction of Significant Difference</w:t>
            </w:r>
          </w:p>
        </w:tc>
      </w:tr>
      <w:tr w:rsidR="0015315F" w:rsidRPr="00977198" w14:paraId="5465B1CF" w14:textId="77777777" w:rsidTr="007A40DA">
        <w:tc>
          <w:tcPr>
            <w:tcW w:w="3503" w:type="dxa"/>
            <w:tcBorders>
              <w:top w:val="single" w:sz="4" w:space="0" w:color="auto"/>
            </w:tcBorders>
            <w:shd w:val="clear" w:color="auto" w:fill="FFFFFF"/>
            <w:tcMar>
              <w:top w:w="150" w:type="dxa"/>
              <w:left w:w="0" w:type="dxa"/>
              <w:bottom w:w="150" w:type="dxa"/>
              <w:right w:w="240" w:type="dxa"/>
            </w:tcMar>
            <w:vAlign w:val="center"/>
            <w:hideMark/>
          </w:tcPr>
          <w:p w14:paraId="5440BF02" w14:textId="77777777" w:rsidR="0015315F" w:rsidRPr="00977198" w:rsidRDefault="0015315F" w:rsidP="007A40DA">
            <w:pPr>
              <w:spacing w:line="360" w:lineRule="auto"/>
              <w:jc w:val="both"/>
              <w:rPr>
                <w:rFonts w:ascii="Times New Roman" w:hAnsi="Times New Roman" w:cs="Times New Roman"/>
                <w:b/>
                <w:bCs/>
                <w:noProof/>
                <w:sz w:val="24"/>
                <w:szCs w:val="24"/>
              </w:rPr>
            </w:pPr>
            <w:r w:rsidRPr="00977198">
              <w:rPr>
                <w:rFonts w:ascii="Times New Roman" w:hAnsi="Times New Roman" w:cs="Times New Roman"/>
                <w:b/>
                <w:bCs/>
                <w:noProof/>
                <w:sz w:val="24"/>
                <w:szCs w:val="24"/>
              </w:rPr>
              <w:t>Sex (Female vs. Male)</w:t>
            </w:r>
          </w:p>
        </w:tc>
        <w:tc>
          <w:tcPr>
            <w:tcW w:w="1511" w:type="dxa"/>
            <w:tcBorders>
              <w:top w:val="single" w:sz="4" w:space="0" w:color="auto"/>
            </w:tcBorders>
            <w:shd w:val="clear" w:color="auto" w:fill="FFFFFF"/>
            <w:tcMar>
              <w:top w:w="150" w:type="dxa"/>
              <w:left w:w="240" w:type="dxa"/>
              <w:bottom w:w="150" w:type="dxa"/>
              <w:right w:w="240" w:type="dxa"/>
            </w:tcMar>
            <w:vAlign w:val="center"/>
            <w:hideMark/>
          </w:tcPr>
          <w:p w14:paraId="52EC88F7"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U = 27,644.0; p = 0.095</w:t>
            </w:r>
            <w:r w:rsidRPr="008B3742">
              <w:rPr>
                <w:rFonts w:ascii="Times New Roman" w:hAnsi="Times New Roman" w:cs="Times New Roman"/>
                <w:noProof/>
                <w:sz w:val="24"/>
                <w:szCs w:val="24"/>
                <w:highlight w:val="yellow"/>
              </w:rPr>
              <w:br/>
              <w:t>|r_rb| = 0.087</w:t>
            </w:r>
          </w:p>
        </w:tc>
        <w:tc>
          <w:tcPr>
            <w:tcW w:w="1805" w:type="dxa"/>
            <w:tcBorders>
              <w:top w:val="single" w:sz="4" w:space="0" w:color="auto"/>
            </w:tcBorders>
            <w:shd w:val="clear" w:color="auto" w:fill="FFFFFF"/>
            <w:tcMar>
              <w:top w:w="150" w:type="dxa"/>
              <w:left w:w="240" w:type="dxa"/>
              <w:bottom w:w="150" w:type="dxa"/>
              <w:right w:w="240" w:type="dxa"/>
            </w:tcMar>
            <w:vAlign w:val="center"/>
            <w:hideMark/>
          </w:tcPr>
          <w:p w14:paraId="574F5262"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U = 30,041.5; p = 0.874</w:t>
            </w:r>
            <w:r w:rsidRPr="008B3742">
              <w:rPr>
                <w:rFonts w:ascii="Times New Roman" w:hAnsi="Times New Roman" w:cs="Times New Roman"/>
                <w:noProof/>
                <w:sz w:val="24"/>
                <w:szCs w:val="24"/>
                <w:highlight w:val="yellow"/>
              </w:rPr>
              <w:br/>
              <w:t>|r_rb| = 0.008</w:t>
            </w:r>
          </w:p>
        </w:tc>
        <w:tc>
          <w:tcPr>
            <w:tcW w:w="2268" w:type="dxa"/>
            <w:tcBorders>
              <w:top w:val="single" w:sz="4" w:space="0" w:color="auto"/>
            </w:tcBorders>
            <w:shd w:val="clear" w:color="auto" w:fill="FFFFFF"/>
            <w:tcMar>
              <w:top w:w="150" w:type="dxa"/>
              <w:left w:w="240" w:type="dxa"/>
              <w:bottom w:w="150" w:type="dxa"/>
              <w:right w:w="0" w:type="dxa"/>
            </w:tcMar>
            <w:vAlign w:val="center"/>
            <w:hideMark/>
          </w:tcPr>
          <w:p w14:paraId="19184D99" w14:textId="77777777" w:rsidR="0015315F" w:rsidRPr="00977198" w:rsidRDefault="0015315F" w:rsidP="007A40DA">
            <w:pPr>
              <w:jc w:val="both"/>
              <w:rPr>
                <w:rFonts w:ascii="Times New Roman" w:hAnsi="Times New Roman" w:cs="Times New Roman"/>
                <w:noProof/>
                <w:sz w:val="24"/>
                <w:szCs w:val="24"/>
              </w:rPr>
            </w:pPr>
            <w:r w:rsidRPr="00977198">
              <w:rPr>
                <w:rFonts w:ascii="Times New Roman" w:hAnsi="Times New Roman" w:cs="Times New Roman"/>
                <w:noProof/>
                <w:sz w:val="24"/>
                <w:szCs w:val="24"/>
              </w:rPr>
              <w:t>Not significant</w:t>
            </w:r>
          </w:p>
        </w:tc>
      </w:tr>
      <w:tr w:rsidR="0015315F" w:rsidRPr="00977198" w14:paraId="4861723C" w14:textId="77777777" w:rsidTr="007A40DA">
        <w:tc>
          <w:tcPr>
            <w:tcW w:w="3503" w:type="dxa"/>
            <w:shd w:val="clear" w:color="auto" w:fill="FFFFFF"/>
            <w:tcMar>
              <w:top w:w="150" w:type="dxa"/>
              <w:left w:w="0" w:type="dxa"/>
              <w:bottom w:w="150" w:type="dxa"/>
              <w:right w:w="240" w:type="dxa"/>
            </w:tcMar>
            <w:vAlign w:val="center"/>
            <w:hideMark/>
          </w:tcPr>
          <w:p w14:paraId="5C633A20" w14:textId="77777777" w:rsidR="0015315F" w:rsidRPr="00977198" w:rsidRDefault="0015315F" w:rsidP="007A40DA">
            <w:pPr>
              <w:spacing w:line="360" w:lineRule="auto"/>
              <w:jc w:val="both"/>
              <w:rPr>
                <w:rFonts w:ascii="Times New Roman" w:hAnsi="Times New Roman" w:cs="Times New Roman"/>
                <w:b/>
                <w:bCs/>
                <w:noProof/>
                <w:sz w:val="24"/>
                <w:szCs w:val="24"/>
              </w:rPr>
            </w:pPr>
            <w:r w:rsidRPr="00977198">
              <w:rPr>
                <w:rFonts w:ascii="Times New Roman" w:hAnsi="Times New Roman" w:cs="Times New Roman"/>
                <w:b/>
                <w:bCs/>
                <w:noProof/>
                <w:sz w:val="24"/>
                <w:szCs w:val="24"/>
              </w:rPr>
              <w:t>Workplace (Public vs. Private)</w:t>
            </w:r>
          </w:p>
        </w:tc>
        <w:tc>
          <w:tcPr>
            <w:tcW w:w="1511" w:type="dxa"/>
            <w:shd w:val="clear" w:color="auto" w:fill="FFFFFF"/>
            <w:tcMar>
              <w:top w:w="150" w:type="dxa"/>
              <w:left w:w="240" w:type="dxa"/>
              <w:bottom w:w="150" w:type="dxa"/>
              <w:right w:w="240" w:type="dxa"/>
            </w:tcMar>
            <w:vAlign w:val="center"/>
            <w:hideMark/>
          </w:tcPr>
          <w:p w14:paraId="65B9B4FD"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U = 32,517.5; p = 0.468</w:t>
            </w:r>
            <w:r w:rsidRPr="008B3742">
              <w:rPr>
                <w:rFonts w:ascii="Times New Roman" w:hAnsi="Times New Roman" w:cs="Times New Roman"/>
                <w:noProof/>
                <w:sz w:val="24"/>
                <w:szCs w:val="24"/>
                <w:highlight w:val="yellow"/>
              </w:rPr>
              <w:br/>
              <w:t>|r_rb| = 0.037</w:t>
            </w:r>
          </w:p>
        </w:tc>
        <w:tc>
          <w:tcPr>
            <w:tcW w:w="1805" w:type="dxa"/>
            <w:shd w:val="clear" w:color="auto" w:fill="FFFFFF"/>
            <w:tcMar>
              <w:top w:w="150" w:type="dxa"/>
              <w:left w:w="240" w:type="dxa"/>
              <w:bottom w:w="150" w:type="dxa"/>
              <w:right w:w="240" w:type="dxa"/>
            </w:tcMar>
            <w:vAlign w:val="center"/>
            <w:hideMark/>
          </w:tcPr>
          <w:p w14:paraId="2061462C"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U = 31,989.0; p = 0.691</w:t>
            </w:r>
            <w:r w:rsidRPr="008B3742">
              <w:rPr>
                <w:rFonts w:ascii="Times New Roman" w:hAnsi="Times New Roman" w:cs="Times New Roman"/>
                <w:noProof/>
                <w:sz w:val="24"/>
                <w:szCs w:val="24"/>
                <w:highlight w:val="yellow"/>
              </w:rPr>
              <w:br/>
              <w:t>|r_rb| = 0.020</w:t>
            </w:r>
          </w:p>
        </w:tc>
        <w:tc>
          <w:tcPr>
            <w:tcW w:w="2268" w:type="dxa"/>
            <w:shd w:val="clear" w:color="auto" w:fill="FFFFFF"/>
            <w:tcMar>
              <w:top w:w="150" w:type="dxa"/>
              <w:left w:w="240" w:type="dxa"/>
              <w:bottom w:w="150" w:type="dxa"/>
              <w:right w:w="0" w:type="dxa"/>
            </w:tcMar>
            <w:vAlign w:val="center"/>
            <w:hideMark/>
          </w:tcPr>
          <w:p w14:paraId="4ECDCDEA" w14:textId="77777777" w:rsidR="0015315F" w:rsidRPr="00977198" w:rsidRDefault="0015315F" w:rsidP="007A40DA">
            <w:pPr>
              <w:jc w:val="both"/>
              <w:rPr>
                <w:rFonts w:ascii="Times New Roman" w:hAnsi="Times New Roman" w:cs="Times New Roman"/>
                <w:noProof/>
                <w:sz w:val="24"/>
                <w:szCs w:val="24"/>
              </w:rPr>
            </w:pPr>
            <w:r w:rsidRPr="00977198">
              <w:rPr>
                <w:rFonts w:ascii="Times New Roman" w:hAnsi="Times New Roman" w:cs="Times New Roman"/>
                <w:noProof/>
                <w:sz w:val="24"/>
                <w:szCs w:val="24"/>
              </w:rPr>
              <w:t>Not significant</w:t>
            </w:r>
          </w:p>
        </w:tc>
      </w:tr>
      <w:tr w:rsidR="0015315F" w:rsidRPr="00977198" w14:paraId="280905F1" w14:textId="77777777" w:rsidTr="007A40DA">
        <w:tc>
          <w:tcPr>
            <w:tcW w:w="3503" w:type="dxa"/>
            <w:shd w:val="clear" w:color="auto" w:fill="FFFFFF"/>
            <w:tcMar>
              <w:top w:w="150" w:type="dxa"/>
              <w:left w:w="0" w:type="dxa"/>
              <w:bottom w:w="150" w:type="dxa"/>
              <w:right w:w="240" w:type="dxa"/>
            </w:tcMar>
            <w:vAlign w:val="center"/>
            <w:hideMark/>
          </w:tcPr>
          <w:p w14:paraId="5D6834AC" w14:textId="77777777" w:rsidR="0015315F" w:rsidRPr="00977198" w:rsidRDefault="0015315F" w:rsidP="007A40DA">
            <w:pPr>
              <w:spacing w:line="360" w:lineRule="auto"/>
              <w:jc w:val="both"/>
              <w:rPr>
                <w:rFonts w:ascii="Times New Roman" w:hAnsi="Times New Roman" w:cs="Times New Roman"/>
                <w:b/>
                <w:bCs/>
                <w:noProof/>
                <w:sz w:val="24"/>
                <w:szCs w:val="24"/>
              </w:rPr>
            </w:pPr>
            <w:r w:rsidRPr="00977198">
              <w:rPr>
                <w:rFonts w:ascii="Times New Roman" w:hAnsi="Times New Roman" w:cs="Times New Roman"/>
                <w:b/>
                <w:bCs/>
                <w:noProof/>
                <w:sz w:val="24"/>
                <w:szCs w:val="24"/>
              </w:rPr>
              <w:t>Professional Experience (0–5 / 6–10 / 11–15 / &gt;15)</w:t>
            </w:r>
          </w:p>
        </w:tc>
        <w:tc>
          <w:tcPr>
            <w:tcW w:w="1511" w:type="dxa"/>
            <w:shd w:val="clear" w:color="auto" w:fill="FFFFFF"/>
            <w:tcMar>
              <w:top w:w="150" w:type="dxa"/>
              <w:left w:w="240" w:type="dxa"/>
              <w:bottom w:w="150" w:type="dxa"/>
              <w:right w:w="240" w:type="dxa"/>
            </w:tcMar>
            <w:vAlign w:val="center"/>
            <w:hideMark/>
          </w:tcPr>
          <w:p w14:paraId="01B99244"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H(3) = 0.32; p = 0.956</w:t>
            </w:r>
            <w:r w:rsidRPr="008B3742">
              <w:rPr>
                <w:rFonts w:ascii="Times New Roman" w:hAnsi="Times New Roman" w:cs="Times New Roman"/>
                <w:noProof/>
                <w:sz w:val="24"/>
                <w:szCs w:val="24"/>
                <w:highlight w:val="yellow"/>
              </w:rPr>
              <w:br/>
              <w:t>ε²_H = 0.000</w:t>
            </w:r>
          </w:p>
        </w:tc>
        <w:tc>
          <w:tcPr>
            <w:tcW w:w="1805" w:type="dxa"/>
            <w:shd w:val="clear" w:color="auto" w:fill="FFFFFF"/>
            <w:tcMar>
              <w:top w:w="150" w:type="dxa"/>
              <w:left w:w="240" w:type="dxa"/>
              <w:bottom w:w="150" w:type="dxa"/>
              <w:right w:w="240" w:type="dxa"/>
            </w:tcMar>
            <w:vAlign w:val="center"/>
            <w:hideMark/>
          </w:tcPr>
          <w:p w14:paraId="472CDDC5"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H(3) = 0.24; p = 0.970</w:t>
            </w:r>
            <w:r w:rsidRPr="008B3742">
              <w:rPr>
                <w:rFonts w:ascii="Times New Roman" w:hAnsi="Times New Roman" w:cs="Times New Roman"/>
                <w:noProof/>
                <w:sz w:val="24"/>
                <w:szCs w:val="24"/>
                <w:highlight w:val="yellow"/>
              </w:rPr>
              <w:br/>
              <w:t>ε²_H = 0.000</w:t>
            </w:r>
          </w:p>
        </w:tc>
        <w:tc>
          <w:tcPr>
            <w:tcW w:w="2268" w:type="dxa"/>
            <w:shd w:val="clear" w:color="auto" w:fill="FFFFFF"/>
            <w:tcMar>
              <w:top w:w="150" w:type="dxa"/>
              <w:left w:w="240" w:type="dxa"/>
              <w:bottom w:w="150" w:type="dxa"/>
              <w:right w:w="0" w:type="dxa"/>
            </w:tcMar>
            <w:vAlign w:val="center"/>
            <w:hideMark/>
          </w:tcPr>
          <w:p w14:paraId="1F44A8B6" w14:textId="77777777" w:rsidR="0015315F" w:rsidRPr="00977198" w:rsidRDefault="0015315F" w:rsidP="007A40DA">
            <w:pPr>
              <w:jc w:val="both"/>
              <w:rPr>
                <w:rFonts w:ascii="Times New Roman" w:hAnsi="Times New Roman" w:cs="Times New Roman"/>
                <w:noProof/>
                <w:sz w:val="24"/>
                <w:szCs w:val="24"/>
              </w:rPr>
            </w:pPr>
            <w:r w:rsidRPr="00977198">
              <w:rPr>
                <w:rFonts w:ascii="Times New Roman" w:hAnsi="Times New Roman" w:cs="Times New Roman"/>
                <w:noProof/>
                <w:sz w:val="24"/>
                <w:szCs w:val="24"/>
              </w:rPr>
              <w:t>Not significant</w:t>
            </w:r>
          </w:p>
        </w:tc>
      </w:tr>
      <w:tr w:rsidR="0015315F" w:rsidRPr="00977198" w14:paraId="0D9FA131" w14:textId="77777777" w:rsidTr="007A40DA">
        <w:tc>
          <w:tcPr>
            <w:tcW w:w="3503" w:type="dxa"/>
            <w:shd w:val="clear" w:color="auto" w:fill="FFFFFF"/>
            <w:tcMar>
              <w:top w:w="150" w:type="dxa"/>
              <w:left w:w="0" w:type="dxa"/>
              <w:bottom w:w="150" w:type="dxa"/>
              <w:right w:w="240" w:type="dxa"/>
            </w:tcMar>
            <w:vAlign w:val="center"/>
            <w:hideMark/>
          </w:tcPr>
          <w:p w14:paraId="7D35AE63" w14:textId="77777777" w:rsidR="0015315F" w:rsidRPr="00977198" w:rsidRDefault="0015315F" w:rsidP="007A40DA">
            <w:pPr>
              <w:spacing w:line="360" w:lineRule="auto"/>
              <w:jc w:val="both"/>
              <w:rPr>
                <w:rFonts w:ascii="Times New Roman" w:hAnsi="Times New Roman" w:cs="Times New Roman"/>
                <w:b/>
                <w:bCs/>
                <w:noProof/>
                <w:sz w:val="24"/>
                <w:szCs w:val="24"/>
              </w:rPr>
            </w:pPr>
            <w:r w:rsidRPr="00977198">
              <w:rPr>
                <w:rFonts w:ascii="Times New Roman" w:hAnsi="Times New Roman" w:cs="Times New Roman"/>
                <w:b/>
                <w:bCs/>
                <w:noProof/>
                <w:sz w:val="24"/>
                <w:szCs w:val="24"/>
              </w:rPr>
              <w:lastRenderedPageBreak/>
              <w:t>Annual Surgical Case Volume (0–100 / 101–250 / &gt;250 cases)</w:t>
            </w:r>
          </w:p>
        </w:tc>
        <w:tc>
          <w:tcPr>
            <w:tcW w:w="1511" w:type="dxa"/>
            <w:shd w:val="clear" w:color="auto" w:fill="FFFFFF"/>
            <w:tcMar>
              <w:top w:w="150" w:type="dxa"/>
              <w:left w:w="240" w:type="dxa"/>
              <w:bottom w:w="150" w:type="dxa"/>
              <w:right w:w="240" w:type="dxa"/>
            </w:tcMar>
            <w:vAlign w:val="center"/>
            <w:hideMark/>
          </w:tcPr>
          <w:p w14:paraId="0F7002E1"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H(2) = 0.03; p = 0.983</w:t>
            </w:r>
            <w:r w:rsidRPr="008B3742">
              <w:rPr>
                <w:rFonts w:ascii="Times New Roman" w:hAnsi="Times New Roman" w:cs="Times New Roman"/>
                <w:noProof/>
                <w:sz w:val="24"/>
                <w:szCs w:val="24"/>
                <w:highlight w:val="yellow"/>
              </w:rPr>
              <w:br/>
              <w:t>ε²_H = 0.000</w:t>
            </w:r>
          </w:p>
        </w:tc>
        <w:tc>
          <w:tcPr>
            <w:tcW w:w="1805" w:type="dxa"/>
            <w:shd w:val="clear" w:color="auto" w:fill="FFFFFF"/>
            <w:tcMar>
              <w:top w:w="150" w:type="dxa"/>
              <w:left w:w="240" w:type="dxa"/>
              <w:bottom w:w="150" w:type="dxa"/>
              <w:right w:w="240" w:type="dxa"/>
            </w:tcMar>
            <w:vAlign w:val="center"/>
            <w:hideMark/>
          </w:tcPr>
          <w:p w14:paraId="572B2F67"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H(2) = 2.10; p = 0.350</w:t>
            </w:r>
            <w:r w:rsidRPr="008B3742">
              <w:rPr>
                <w:rFonts w:ascii="Times New Roman" w:hAnsi="Times New Roman" w:cs="Times New Roman"/>
                <w:noProof/>
                <w:sz w:val="24"/>
                <w:szCs w:val="24"/>
                <w:highlight w:val="yellow"/>
              </w:rPr>
              <w:br/>
              <w:t>ε²_H = 0.000</w:t>
            </w:r>
          </w:p>
        </w:tc>
        <w:tc>
          <w:tcPr>
            <w:tcW w:w="2268" w:type="dxa"/>
            <w:shd w:val="clear" w:color="auto" w:fill="FFFFFF"/>
            <w:tcMar>
              <w:top w:w="150" w:type="dxa"/>
              <w:left w:w="240" w:type="dxa"/>
              <w:bottom w:w="150" w:type="dxa"/>
              <w:right w:w="0" w:type="dxa"/>
            </w:tcMar>
            <w:vAlign w:val="center"/>
            <w:hideMark/>
          </w:tcPr>
          <w:p w14:paraId="2EC66F11" w14:textId="77777777" w:rsidR="0015315F" w:rsidRPr="00977198" w:rsidRDefault="0015315F" w:rsidP="007A40DA">
            <w:pPr>
              <w:jc w:val="both"/>
              <w:rPr>
                <w:rFonts w:ascii="Times New Roman" w:hAnsi="Times New Roman" w:cs="Times New Roman"/>
                <w:noProof/>
                <w:sz w:val="24"/>
                <w:szCs w:val="24"/>
              </w:rPr>
            </w:pPr>
            <w:r w:rsidRPr="00977198">
              <w:rPr>
                <w:rFonts w:ascii="Times New Roman" w:hAnsi="Times New Roman" w:cs="Times New Roman"/>
                <w:noProof/>
                <w:sz w:val="24"/>
                <w:szCs w:val="24"/>
              </w:rPr>
              <w:t>Not significant</w:t>
            </w:r>
          </w:p>
        </w:tc>
      </w:tr>
      <w:tr w:rsidR="0015315F" w:rsidRPr="00977198" w14:paraId="1BCA1189" w14:textId="77777777" w:rsidTr="007A40DA">
        <w:tc>
          <w:tcPr>
            <w:tcW w:w="3503" w:type="dxa"/>
            <w:shd w:val="clear" w:color="auto" w:fill="FFFFFF"/>
            <w:tcMar>
              <w:top w:w="150" w:type="dxa"/>
              <w:left w:w="0" w:type="dxa"/>
              <w:bottom w:w="150" w:type="dxa"/>
              <w:right w:w="240" w:type="dxa"/>
            </w:tcMar>
            <w:vAlign w:val="center"/>
            <w:hideMark/>
          </w:tcPr>
          <w:p w14:paraId="3FF78940" w14:textId="77777777" w:rsidR="0015315F" w:rsidRPr="00977198" w:rsidRDefault="0015315F" w:rsidP="007A40DA">
            <w:pPr>
              <w:jc w:val="both"/>
              <w:rPr>
                <w:rFonts w:ascii="Times New Roman" w:hAnsi="Times New Roman" w:cs="Times New Roman"/>
                <w:noProof/>
                <w:sz w:val="24"/>
                <w:szCs w:val="24"/>
              </w:rPr>
            </w:pPr>
            <w:r w:rsidRPr="008B3742">
              <w:rPr>
                <w:rFonts w:ascii="Times New Roman" w:hAnsi="Times New Roman" w:cs="Times New Roman"/>
                <w:noProof/>
                <w:sz w:val="24"/>
                <w:szCs w:val="24"/>
                <w:highlight w:val="yellow"/>
              </w:rPr>
              <w:t>PRF training status (No training, n = 300 / Undergraduate or postgraduate, n = 104 / Short course or seminar, n = 93 / Comprehensive course ≥1 day, n = 4)</w:t>
            </w:r>
          </w:p>
        </w:tc>
        <w:tc>
          <w:tcPr>
            <w:tcW w:w="1511" w:type="dxa"/>
            <w:shd w:val="clear" w:color="auto" w:fill="FFFFFF"/>
            <w:tcMar>
              <w:top w:w="150" w:type="dxa"/>
              <w:left w:w="240" w:type="dxa"/>
              <w:bottom w:w="150" w:type="dxa"/>
              <w:right w:w="240" w:type="dxa"/>
            </w:tcMar>
            <w:vAlign w:val="center"/>
            <w:hideMark/>
          </w:tcPr>
          <w:p w14:paraId="16593BC9"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H(3) = 129.30; p &lt; 0.001</w:t>
            </w:r>
            <w:r w:rsidRPr="008B3742">
              <w:rPr>
                <w:rFonts w:ascii="Times New Roman" w:hAnsi="Times New Roman" w:cs="Times New Roman"/>
                <w:noProof/>
                <w:sz w:val="24"/>
                <w:szCs w:val="24"/>
                <w:highlight w:val="yellow"/>
              </w:rPr>
              <w:br/>
              <w:t>ε²_H = 0.254</w:t>
            </w:r>
          </w:p>
        </w:tc>
        <w:tc>
          <w:tcPr>
            <w:tcW w:w="1805" w:type="dxa"/>
            <w:shd w:val="clear" w:color="auto" w:fill="FFFFFF"/>
            <w:tcMar>
              <w:top w:w="150" w:type="dxa"/>
              <w:left w:w="240" w:type="dxa"/>
              <w:bottom w:w="150" w:type="dxa"/>
              <w:right w:w="240" w:type="dxa"/>
            </w:tcMar>
            <w:vAlign w:val="center"/>
            <w:hideMark/>
          </w:tcPr>
          <w:p w14:paraId="78575832"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H(3) = 168.40; p &lt; 0.001</w:t>
            </w:r>
            <w:r w:rsidRPr="008B3742">
              <w:rPr>
                <w:rFonts w:ascii="Times New Roman" w:hAnsi="Times New Roman" w:cs="Times New Roman"/>
                <w:noProof/>
                <w:sz w:val="24"/>
                <w:szCs w:val="24"/>
                <w:highlight w:val="yellow"/>
              </w:rPr>
              <w:br/>
              <w:t>ε²_H = 0.333</w:t>
            </w:r>
          </w:p>
        </w:tc>
        <w:tc>
          <w:tcPr>
            <w:tcW w:w="2268" w:type="dxa"/>
            <w:shd w:val="clear" w:color="auto" w:fill="FFFFFF"/>
            <w:tcMar>
              <w:top w:w="150" w:type="dxa"/>
              <w:left w:w="240" w:type="dxa"/>
              <w:bottom w:w="150" w:type="dxa"/>
              <w:right w:w="0" w:type="dxa"/>
            </w:tcMar>
            <w:vAlign w:val="center"/>
            <w:hideMark/>
          </w:tcPr>
          <w:p w14:paraId="49DF6F9F" w14:textId="77777777" w:rsidR="0015315F" w:rsidRPr="00977198" w:rsidRDefault="0015315F" w:rsidP="007A40DA">
            <w:pPr>
              <w:jc w:val="both"/>
              <w:rPr>
                <w:rFonts w:ascii="Times New Roman" w:hAnsi="Times New Roman" w:cs="Times New Roman"/>
                <w:noProof/>
                <w:sz w:val="24"/>
                <w:szCs w:val="24"/>
              </w:rPr>
            </w:pPr>
            <w:r w:rsidRPr="008B3742">
              <w:rPr>
                <w:rFonts w:ascii="Times New Roman" w:hAnsi="Times New Roman" w:cs="Times New Roman"/>
                <w:noProof/>
                <w:sz w:val="24"/>
                <w:szCs w:val="24"/>
                <w:highlight w:val="yellow"/>
              </w:rPr>
              <w:t>No training &lt; undergraduate/postgraduate training or short course/seminar (both scores; Holm-adjusted p &lt; 0.001)</w:t>
            </w:r>
          </w:p>
        </w:tc>
      </w:tr>
      <w:tr w:rsidR="0015315F" w:rsidRPr="00977198" w14:paraId="5CC2AC6E" w14:textId="77777777" w:rsidTr="007A40DA">
        <w:tc>
          <w:tcPr>
            <w:tcW w:w="3503" w:type="dxa"/>
            <w:shd w:val="clear" w:color="auto" w:fill="FFFFFF"/>
            <w:tcMar>
              <w:top w:w="150" w:type="dxa"/>
              <w:left w:w="0" w:type="dxa"/>
              <w:bottom w:w="150" w:type="dxa"/>
              <w:right w:w="240" w:type="dxa"/>
            </w:tcMar>
            <w:vAlign w:val="center"/>
            <w:hideMark/>
          </w:tcPr>
          <w:p w14:paraId="320F8864"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Monthly PRF-use frequency (Never, n = 438 / &lt;1 per month, n = 25 / 1–5 per month, n = 28 / 5–10 per month, n = 6 / &gt;10 per month, n = 4)</w:t>
            </w:r>
          </w:p>
        </w:tc>
        <w:tc>
          <w:tcPr>
            <w:tcW w:w="1511" w:type="dxa"/>
            <w:shd w:val="clear" w:color="auto" w:fill="FFFFFF"/>
            <w:tcMar>
              <w:top w:w="150" w:type="dxa"/>
              <w:left w:w="240" w:type="dxa"/>
              <w:bottom w:w="150" w:type="dxa"/>
              <w:right w:w="240" w:type="dxa"/>
            </w:tcMar>
            <w:vAlign w:val="center"/>
            <w:hideMark/>
          </w:tcPr>
          <w:p w14:paraId="18F03315"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H(4) = 8.95; p = 0.062</w:t>
            </w:r>
            <w:r w:rsidRPr="008B3742">
              <w:rPr>
                <w:rFonts w:ascii="Times New Roman" w:hAnsi="Times New Roman" w:cs="Times New Roman"/>
                <w:noProof/>
                <w:sz w:val="24"/>
                <w:szCs w:val="24"/>
                <w:highlight w:val="yellow"/>
              </w:rPr>
              <w:br/>
              <w:t>ε²_H = 0.010</w:t>
            </w:r>
          </w:p>
        </w:tc>
        <w:tc>
          <w:tcPr>
            <w:tcW w:w="1805" w:type="dxa"/>
            <w:shd w:val="clear" w:color="auto" w:fill="FFFFFF"/>
            <w:tcMar>
              <w:top w:w="150" w:type="dxa"/>
              <w:left w:w="240" w:type="dxa"/>
              <w:bottom w:w="150" w:type="dxa"/>
              <w:right w:w="240" w:type="dxa"/>
            </w:tcMar>
            <w:vAlign w:val="center"/>
            <w:hideMark/>
          </w:tcPr>
          <w:p w14:paraId="51E45C6F"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H(4) = 4.38; p = 0.357</w:t>
            </w:r>
            <w:r w:rsidRPr="008B3742">
              <w:rPr>
                <w:rFonts w:ascii="Times New Roman" w:hAnsi="Times New Roman" w:cs="Times New Roman"/>
                <w:noProof/>
                <w:sz w:val="24"/>
                <w:szCs w:val="24"/>
                <w:highlight w:val="yellow"/>
              </w:rPr>
              <w:br/>
              <w:t>ε²_H = 0.001</w:t>
            </w:r>
          </w:p>
        </w:tc>
        <w:tc>
          <w:tcPr>
            <w:tcW w:w="2268" w:type="dxa"/>
            <w:shd w:val="clear" w:color="auto" w:fill="FFFFFF"/>
            <w:tcMar>
              <w:top w:w="150" w:type="dxa"/>
              <w:left w:w="240" w:type="dxa"/>
              <w:bottom w:w="150" w:type="dxa"/>
              <w:right w:w="0" w:type="dxa"/>
            </w:tcMar>
            <w:vAlign w:val="center"/>
            <w:hideMark/>
          </w:tcPr>
          <w:p w14:paraId="40BAE3D1"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Not significant</w:t>
            </w:r>
          </w:p>
        </w:tc>
      </w:tr>
      <w:tr w:rsidR="0015315F" w:rsidRPr="00977198" w14:paraId="0DD44B64" w14:textId="77777777" w:rsidTr="007A40DA">
        <w:tc>
          <w:tcPr>
            <w:tcW w:w="3503" w:type="dxa"/>
            <w:shd w:val="clear" w:color="auto" w:fill="FFFFFF"/>
            <w:tcMar>
              <w:top w:w="150" w:type="dxa"/>
              <w:left w:w="0" w:type="dxa"/>
              <w:bottom w:w="150" w:type="dxa"/>
              <w:right w:w="240" w:type="dxa"/>
            </w:tcMar>
            <w:vAlign w:val="center"/>
            <w:hideMark/>
          </w:tcPr>
          <w:p w14:paraId="335DDA31" w14:textId="77777777" w:rsidR="0015315F" w:rsidRPr="00977198" w:rsidRDefault="0015315F" w:rsidP="007A40DA">
            <w:pPr>
              <w:spacing w:line="360" w:lineRule="auto"/>
              <w:jc w:val="both"/>
              <w:rPr>
                <w:rFonts w:ascii="Times New Roman" w:hAnsi="Times New Roman" w:cs="Times New Roman"/>
                <w:b/>
                <w:bCs/>
                <w:noProof/>
                <w:sz w:val="24"/>
                <w:szCs w:val="24"/>
              </w:rPr>
            </w:pPr>
            <w:r w:rsidRPr="00977198">
              <w:rPr>
                <w:rFonts w:ascii="Times New Roman" w:hAnsi="Times New Roman" w:cs="Times New Roman"/>
                <w:b/>
                <w:bCs/>
                <w:noProof/>
                <w:sz w:val="24"/>
                <w:szCs w:val="24"/>
              </w:rPr>
              <w:lastRenderedPageBreak/>
              <w:t>Primary Source of PRF Knowledge</w:t>
            </w:r>
          </w:p>
        </w:tc>
        <w:tc>
          <w:tcPr>
            <w:tcW w:w="1511" w:type="dxa"/>
            <w:shd w:val="clear" w:color="auto" w:fill="FFFFFF"/>
            <w:tcMar>
              <w:top w:w="150" w:type="dxa"/>
              <w:left w:w="240" w:type="dxa"/>
              <w:bottom w:w="150" w:type="dxa"/>
              <w:right w:w="240" w:type="dxa"/>
            </w:tcMar>
            <w:vAlign w:val="center"/>
            <w:hideMark/>
          </w:tcPr>
          <w:p w14:paraId="328868A9"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H(5) = 26.01; p &lt; 0.001</w:t>
            </w:r>
            <w:r w:rsidRPr="008B3742">
              <w:rPr>
                <w:rFonts w:ascii="Times New Roman" w:hAnsi="Times New Roman" w:cs="Times New Roman"/>
                <w:noProof/>
                <w:sz w:val="24"/>
                <w:szCs w:val="24"/>
                <w:highlight w:val="yellow"/>
              </w:rPr>
              <w:br/>
              <w:t>ε²_H = 0.042</w:t>
            </w:r>
          </w:p>
        </w:tc>
        <w:tc>
          <w:tcPr>
            <w:tcW w:w="1805" w:type="dxa"/>
            <w:shd w:val="clear" w:color="auto" w:fill="FFFFFF"/>
            <w:tcMar>
              <w:top w:w="150" w:type="dxa"/>
              <w:left w:w="240" w:type="dxa"/>
              <w:bottom w:w="150" w:type="dxa"/>
              <w:right w:w="240" w:type="dxa"/>
            </w:tcMar>
            <w:vAlign w:val="center"/>
            <w:hideMark/>
          </w:tcPr>
          <w:p w14:paraId="3623F396"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H(5) = 23.80; p &lt; 0.001</w:t>
            </w:r>
            <w:r w:rsidRPr="008B3742">
              <w:rPr>
                <w:rFonts w:ascii="Times New Roman" w:hAnsi="Times New Roman" w:cs="Times New Roman"/>
                <w:noProof/>
                <w:sz w:val="24"/>
                <w:szCs w:val="24"/>
                <w:highlight w:val="yellow"/>
              </w:rPr>
              <w:br/>
              <w:t>ε²_H = 0.038</w:t>
            </w:r>
          </w:p>
        </w:tc>
        <w:tc>
          <w:tcPr>
            <w:tcW w:w="2268" w:type="dxa"/>
            <w:shd w:val="clear" w:color="auto" w:fill="FFFFFF"/>
            <w:tcMar>
              <w:top w:w="150" w:type="dxa"/>
              <w:left w:w="240" w:type="dxa"/>
              <w:bottom w:w="150" w:type="dxa"/>
              <w:right w:w="0" w:type="dxa"/>
            </w:tcMar>
            <w:vAlign w:val="center"/>
            <w:hideMark/>
          </w:tcPr>
          <w:p w14:paraId="1C449351"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See Holm-adjusted post hoc comparisons in Results</w:t>
            </w:r>
          </w:p>
        </w:tc>
      </w:tr>
    </w:tbl>
    <w:p w14:paraId="5E76FB9D" w14:textId="77777777" w:rsidR="008B3742" w:rsidRDefault="0015315F" w:rsidP="0015315F">
      <w:pPr>
        <w:keepLines/>
        <w:spacing w:line="360" w:lineRule="auto"/>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U: Mann–Whitney statistic (df not applicable); H(df): Kruskal–Wallis statistic. |r_rb| is the absolute rank-biserial correlation; ε²_H is epsilon-squared, truncated to zero if negative. Two-sided unadjusted p-values and effect sizes are shown.</w:t>
      </w:r>
      <w:r w:rsidRPr="008B3742">
        <w:rPr>
          <w:rFonts w:ascii="Times New Roman" w:hAnsi="Times New Roman" w:cs="Times New Roman"/>
          <w:noProof/>
          <w:sz w:val="24"/>
          <w:szCs w:val="24"/>
          <w:highlight w:val="yellow"/>
        </w:rPr>
        <w:br/>
      </w:r>
    </w:p>
    <w:p w14:paraId="29CEC2F7" w14:textId="77777777" w:rsidR="008B3742" w:rsidRDefault="008B3742" w:rsidP="0015315F">
      <w:pPr>
        <w:keepLines/>
        <w:spacing w:line="360" w:lineRule="auto"/>
        <w:jc w:val="both"/>
        <w:rPr>
          <w:rFonts w:ascii="Times New Roman" w:hAnsi="Times New Roman" w:cs="Times New Roman"/>
          <w:noProof/>
          <w:sz w:val="24"/>
          <w:szCs w:val="24"/>
          <w:highlight w:val="yellow"/>
        </w:rPr>
      </w:pPr>
    </w:p>
    <w:p w14:paraId="1711CB12" w14:textId="77777777" w:rsidR="008B3742" w:rsidRDefault="008B3742" w:rsidP="0015315F">
      <w:pPr>
        <w:keepLines/>
        <w:spacing w:line="360" w:lineRule="auto"/>
        <w:jc w:val="both"/>
        <w:rPr>
          <w:rFonts w:ascii="Times New Roman" w:hAnsi="Times New Roman" w:cs="Times New Roman"/>
          <w:noProof/>
          <w:sz w:val="24"/>
          <w:szCs w:val="24"/>
          <w:highlight w:val="yellow"/>
        </w:rPr>
      </w:pPr>
    </w:p>
    <w:p w14:paraId="6FC8C34B" w14:textId="77777777" w:rsidR="008B3742" w:rsidRDefault="008B3742" w:rsidP="0015315F">
      <w:pPr>
        <w:keepLines/>
        <w:spacing w:line="360" w:lineRule="auto"/>
        <w:jc w:val="both"/>
        <w:rPr>
          <w:rFonts w:ascii="Times New Roman" w:hAnsi="Times New Roman" w:cs="Times New Roman"/>
          <w:noProof/>
          <w:sz w:val="24"/>
          <w:szCs w:val="24"/>
          <w:highlight w:val="yellow"/>
        </w:rPr>
      </w:pPr>
    </w:p>
    <w:p w14:paraId="01E93BB0" w14:textId="77777777" w:rsidR="008B3742" w:rsidRDefault="008B3742" w:rsidP="0015315F">
      <w:pPr>
        <w:keepLines/>
        <w:spacing w:line="360" w:lineRule="auto"/>
        <w:jc w:val="both"/>
        <w:rPr>
          <w:rFonts w:ascii="Times New Roman" w:hAnsi="Times New Roman" w:cs="Times New Roman"/>
          <w:noProof/>
          <w:sz w:val="24"/>
          <w:szCs w:val="24"/>
          <w:highlight w:val="yellow"/>
        </w:rPr>
      </w:pPr>
    </w:p>
    <w:p w14:paraId="7BE5C1A2" w14:textId="77777777" w:rsidR="008B3742" w:rsidRDefault="008B3742" w:rsidP="0015315F">
      <w:pPr>
        <w:keepLines/>
        <w:spacing w:line="360" w:lineRule="auto"/>
        <w:jc w:val="both"/>
        <w:rPr>
          <w:rFonts w:ascii="Times New Roman" w:hAnsi="Times New Roman" w:cs="Times New Roman"/>
          <w:noProof/>
          <w:sz w:val="24"/>
          <w:szCs w:val="24"/>
          <w:highlight w:val="yellow"/>
        </w:rPr>
      </w:pPr>
    </w:p>
    <w:p w14:paraId="66FC73B5" w14:textId="77777777" w:rsidR="008B3742" w:rsidRDefault="008B3742" w:rsidP="0015315F">
      <w:pPr>
        <w:keepLines/>
        <w:spacing w:line="360" w:lineRule="auto"/>
        <w:jc w:val="both"/>
        <w:rPr>
          <w:rFonts w:ascii="Times New Roman" w:hAnsi="Times New Roman" w:cs="Times New Roman"/>
          <w:noProof/>
          <w:sz w:val="24"/>
          <w:szCs w:val="24"/>
          <w:highlight w:val="yellow"/>
        </w:rPr>
      </w:pPr>
    </w:p>
    <w:p w14:paraId="77177B33" w14:textId="77777777" w:rsidR="008B3742" w:rsidRDefault="008B3742" w:rsidP="0015315F">
      <w:pPr>
        <w:keepLines/>
        <w:spacing w:line="360" w:lineRule="auto"/>
        <w:jc w:val="both"/>
        <w:rPr>
          <w:rFonts w:ascii="Times New Roman" w:hAnsi="Times New Roman" w:cs="Times New Roman"/>
          <w:noProof/>
          <w:sz w:val="24"/>
          <w:szCs w:val="24"/>
          <w:highlight w:val="yellow"/>
        </w:rPr>
      </w:pPr>
    </w:p>
    <w:p w14:paraId="1CCF0F3D" w14:textId="77777777" w:rsidR="008B3742" w:rsidRDefault="008B3742" w:rsidP="0015315F">
      <w:pPr>
        <w:keepLines/>
        <w:spacing w:line="360" w:lineRule="auto"/>
        <w:jc w:val="both"/>
        <w:rPr>
          <w:rFonts w:ascii="Times New Roman" w:hAnsi="Times New Roman" w:cs="Times New Roman"/>
          <w:noProof/>
          <w:sz w:val="24"/>
          <w:szCs w:val="24"/>
          <w:highlight w:val="yellow"/>
        </w:rPr>
      </w:pPr>
    </w:p>
    <w:p w14:paraId="245D0150" w14:textId="71BE54A4" w:rsidR="0015315F" w:rsidRPr="00977198" w:rsidRDefault="0015315F" w:rsidP="0015315F">
      <w:pPr>
        <w:keepLines/>
        <w:spacing w:line="360" w:lineRule="auto"/>
        <w:jc w:val="both"/>
        <w:rPr>
          <w:rFonts w:ascii="Times New Roman" w:hAnsi="Times New Roman" w:cs="Times New Roman"/>
          <w:noProof/>
          <w:sz w:val="24"/>
          <w:szCs w:val="24"/>
        </w:rPr>
      </w:pPr>
      <w:r w:rsidRPr="0007053A">
        <w:rPr>
          <w:rFonts w:ascii="Times New Roman" w:hAnsi="Times New Roman" w:cs="Times New Roman"/>
          <w:b/>
          <w:bCs/>
          <w:noProof/>
          <w:sz w:val="24"/>
          <w:szCs w:val="24"/>
        </w:rPr>
        <w:t>Table 5:</w:t>
      </w:r>
      <w:r w:rsidRPr="0007053A">
        <w:rPr>
          <w:rFonts w:ascii="Times New Roman" w:hAnsi="Times New Roman" w:cs="Times New Roman"/>
          <w:noProof/>
          <w:sz w:val="24"/>
          <w:szCs w:val="24"/>
        </w:rPr>
        <w:t xml:space="preserve"> Association Between Knowledge Items and Demographic/Clinical Variables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21"/>
        <w:gridCol w:w="2513"/>
        <w:gridCol w:w="2771"/>
        <w:gridCol w:w="2703"/>
        <w:gridCol w:w="2579"/>
        <w:gridCol w:w="2717"/>
      </w:tblGrid>
      <w:tr w:rsidR="0015315F" w:rsidRPr="008B3742" w14:paraId="54612E4F" w14:textId="77777777" w:rsidTr="007A40DA">
        <w:trPr>
          <w:cantSplit/>
          <w:tblHeader/>
        </w:trPr>
        <w:tc>
          <w:tcPr>
            <w:tcW w:w="0" w:type="auto"/>
            <w:tcBorders>
              <w:top w:val="single" w:sz="4" w:space="0" w:color="auto"/>
              <w:bottom w:val="single" w:sz="4" w:space="0" w:color="auto"/>
            </w:tcBorders>
            <w:shd w:val="clear" w:color="auto" w:fill="FFFFFF"/>
            <w:tcMar>
              <w:top w:w="150" w:type="dxa"/>
              <w:left w:w="0" w:type="dxa"/>
              <w:bottom w:w="150" w:type="dxa"/>
              <w:right w:w="240" w:type="dxa"/>
            </w:tcMar>
            <w:vAlign w:val="center"/>
            <w:hideMark/>
          </w:tcPr>
          <w:p w14:paraId="1F082691" w14:textId="77777777" w:rsidR="0015315F" w:rsidRPr="008B3742" w:rsidRDefault="0015315F" w:rsidP="007A40DA">
            <w:pPr>
              <w:spacing w:line="240" w:lineRule="auto"/>
              <w:jc w:val="both"/>
              <w:rPr>
                <w:rFonts w:ascii="Times New Roman" w:hAnsi="Times New Roman" w:cs="Times New Roman"/>
                <w:b/>
                <w:bCs/>
                <w:noProof/>
                <w:sz w:val="24"/>
                <w:szCs w:val="24"/>
                <w:highlight w:val="yellow"/>
              </w:rPr>
            </w:pPr>
            <w:r w:rsidRPr="008B3742">
              <w:rPr>
                <w:rFonts w:ascii="Times New Roman" w:hAnsi="Times New Roman" w:cs="Times New Roman"/>
                <w:b/>
                <w:bCs/>
                <w:noProof/>
                <w:sz w:val="24"/>
                <w:szCs w:val="24"/>
                <w:highlight w:val="yellow"/>
              </w:rPr>
              <w:t xml:space="preserve">Item </w:t>
            </w:r>
          </w:p>
        </w:tc>
        <w:tc>
          <w:tcPr>
            <w:tcW w:w="0" w:type="auto"/>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16BC4D9D"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Sex</w:t>
            </w:r>
            <w:r w:rsidRPr="008B3742">
              <w:rPr>
                <w:rFonts w:ascii="Times New Roman" w:hAnsi="Times New Roman" w:cs="Times New Roman"/>
                <w:noProof/>
                <w:sz w:val="24"/>
                <w:szCs w:val="24"/>
                <w:highlight w:val="yellow"/>
              </w:rPr>
              <w:br/>
              <w:t>χ² (df); p; Holm p; V</w:t>
            </w:r>
          </w:p>
        </w:tc>
        <w:tc>
          <w:tcPr>
            <w:tcW w:w="0" w:type="auto"/>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50FA37B5"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Professional experience</w:t>
            </w:r>
            <w:r w:rsidRPr="008B3742">
              <w:rPr>
                <w:rFonts w:ascii="Times New Roman" w:hAnsi="Times New Roman" w:cs="Times New Roman"/>
                <w:noProof/>
                <w:sz w:val="24"/>
                <w:szCs w:val="24"/>
                <w:highlight w:val="yellow"/>
              </w:rPr>
              <w:br/>
              <w:t>χ² (df); p; Holm p; V</w:t>
            </w:r>
          </w:p>
        </w:tc>
        <w:tc>
          <w:tcPr>
            <w:tcW w:w="0" w:type="auto"/>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2A37F305"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Workplace</w:t>
            </w:r>
            <w:r w:rsidRPr="008B3742">
              <w:rPr>
                <w:rFonts w:ascii="Times New Roman" w:hAnsi="Times New Roman" w:cs="Times New Roman"/>
                <w:noProof/>
                <w:sz w:val="24"/>
                <w:szCs w:val="24"/>
                <w:highlight w:val="yellow"/>
              </w:rPr>
              <w:br/>
              <w:t>χ² (df); p; Holm p; V</w:t>
            </w:r>
          </w:p>
        </w:tc>
        <w:tc>
          <w:tcPr>
            <w:tcW w:w="0" w:type="auto"/>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3F72DF9B"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Annual surgical case volume</w:t>
            </w:r>
            <w:r w:rsidRPr="008B3742">
              <w:rPr>
                <w:rFonts w:ascii="Times New Roman" w:hAnsi="Times New Roman" w:cs="Times New Roman"/>
                <w:noProof/>
                <w:sz w:val="24"/>
                <w:szCs w:val="24"/>
                <w:highlight w:val="yellow"/>
              </w:rPr>
              <w:br/>
              <w:t>χ² (df); p; Holm p; V</w:t>
            </w:r>
          </w:p>
        </w:tc>
        <w:tc>
          <w:tcPr>
            <w:tcW w:w="0" w:type="auto"/>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34F92084"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PRF training</w:t>
            </w:r>
            <w:r w:rsidRPr="008B3742">
              <w:rPr>
                <w:rFonts w:ascii="Times New Roman" w:hAnsi="Times New Roman" w:cs="Times New Roman"/>
                <w:noProof/>
                <w:sz w:val="24"/>
                <w:szCs w:val="24"/>
                <w:highlight w:val="yellow"/>
              </w:rPr>
              <w:br/>
              <w:t>χ² (df); p; Holm p; V</w:t>
            </w:r>
          </w:p>
        </w:tc>
      </w:tr>
      <w:tr w:rsidR="0015315F" w:rsidRPr="008B3742" w14:paraId="75CC980C" w14:textId="77777777" w:rsidTr="007A40DA">
        <w:trPr>
          <w:cantSplit/>
        </w:trPr>
        <w:tc>
          <w:tcPr>
            <w:tcW w:w="0" w:type="auto"/>
            <w:tcBorders>
              <w:top w:val="single" w:sz="4" w:space="0" w:color="auto"/>
            </w:tcBorders>
            <w:shd w:val="clear" w:color="auto" w:fill="FFFFFF"/>
            <w:tcMar>
              <w:top w:w="150" w:type="dxa"/>
              <w:left w:w="0" w:type="dxa"/>
              <w:bottom w:w="150" w:type="dxa"/>
              <w:right w:w="240" w:type="dxa"/>
            </w:tcMar>
            <w:vAlign w:val="center"/>
            <w:hideMark/>
          </w:tcPr>
          <w:p w14:paraId="2F3A7C0B"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t>Q1</w:t>
            </w:r>
          </w:p>
        </w:tc>
        <w:tc>
          <w:tcPr>
            <w:tcW w:w="0" w:type="auto"/>
            <w:tcBorders>
              <w:top w:val="single" w:sz="4" w:space="0" w:color="auto"/>
            </w:tcBorders>
            <w:shd w:val="clear" w:color="auto" w:fill="FFFFFF"/>
            <w:tcMar>
              <w:top w:w="150" w:type="dxa"/>
              <w:left w:w="240" w:type="dxa"/>
              <w:bottom w:w="150" w:type="dxa"/>
              <w:right w:w="240" w:type="dxa"/>
            </w:tcMar>
            <w:vAlign w:val="center"/>
            <w:hideMark/>
          </w:tcPr>
          <w:p w14:paraId="71B588AF"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0.38 (1); 0.536; 1.000; V = 0.028</w:t>
            </w:r>
          </w:p>
        </w:tc>
        <w:tc>
          <w:tcPr>
            <w:tcW w:w="0" w:type="auto"/>
            <w:tcBorders>
              <w:top w:val="single" w:sz="4" w:space="0" w:color="auto"/>
            </w:tcBorders>
            <w:shd w:val="clear" w:color="auto" w:fill="FFFFFF"/>
            <w:tcMar>
              <w:top w:w="150" w:type="dxa"/>
              <w:left w:w="240" w:type="dxa"/>
              <w:bottom w:w="150" w:type="dxa"/>
              <w:right w:w="240" w:type="dxa"/>
            </w:tcMar>
            <w:vAlign w:val="center"/>
            <w:hideMark/>
          </w:tcPr>
          <w:p w14:paraId="5C49A7D8"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2.60 (3); 0.458; 1.000; V = 0.072</w:t>
            </w:r>
          </w:p>
        </w:tc>
        <w:tc>
          <w:tcPr>
            <w:tcW w:w="0" w:type="auto"/>
            <w:tcBorders>
              <w:top w:val="single" w:sz="4" w:space="0" w:color="auto"/>
            </w:tcBorders>
            <w:shd w:val="clear" w:color="auto" w:fill="FFFFFF"/>
            <w:tcMar>
              <w:top w:w="150" w:type="dxa"/>
              <w:left w:w="240" w:type="dxa"/>
              <w:bottom w:w="150" w:type="dxa"/>
              <w:right w:w="240" w:type="dxa"/>
            </w:tcMar>
            <w:vAlign w:val="center"/>
            <w:hideMark/>
          </w:tcPr>
          <w:p w14:paraId="10B8F67E"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0.15 (1); 0.702; 1.000; V = 0.017</w:t>
            </w:r>
          </w:p>
        </w:tc>
        <w:tc>
          <w:tcPr>
            <w:tcW w:w="0" w:type="auto"/>
            <w:tcBorders>
              <w:top w:val="single" w:sz="4" w:space="0" w:color="auto"/>
            </w:tcBorders>
            <w:shd w:val="clear" w:color="auto" w:fill="FFFFFF"/>
            <w:tcMar>
              <w:top w:w="150" w:type="dxa"/>
              <w:left w:w="240" w:type="dxa"/>
              <w:bottom w:w="150" w:type="dxa"/>
              <w:right w:w="240" w:type="dxa"/>
            </w:tcMar>
            <w:vAlign w:val="center"/>
            <w:hideMark/>
          </w:tcPr>
          <w:p w14:paraId="22D4FE44"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0.04 (2); 0.980; 1.000; V = 0.009</w:t>
            </w:r>
          </w:p>
        </w:tc>
        <w:tc>
          <w:tcPr>
            <w:tcW w:w="0" w:type="auto"/>
            <w:tcBorders>
              <w:top w:val="single" w:sz="4" w:space="0" w:color="auto"/>
            </w:tcBorders>
            <w:shd w:val="clear" w:color="auto" w:fill="FFFFFF"/>
            <w:tcMar>
              <w:top w:w="150" w:type="dxa"/>
              <w:left w:w="240" w:type="dxa"/>
              <w:bottom w:w="150" w:type="dxa"/>
              <w:right w:w="0" w:type="dxa"/>
            </w:tcMar>
            <w:vAlign w:val="center"/>
            <w:hideMark/>
          </w:tcPr>
          <w:p w14:paraId="602B3CE9"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37.22 (3); &lt;0.001; 0.001†; V = 0.273</w:t>
            </w:r>
          </w:p>
        </w:tc>
      </w:tr>
      <w:tr w:rsidR="0015315F" w:rsidRPr="008B3742" w14:paraId="23E3C7B8" w14:textId="77777777" w:rsidTr="007A40DA">
        <w:trPr>
          <w:cantSplit/>
        </w:trPr>
        <w:tc>
          <w:tcPr>
            <w:tcW w:w="0" w:type="auto"/>
            <w:shd w:val="clear" w:color="auto" w:fill="FFFFFF"/>
            <w:tcMar>
              <w:top w:w="150" w:type="dxa"/>
              <w:left w:w="0" w:type="dxa"/>
              <w:bottom w:w="150" w:type="dxa"/>
              <w:right w:w="240" w:type="dxa"/>
            </w:tcMar>
            <w:vAlign w:val="center"/>
            <w:hideMark/>
          </w:tcPr>
          <w:p w14:paraId="44F209A8"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t>Q2</w:t>
            </w:r>
          </w:p>
        </w:tc>
        <w:tc>
          <w:tcPr>
            <w:tcW w:w="0" w:type="auto"/>
            <w:shd w:val="clear" w:color="auto" w:fill="FFFFFF"/>
            <w:tcMar>
              <w:top w:w="150" w:type="dxa"/>
              <w:left w:w="240" w:type="dxa"/>
              <w:bottom w:w="150" w:type="dxa"/>
              <w:right w:w="240" w:type="dxa"/>
            </w:tcMar>
            <w:vAlign w:val="center"/>
            <w:hideMark/>
          </w:tcPr>
          <w:p w14:paraId="14695145"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0.51 (1); 0.477; 1.000; V = 0.032</w:t>
            </w:r>
          </w:p>
        </w:tc>
        <w:tc>
          <w:tcPr>
            <w:tcW w:w="0" w:type="auto"/>
            <w:shd w:val="clear" w:color="auto" w:fill="FFFFFF"/>
            <w:tcMar>
              <w:top w:w="150" w:type="dxa"/>
              <w:left w:w="240" w:type="dxa"/>
              <w:bottom w:w="150" w:type="dxa"/>
              <w:right w:w="240" w:type="dxa"/>
            </w:tcMar>
            <w:vAlign w:val="center"/>
            <w:hideMark/>
          </w:tcPr>
          <w:p w14:paraId="275F7260"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2.11 (3); 0.550; 1.000; V = 0.065</w:t>
            </w:r>
          </w:p>
        </w:tc>
        <w:tc>
          <w:tcPr>
            <w:tcW w:w="0" w:type="auto"/>
            <w:shd w:val="clear" w:color="auto" w:fill="FFFFFF"/>
            <w:tcMar>
              <w:top w:w="150" w:type="dxa"/>
              <w:left w:w="240" w:type="dxa"/>
              <w:bottom w:w="150" w:type="dxa"/>
              <w:right w:w="240" w:type="dxa"/>
            </w:tcMar>
            <w:vAlign w:val="center"/>
            <w:hideMark/>
          </w:tcPr>
          <w:p w14:paraId="13B38A18"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1.37 (1); 0.242; 1.000; V = 0.052</w:t>
            </w:r>
          </w:p>
        </w:tc>
        <w:tc>
          <w:tcPr>
            <w:tcW w:w="0" w:type="auto"/>
            <w:shd w:val="clear" w:color="auto" w:fill="FFFFFF"/>
            <w:tcMar>
              <w:top w:w="150" w:type="dxa"/>
              <w:left w:w="240" w:type="dxa"/>
              <w:bottom w:w="150" w:type="dxa"/>
              <w:right w:w="240" w:type="dxa"/>
            </w:tcMar>
            <w:vAlign w:val="center"/>
            <w:hideMark/>
          </w:tcPr>
          <w:p w14:paraId="69C57D8D"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0.05 (2); 0.976; 1.000; V = 0.010</w:t>
            </w:r>
          </w:p>
        </w:tc>
        <w:tc>
          <w:tcPr>
            <w:tcW w:w="0" w:type="auto"/>
            <w:shd w:val="clear" w:color="auto" w:fill="FFFFFF"/>
            <w:tcMar>
              <w:top w:w="150" w:type="dxa"/>
              <w:left w:w="240" w:type="dxa"/>
              <w:bottom w:w="150" w:type="dxa"/>
              <w:right w:w="0" w:type="dxa"/>
            </w:tcMar>
            <w:vAlign w:val="center"/>
            <w:hideMark/>
          </w:tcPr>
          <w:p w14:paraId="586E8B53"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55.27 (3); &lt;0.001; 0.001†; V = 0.332</w:t>
            </w:r>
          </w:p>
        </w:tc>
      </w:tr>
      <w:tr w:rsidR="0015315F" w:rsidRPr="008B3742" w14:paraId="479B908D" w14:textId="77777777" w:rsidTr="007A40DA">
        <w:trPr>
          <w:cantSplit/>
        </w:trPr>
        <w:tc>
          <w:tcPr>
            <w:tcW w:w="0" w:type="auto"/>
            <w:shd w:val="clear" w:color="auto" w:fill="FFFFFF"/>
            <w:tcMar>
              <w:top w:w="150" w:type="dxa"/>
              <w:left w:w="0" w:type="dxa"/>
              <w:bottom w:w="150" w:type="dxa"/>
              <w:right w:w="240" w:type="dxa"/>
            </w:tcMar>
            <w:vAlign w:val="center"/>
            <w:hideMark/>
          </w:tcPr>
          <w:p w14:paraId="7471AC24"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t>Q3</w:t>
            </w:r>
          </w:p>
        </w:tc>
        <w:tc>
          <w:tcPr>
            <w:tcW w:w="0" w:type="auto"/>
            <w:shd w:val="clear" w:color="auto" w:fill="FFFFFF"/>
            <w:tcMar>
              <w:top w:w="150" w:type="dxa"/>
              <w:left w:w="240" w:type="dxa"/>
              <w:bottom w:w="150" w:type="dxa"/>
              <w:right w:w="240" w:type="dxa"/>
            </w:tcMar>
            <w:vAlign w:val="center"/>
            <w:hideMark/>
          </w:tcPr>
          <w:p w14:paraId="47E5DA29"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0.00 (1); 0.970; 1.000; V = 0.002</w:t>
            </w:r>
          </w:p>
        </w:tc>
        <w:tc>
          <w:tcPr>
            <w:tcW w:w="0" w:type="auto"/>
            <w:shd w:val="clear" w:color="auto" w:fill="FFFFFF"/>
            <w:tcMar>
              <w:top w:w="150" w:type="dxa"/>
              <w:left w:w="240" w:type="dxa"/>
              <w:bottom w:w="150" w:type="dxa"/>
              <w:right w:w="240" w:type="dxa"/>
            </w:tcMar>
            <w:vAlign w:val="center"/>
            <w:hideMark/>
          </w:tcPr>
          <w:p w14:paraId="57EF451D"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4.92 (3); 0.178; 1.000; V = 0.099</w:t>
            </w:r>
          </w:p>
        </w:tc>
        <w:tc>
          <w:tcPr>
            <w:tcW w:w="0" w:type="auto"/>
            <w:shd w:val="clear" w:color="auto" w:fill="FFFFFF"/>
            <w:tcMar>
              <w:top w:w="150" w:type="dxa"/>
              <w:left w:w="240" w:type="dxa"/>
              <w:bottom w:w="150" w:type="dxa"/>
              <w:right w:w="240" w:type="dxa"/>
            </w:tcMar>
            <w:vAlign w:val="center"/>
            <w:hideMark/>
          </w:tcPr>
          <w:p w14:paraId="113B4ACC"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0.02 (1); 0.894; 1.000; V = 0.006</w:t>
            </w:r>
          </w:p>
        </w:tc>
        <w:tc>
          <w:tcPr>
            <w:tcW w:w="0" w:type="auto"/>
            <w:shd w:val="clear" w:color="auto" w:fill="FFFFFF"/>
            <w:tcMar>
              <w:top w:w="150" w:type="dxa"/>
              <w:left w:w="240" w:type="dxa"/>
              <w:bottom w:w="150" w:type="dxa"/>
              <w:right w:w="240" w:type="dxa"/>
            </w:tcMar>
            <w:vAlign w:val="center"/>
            <w:hideMark/>
          </w:tcPr>
          <w:p w14:paraId="2AB11EBF"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2.60 (2); 0.272; 1.000; V = 0.072</w:t>
            </w:r>
          </w:p>
        </w:tc>
        <w:tc>
          <w:tcPr>
            <w:tcW w:w="0" w:type="auto"/>
            <w:shd w:val="clear" w:color="auto" w:fill="FFFFFF"/>
            <w:tcMar>
              <w:top w:w="150" w:type="dxa"/>
              <w:left w:w="240" w:type="dxa"/>
              <w:bottom w:w="150" w:type="dxa"/>
              <w:right w:w="0" w:type="dxa"/>
            </w:tcMar>
            <w:vAlign w:val="center"/>
            <w:hideMark/>
          </w:tcPr>
          <w:p w14:paraId="67F5466C"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37.41 (3); &lt;0.001; 0.001†; V = 0.273</w:t>
            </w:r>
          </w:p>
        </w:tc>
      </w:tr>
      <w:tr w:rsidR="0015315F" w:rsidRPr="008B3742" w14:paraId="17F9F714" w14:textId="77777777" w:rsidTr="007A40DA">
        <w:trPr>
          <w:cantSplit/>
        </w:trPr>
        <w:tc>
          <w:tcPr>
            <w:tcW w:w="0" w:type="auto"/>
            <w:shd w:val="clear" w:color="auto" w:fill="FFFFFF"/>
            <w:tcMar>
              <w:top w:w="150" w:type="dxa"/>
              <w:left w:w="0" w:type="dxa"/>
              <w:bottom w:w="150" w:type="dxa"/>
              <w:right w:w="240" w:type="dxa"/>
            </w:tcMar>
            <w:vAlign w:val="center"/>
            <w:hideMark/>
          </w:tcPr>
          <w:p w14:paraId="3605399B"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t>Q4</w:t>
            </w:r>
          </w:p>
        </w:tc>
        <w:tc>
          <w:tcPr>
            <w:tcW w:w="0" w:type="auto"/>
            <w:shd w:val="clear" w:color="auto" w:fill="FFFFFF"/>
            <w:tcMar>
              <w:top w:w="150" w:type="dxa"/>
              <w:left w:w="240" w:type="dxa"/>
              <w:bottom w:w="150" w:type="dxa"/>
              <w:right w:w="240" w:type="dxa"/>
            </w:tcMar>
            <w:vAlign w:val="center"/>
            <w:hideMark/>
          </w:tcPr>
          <w:p w14:paraId="017FB49F"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2.57 (1); 0.109; 1.000; V = 0.072</w:t>
            </w:r>
          </w:p>
        </w:tc>
        <w:tc>
          <w:tcPr>
            <w:tcW w:w="0" w:type="auto"/>
            <w:shd w:val="clear" w:color="auto" w:fill="FFFFFF"/>
            <w:tcMar>
              <w:top w:w="150" w:type="dxa"/>
              <w:left w:w="240" w:type="dxa"/>
              <w:bottom w:w="150" w:type="dxa"/>
              <w:right w:w="240" w:type="dxa"/>
            </w:tcMar>
            <w:vAlign w:val="center"/>
            <w:hideMark/>
          </w:tcPr>
          <w:p w14:paraId="1B40EBEA"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2.90 (3); 0.407; 1.000; V = 0.076</w:t>
            </w:r>
          </w:p>
        </w:tc>
        <w:tc>
          <w:tcPr>
            <w:tcW w:w="0" w:type="auto"/>
            <w:shd w:val="clear" w:color="auto" w:fill="FFFFFF"/>
            <w:tcMar>
              <w:top w:w="150" w:type="dxa"/>
              <w:left w:w="240" w:type="dxa"/>
              <w:bottom w:w="150" w:type="dxa"/>
              <w:right w:w="240" w:type="dxa"/>
            </w:tcMar>
            <w:vAlign w:val="center"/>
            <w:hideMark/>
          </w:tcPr>
          <w:p w14:paraId="24A733AC"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1.46 (1); 0.228; 1.000; V = 0.054</w:t>
            </w:r>
          </w:p>
        </w:tc>
        <w:tc>
          <w:tcPr>
            <w:tcW w:w="0" w:type="auto"/>
            <w:shd w:val="clear" w:color="auto" w:fill="FFFFFF"/>
            <w:tcMar>
              <w:top w:w="150" w:type="dxa"/>
              <w:left w:w="240" w:type="dxa"/>
              <w:bottom w:w="150" w:type="dxa"/>
              <w:right w:w="240" w:type="dxa"/>
            </w:tcMar>
            <w:vAlign w:val="center"/>
            <w:hideMark/>
          </w:tcPr>
          <w:p w14:paraId="3D760D49"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1.12 (2); 0.571; 1.000; V = 0.047</w:t>
            </w:r>
          </w:p>
        </w:tc>
        <w:tc>
          <w:tcPr>
            <w:tcW w:w="0" w:type="auto"/>
            <w:shd w:val="clear" w:color="auto" w:fill="FFFFFF"/>
            <w:tcMar>
              <w:top w:w="150" w:type="dxa"/>
              <w:left w:w="240" w:type="dxa"/>
              <w:bottom w:w="150" w:type="dxa"/>
              <w:right w:w="0" w:type="dxa"/>
            </w:tcMar>
            <w:vAlign w:val="center"/>
            <w:hideMark/>
          </w:tcPr>
          <w:p w14:paraId="74E889C3"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49.20 (3); &lt;0.001; 0.001†; V = 0.313</w:t>
            </w:r>
          </w:p>
        </w:tc>
      </w:tr>
      <w:tr w:rsidR="0015315F" w:rsidRPr="008B3742" w14:paraId="015D16B7" w14:textId="77777777" w:rsidTr="007A40DA">
        <w:trPr>
          <w:cantSplit/>
        </w:trPr>
        <w:tc>
          <w:tcPr>
            <w:tcW w:w="0" w:type="auto"/>
            <w:shd w:val="clear" w:color="auto" w:fill="FFFFFF"/>
            <w:tcMar>
              <w:top w:w="150" w:type="dxa"/>
              <w:left w:w="0" w:type="dxa"/>
              <w:bottom w:w="150" w:type="dxa"/>
              <w:right w:w="240" w:type="dxa"/>
            </w:tcMar>
            <w:vAlign w:val="center"/>
            <w:hideMark/>
          </w:tcPr>
          <w:p w14:paraId="6B8869D8"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t>Q5</w:t>
            </w:r>
          </w:p>
        </w:tc>
        <w:tc>
          <w:tcPr>
            <w:tcW w:w="0" w:type="auto"/>
            <w:shd w:val="clear" w:color="auto" w:fill="FFFFFF"/>
            <w:tcMar>
              <w:top w:w="150" w:type="dxa"/>
              <w:left w:w="240" w:type="dxa"/>
              <w:bottom w:w="150" w:type="dxa"/>
              <w:right w:w="240" w:type="dxa"/>
            </w:tcMar>
            <w:vAlign w:val="center"/>
            <w:hideMark/>
          </w:tcPr>
          <w:p w14:paraId="6B516A6B"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0.13 (1); 0.723; 1.000; V = 0.016</w:t>
            </w:r>
          </w:p>
        </w:tc>
        <w:tc>
          <w:tcPr>
            <w:tcW w:w="0" w:type="auto"/>
            <w:shd w:val="clear" w:color="auto" w:fill="FFFFFF"/>
            <w:tcMar>
              <w:top w:w="150" w:type="dxa"/>
              <w:left w:w="240" w:type="dxa"/>
              <w:bottom w:w="150" w:type="dxa"/>
              <w:right w:w="240" w:type="dxa"/>
            </w:tcMar>
            <w:vAlign w:val="center"/>
            <w:hideMark/>
          </w:tcPr>
          <w:p w14:paraId="2D6C7AE4"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3.22 (3); 0.358; 1.000; V = 0.080</w:t>
            </w:r>
          </w:p>
        </w:tc>
        <w:tc>
          <w:tcPr>
            <w:tcW w:w="0" w:type="auto"/>
            <w:shd w:val="clear" w:color="auto" w:fill="FFFFFF"/>
            <w:tcMar>
              <w:top w:w="150" w:type="dxa"/>
              <w:left w:w="240" w:type="dxa"/>
              <w:bottom w:w="150" w:type="dxa"/>
              <w:right w:w="240" w:type="dxa"/>
            </w:tcMar>
            <w:vAlign w:val="center"/>
            <w:hideMark/>
          </w:tcPr>
          <w:p w14:paraId="35B34596"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0.30 (1); 0.585; 1.000; V = 0.024</w:t>
            </w:r>
          </w:p>
        </w:tc>
        <w:tc>
          <w:tcPr>
            <w:tcW w:w="0" w:type="auto"/>
            <w:shd w:val="clear" w:color="auto" w:fill="FFFFFF"/>
            <w:tcMar>
              <w:top w:w="150" w:type="dxa"/>
              <w:left w:w="240" w:type="dxa"/>
              <w:bottom w:w="150" w:type="dxa"/>
              <w:right w:w="240" w:type="dxa"/>
            </w:tcMar>
            <w:vAlign w:val="center"/>
            <w:hideMark/>
          </w:tcPr>
          <w:p w14:paraId="39814D48"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0.83 (2); 0.659; 1.000; V = 0.041</w:t>
            </w:r>
          </w:p>
        </w:tc>
        <w:tc>
          <w:tcPr>
            <w:tcW w:w="0" w:type="auto"/>
            <w:shd w:val="clear" w:color="auto" w:fill="FFFFFF"/>
            <w:tcMar>
              <w:top w:w="150" w:type="dxa"/>
              <w:left w:w="240" w:type="dxa"/>
              <w:bottom w:w="150" w:type="dxa"/>
              <w:right w:w="0" w:type="dxa"/>
            </w:tcMar>
            <w:vAlign w:val="center"/>
            <w:hideMark/>
          </w:tcPr>
          <w:p w14:paraId="307E8911"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82.04 (3); &lt;0.001; 0.001†; V = 0.405</w:t>
            </w:r>
          </w:p>
        </w:tc>
      </w:tr>
      <w:tr w:rsidR="0015315F" w:rsidRPr="008B3742" w14:paraId="64075158" w14:textId="77777777" w:rsidTr="007A40DA">
        <w:trPr>
          <w:cantSplit/>
        </w:trPr>
        <w:tc>
          <w:tcPr>
            <w:tcW w:w="0" w:type="auto"/>
            <w:shd w:val="clear" w:color="auto" w:fill="FFFFFF"/>
            <w:tcMar>
              <w:top w:w="150" w:type="dxa"/>
              <w:left w:w="0" w:type="dxa"/>
              <w:bottom w:w="150" w:type="dxa"/>
              <w:right w:w="240" w:type="dxa"/>
            </w:tcMar>
            <w:vAlign w:val="center"/>
            <w:hideMark/>
          </w:tcPr>
          <w:p w14:paraId="6B3D0D2C"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t>Q6</w:t>
            </w:r>
          </w:p>
        </w:tc>
        <w:tc>
          <w:tcPr>
            <w:tcW w:w="0" w:type="auto"/>
            <w:shd w:val="clear" w:color="auto" w:fill="FFFFFF"/>
            <w:tcMar>
              <w:top w:w="150" w:type="dxa"/>
              <w:left w:w="240" w:type="dxa"/>
              <w:bottom w:w="150" w:type="dxa"/>
              <w:right w:w="240" w:type="dxa"/>
            </w:tcMar>
            <w:vAlign w:val="center"/>
            <w:hideMark/>
          </w:tcPr>
          <w:p w14:paraId="202F2EA6"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0.12 (1); 0.724; 1.000; V = 0.016</w:t>
            </w:r>
          </w:p>
        </w:tc>
        <w:tc>
          <w:tcPr>
            <w:tcW w:w="0" w:type="auto"/>
            <w:shd w:val="clear" w:color="auto" w:fill="FFFFFF"/>
            <w:tcMar>
              <w:top w:w="150" w:type="dxa"/>
              <w:left w:w="240" w:type="dxa"/>
              <w:bottom w:w="150" w:type="dxa"/>
              <w:right w:w="240" w:type="dxa"/>
            </w:tcMar>
            <w:vAlign w:val="center"/>
            <w:hideMark/>
          </w:tcPr>
          <w:p w14:paraId="4D1D5744"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1.04 (3); 0.791; 1.000; V = 0.046</w:t>
            </w:r>
          </w:p>
        </w:tc>
        <w:tc>
          <w:tcPr>
            <w:tcW w:w="0" w:type="auto"/>
            <w:shd w:val="clear" w:color="auto" w:fill="FFFFFF"/>
            <w:tcMar>
              <w:top w:w="150" w:type="dxa"/>
              <w:left w:w="240" w:type="dxa"/>
              <w:bottom w:w="150" w:type="dxa"/>
              <w:right w:w="240" w:type="dxa"/>
            </w:tcMar>
            <w:vAlign w:val="center"/>
            <w:hideMark/>
          </w:tcPr>
          <w:p w14:paraId="79A9B80C"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0.71 (1); 0.399; 1.000; V = 0.038</w:t>
            </w:r>
          </w:p>
        </w:tc>
        <w:tc>
          <w:tcPr>
            <w:tcW w:w="0" w:type="auto"/>
            <w:shd w:val="clear" w:color="auto" w:fill="FFFFFF"/>
            <w:tcMar>
              <w:top w:w="150" w:type="dxa"/>
              <w:left w:w="240" w:type="dxa"/>
              <w:bottom w:w="150" w:type="dxa"/>
              <w:right w:w="240" w:type="dxa"/>
            </w:tcMar>
            <w:vAlign w:val="center"/>
            <w:hideMark/>
          </w:tcPr>
          <w:p w14:paraId="7F069739"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3.58 (2); 0.167; 1.000; V = 0.084</w:t>
            </w:r>
          </w:p>
        </w:tc>
        <w:tc>
          <w:tcPr>
            <w:tcW w:w="0" w:type="auto"/>
            <w:shd w:val="clear" w:color="auto" w:fill="FFFFFF"/>
            <w:tcMar>
              <w:top w:w="150" w:type="dxa"/>
              <w:left w:w="240" w:type="dxa"/>
              <w:bottom w:w="150" w:type="dxa"/>
              <w:right w:w="0" w:type="dxa"/>
            </w:tcMar>
            <w:vAlign w:val="center"/>
            <w:hideMark/>
          </w:tcPr>
          <w:p w14:paraId="3AE45114"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82.43 (3); &lt;0.001; 0.001†; V = 0.406</w:t>
            </w:r>
          </w:p>
        </w:tc>
      </w:tr>
      <w:tr w:rsidR="0015315F" w:rsidRPr="008B3742" w14:paraId="1723DEDA" w14:textId="77777777" w:rsidTr="007A40DA">
        <w:trPr>
          <w:cantSplit/>
        </w:trPr>
        <w:tc>
          <w:tcPr>
            <w:tcW w:w="0" w:type="auto"/>
            <w:shd w:val="clear" w:color="auto" w:fill="FFFFFF"/>
            <w:tcMar>
              <w:top w:w="150" w:type="dxa"/>
              <w:left w:w="0" w:type="dxa"/>
              <w:bottom w:w="150" w:type="dxa"/>
              <w:right w:w="240" w:type="dxa"/>
            </w:tcMar>
            <w:vAlign w:val="center"/>
            <w:hideMark/>
          </w:tcPr>
          <w:p w14:paraId="07C87816"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lastRenderedPageBreak/>
              <w:t>Q7</w:t>
            </w:r>
          </w:p>
        </w:tc>
        <w:tc>
          <w:tcPr>
            <w:tcW w:w="0" w:type="auto"/>
            <w:shd w:val="clear" w:color="auto" w:fill="FFFFFF"/>
            <w:tcMar>
              <w:top w:w="150" w:type="dxa"/>
              <w:left w:w="240" w:type="dxa"/>
              <w:bottom w:w="150" w:type="dxa"/>
              <w:right w:w="240" w:type="dxa"/>
            </w:tcMar>
            <w:vAlign w:val="center"/>
            <w:hideMark/>
          </w:tcPr>
          <w:p w14:paraId="30B392AC"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0.00 (1); 0.990; 1.000; V = 0.001</w:t>
            </w:r>
          </w:p>
        </w:tc>
        <w:tc>
          <w:tcPr>
            <w:tcW w:w="0" w:type="auto"/>
            <w:shd w:val="clear" w:color="auto" w:fill="FFFFFF"/>
            <w:tcMar>
              <w:top w:w="150" w:type="dxa"/>
              <w:left w:w="240" w:type="dxa"/>
              <w:bottom w:w="150" w:type="dxa"/>
              <w:right w:w="240" w:type="dxa"/>
            </w:tcMar>
            <w:vAlign w:val="center"/>
            <w:hideMark/>
          </w:tcPr>
          <w:p w14:paraId="740EB08A"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3.39 (3); 0.335; 1.000; V = 0.082</w:t>
            </w:r>
          </w:p>
        </w:tc>
        <w:tc>
          <w:tcPr>
            <w:tcW w:w="0" w:type="auto"/>
            <w:shd w:val="clear" w:color="auto" w:fill="FFFFFF"/>
            <w:tcMar>
              <w:top w:w="150" w:type="dxa"/>
              <w:left w:w="240" w:type="dxa"/>
              <w:bottom w:w="150" w:type="dxa"/>
              <w:right w:w="240" w:type="dxa"/>
            </w:tcMar>
            <w:vAlign w:val="center"/>
            <w:hideMark/>
          </w:tcPr>
          <w:p w14:paraId="72979916"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0.03 (1); 0.863; 1.000; V = 0.008</w:t>
            </w:r>
          </w:p>
        </w:tc>
        <w:tc>
          <w:tcPr>
            <w:tcW w:w="0" w:type="auto"/>
            <w:shd w:val="clear" w:color="auto" w:fill="FFFFFF"/>
            <w:tcMar>
              <w:top w:w="150" w:type="dxa"/>
              <w:left w:w="240" w:type="dxa"/>
              <w:bottom w:w="150" w:type="dxa"/>
              <w:right w:w="240" w:type="dxa"/>
            </w:tcMar>
            <w:vAlign w:val="center"/>
            <w:hideMark/>
          </w:tcPr>
          <w:p w14:paraId="3CD8E40B"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1.41 (2); 0.493; 1.000; V = 0.053</w:t>
            </w:r>
          </w:p>
        </w:tc>
        <w:tc>
          <w:tcPr>
            <w:tcW w:w="0" w:type="auto"/>
            <w:shd w:val="clear" w:color="auto" w:fill="FFFFFF"/>
            <w:tcMar>
              <w:top w:w="150" w:type="dxa"/>
              <w:left w:w="240" w:type="dxa"/>
              <w:bottom w:w="150" w:type="dxa"/>
              <w:right w:w="0" w:type="dxa"/>
            </w:tcMar>
            <w:vAlign w:val="center"/>
            <w:hideMark/>
          </w:tcPr>
          <w:p w14:paraId="67B147FF"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20.08 (3); &lt;0.001; 0.010†; V = 0.200</w:t>
            </w:r>
          </w:p>
        </w:tc>
      </w:tr>
      <w:tr w:rsidR="0015315F" w:rsidRPr="008B3742" w14:paraId="3AEFF40C" w14:textId="77777777" w:rsidTr="007A40DA">
        <w:trPr>
          <w:cantSplit/>
        </w:trPr>
        <w:tc>
          <w:tcPr>
            <w:tcW w:w="0" w:type="auto"/>
            <w:shd w:val="clear" w:color="auto" w:fill="FFFFFF"/>
            <w:tcMar>
              <w:top w:w="150" w:type="dxa"/>
              <w:left w:w="0" w:type="dxa"/>
              <w:bottom w:w="150" w:type="dxa"/>
              <w:right w:w="240" w:type="dxa"/>
            </w:tcMar>
            <w:vAlign w:val="center"/>
            <w:hideMark/>
          </w:tcPr>
          <w:p w14:paraId="5629032C"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t>Q8</w:t>
            </w:r>
          </w:p>
        </w:tc>
        <w:tc>
          <w:tcPr>
            <w:tcW w:w="0" w:type="auto"/>
            <w:shd w:val="clear" w:color="auto" w:fill="FFFFFF"/>
            <w:tcMar>
              <w:top w:w="150" w:type="dxa"/>
              <w:left w:w="240" w:type="dxa"/>
              <w:bottom w:w="150" w:type="dxa"/>
              <w:right w:w="240" w:type="dxa"/>
            </w:tcMar>
            <w:vAlign w:val="center"/>
            <w:hideMark/>
          </w:tcPr>
          <w:p w14:paraId="7E6B8EBD"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1.17 (1); 0.279; 1.000; V = 0.048</w:t>
            </w:r>
          </w:p>
        </w:tc>
        <w:tc>
          <w:tcPr>
            <w:tcW w:w="0" w:type="auto"/>
            <w:shd w:val="clear" w:color="auto" w:fill="FFFFFF"/>
            <w:tcMar>
              <w:top w:w="150" w:type="dxa"/>
              <w:left w:w="240" w:type="dxa"/>
              <w:bottom w:w="150" w:type="dxa"/>
              <w:right w:w="240" w:type="dxa"/>
            </w:tcMar>
            <w:vAlign w:val="center"/>
            <w:hideMark/>
          </w:tcPr>
          <w:p w14:paraId="7F4FEE1B"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2.96 (3); 0.398; 1.000; V = 0.077</w:t>
            </w:r>
          </w:p>
        </w:tc>
        <w:tc>
          <w:tcPr>
            <w:tcW w:w="0" w:type="auto"/>
            <w:shd w:val="clear" w:color="auto" w:fill="FFFFFF"/>
            <w:tcMar>
              <w:top w:w="150" w:type="dxa"/>
              <w:left w:w="240" w:type="dxa"/>
              <w:bottom w:w="150" w:type="dxa"/>
              <w:right w:w="240" w:type="dxa"/>
            </w:tcMar>
            <w:vAlign w:val="center"/>
            <w:hideMark/>
          </w:tcPr>
          <w:p w14:paraId="386E6EFB"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0.06 (1); 0.808; 1.000; V = 0.011</w:t>
            </w:r>
          </w:p>
        </w:tc>
        <w:tc>
          <w:tcPr>
            <w:tcW w:w="0" w:type="auto"/>
            <w:shd w:val="clear" w:color="auto" w:fill="FFFFFF"/>
            <w:tcMar>
              <w:top w:w="150" w:type="dxa"/>
              <w:left w:w="240" w:type="dxa"/>
              <w:bottom w:w="150" w:type="dxa"/>
              <w:right w:w="240" w:type="dxa"/>
            </w:tcMar>
            <w:vAlign w:val="center"/>
            <w:hideMark/>
          </w:tcPr>
          <w:p w14:paraId="7FA45FAF"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6.41 (2); 0.040; 1.000; V = 0.113</w:t>
            </w:r>
          </w:p>
        </w:tc>
        <w:tc>
          <w:tcPr>
            <w:tcW w:w="0" w:type="auto"/>
            <w:shd w:val="clear" w:color="auto" w:fill="FFFFFF"/>
            <w:tcMar>
              <w:top w:w="150" w:type="dxa"/>
              <w:left w:w="240" w:type="dxa"/>
              <w:bottom w:w="150" w:type="dxa"/>
              <w:right w:w="0" w:type="dxa"/>
            </w:tcMar>
            <w:vAlign w:val="center"/>
            <w:hideMark/>
          </w:tcPr>
          <w:p w14:paraId="5FF7A7DF"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57.29 (3); &lt;0.001; 0.001†; V = 0.338</w:t>
            </w:r>
          </w:p>
        </w:tc>
      </w:tr>
      <w:tr w:rsidR="0015315F" w:rsidRPr="008B3742" w14:paraId="7D10F3FB" w14:textId="77777777" w:rsidTr="007A40DA">
        <w:trPr>
          <w:cantSplit/>
        </w:trPr>
        <w:tc>
          <w:tcPr>
            <w:tcW w:w="0" w:type="auto"/>
            <w:shd w:val="clear" w:color="auto" w:fill="FFFFFF"/>
            <w:tcMar>
              <w:top w:w="150" w:type="dxa"/>
              <w:left w:w="0" w:type="dxa"/>
              <w:bottom w:w="150" w:type="dxa"/>
              <w:right w:w="240" w:type="dxa"/>
            </w:tcMar>
            <w:vAlign w:val="center"/>
            <w:hideMark/>
          </w:tcPr>
          <w:p w14:paraId="227248A1"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t>Q9</w:t>
            </w:r>
          </w:p>
        </w:tc>
        <w:tc>
          <w:tcPr>
            <w:tcW w:w="0" w:type="auto"/>
            <w:shd w:val="clear" w:color="auto" w:fill="FFFFFF"/>
            <w:tcMar>
              <w:top w:w="150" w:type="dxa"/>
              <w:left w:w="240" w:type="dxa"/>
              <w:bottom w:w="150" w:type="dxa"/>
              <w:right w:w="240" w:type="dxa"/>
            </w:tcMar>
            <w:vAlign w:val="center"/>
            <w:hideMark/>
          </w:tcPr>
          <w:p w14:paraId="1558FAEB"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0.27 (1); 0.602; 1.000; V = 0.023</w:t>
            </w:r>
          </w:p>
        </w:tc>
        <w:tc>
          <w:tcPr>
            <w:tcW w:w="0" w:type="auto"/>
            <w:shd w:val="clear" w:color="auto" w:fill="FFFFFF"/>
            <w:tcMar>
              <w:top w:w="150" w:type="dxa"/>
              <w:left w:w="240" w:type="dxa"/>
              <w:bottom w:w="150" w:type="dxa"/>
              <w:right w:w="240" w:type="dxa"/>
            </w:tcMar>
            <w:vAlign w:val="center"/>
            <w:hideMark/>
          </w:tcPr>
          <w:p w14:paraId="119EC637"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0.94 (3); 0.815; 1.000; V = 0.043</w:t>
            </w:r>
          </w:p>
        </w:tc>
        <w:tc>
          <w:tcPr>
            <w:tcW w:w="0" w:type="auto"/>
            <w:shd w:val="clear" w:color="auto" w:fill="FFFFFF"/>
            <w:tcMar>
              <w:top w:w="150" w:type="dxa"/>
              <w:left w:w="240" w:type="dxa"/>
              <w:bottom w:w="150" w:type="dxa"/>
              <w:right w:w="240" w:type="dxa"/>
            </w:tcMar>
            <w:vAlign w:val="center"/>
            <w:hideMark/>
          </w:tcPr>
          <w:p w14:paraId="1326F257"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0.42 (1); 0.517; 1.000; V = 0.029</w:t>
            </w:r>
          </w:p>
        </w:tc>
        <w:tc>
          <w:tcPr>
            <w:tcW w:w="0" w:type="auto"/>
            <w:shd w:val="clear" w:color="auto" w:fill="FFFFFF"/>
            <w:tcMar>
              <w:top w:w="150" w:type="dxa"/>
              <w:left w:w="240" w:type="dxa"/>
              <w:bottom w:w="150" w:type="dxa"/>
              <w:right w:w="240" w:type="dxa"/>
            </w:tcMar>
            <w:vAlign w:val="center"/>
            <w:hideMark/>
          </w:tcPr>
          <w:p w14:paraId="582BBC96"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1.24 (2); 0.537; 1.000; V = 0.050</w:t>
            </w:r>
          </w:p>
        </w:tc>
        <w:tc>
          <w:tcPr>
            <w:tcW w:w="0" w:type="auto"/>
            <w:shd w:val="clear" w:color="auto" w:fill="FFFFFF"/>
            <w:tcMar>
              <w:top w:w="150" w:type="dxa"/>
              <w:left w:w="240" w:type="dxa"/>
              <w:bottom w:w="150" w:type="dxa"/>
              <w:right w:w="0" w:type="dxa"/>
            </w:tcMar>
            <w:vAlign w:val="center"/>
            <w:hideMark/>
          </w:tcPr>
          <w:p w14:paraId="20EE9D30"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9.77 (3); 0.020; 1.000†; V = 0.140</w:t>
            </w:r>
          </w:p>
        </w:tc>
      </w:tr>
      <w:tr w:rsidR="0015315F" w:rsidRPr="008B3742" w14:paraId="53B381AF" w14:textId="77777777" w:rsidTr="007A40DA">
        <w:trPr>
          <w:cantSplit/>
        </w:trPr>
        <w:tc>
          <w:tcPr>
            <w:tcW w:w="0" w:type="auto"/>
            <w:shd w:val="clear" w:color="auto" w:fill="FFFFFF"/>
            <w:tcMar>
              <w:top w:w="150" w:type="dxa"/>
              <w:left w:w="0" w:type="dxa"/>
              <w:bottom w:w="150" w:type="dxa"/>
              <w:right w:w="240" w:type="dxa"/>
            </w:tcMar>
            <w:vAlign w:val="center"/>
            <w:hideMark/>
          </w:tcPr>
          <w:p w14:paraId="0E6CD135"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t>Q10</w:t>
            </w:r>
          </w:p>
        </w:tc>
        <w:tc>
          <w:tcPr>
            <w:tcW w:w="0" w:type="auto"/>
            <w:shd w:val="clear" w:color="auto" w:fill="FFFFFF"/>
            <w:tcMar>
              <w:top w:w="150" w:type="dxa"/>
              <w:left w:w="240" w:type="dxa"/>
              <w:bottom w:w="150" w:type="dxa"/>
              <w:right w:w="240" w:type="dxa"/>
            </w:tcMar>
            <w:vAlign w:val="center"/>
            <w:hideMark/>
          </w:tcPr>
          <w:p w14:paraId="7FA29CD1"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1.19 (1); 0.276; 1.000; V = 0.049</w:t>
            </w:r>
          </w:p>
        </w:tc>
        <w:tc>
          <w:tcPr>
            <w:tcW w:w="0" w:type="auto"/>
            <w:shd w:val="clear" w:color="auto" w:fill="FFFFFF"/>
            <w:tcMar>
              <w:top w:w="150" w:type="dxa"/>
              <w:left w:w="240" w:type="dxa"/>
              <w:bottom w:w="150" w:type="dxa"/>
              <w:right w:w="240" w:type="dxa"/>
            </w:tcMar>
            <w:vAlign w:val="center"/>
            <w:hideMark/>
          </w:tcPr>
          <w:p w14:paraId="1C66F178"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1.11 (3); 0.774; 1.000; V = 0.047</w:t>
            </w:r>
          </w:p>
        </w:tc>
        <w:tc>
          <w:tcPr>
            <w:tcW w:w="0" w:type="auto"/>
            <w:shd w:val="clear" w:color="auto" w:fill="FFFFFF"/>
            <w:tcMar>
              <w:top w:w="150" w:type="dxa"/>
              <w:left w:w="240" w:type="dxa"/>
              <w:bottom w:w="150" w:type="dxa"/>
              <w:right w:w="240" w:type="dxa"/>
            </w:tcMar>
            <w:vAlign w:val="center"/>
            <w:hideMark/>
          </w:tcPr>
          <w:p w14:paraId="344A3FAB"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0.04 (1); 0.836; 1.000; V = 0.009</w:t>
            </w:r>
          </w:p>
        </w:tc>
        <w:tc>
          <w:tcPr>
            <w:tcW w:w="0" w:type="auto"/>
            <w:shd w:val="clear" w:color="auto" w:fill="FFFFFF"/>
            <w:tcMar>
              <w:top w:w="150" w:type="dxa"/>
              <w:left w:w="240" w:type="dxa"/>
              <w:bottom w:w="150" w:type="dxa"/>
              <w:right w:w="240" w:type="dxa"/>
            </w:tcMar>
            <w:vAlign w:val="center"/>
            <w:hideMark/>
          </w:tcPr>
          <w:p w14:paraId="1F794A01"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0.78 (2); 0.678; 1.000; V = 0.039</w:t>
            </w:r>
          </w:p>
        </w:tc>
        <w:tc>
          <w:tcPr>
            <w:tcW w:w="0" w:type="auto"/>
            <w:shd w:val="clear" w:color="auto" w:fill="FFFFFF"/>
            <w:tcMar>
              <w:top w:w="150" w:type="dxa"/>
              <w:left w:w="240" w:type="dxa"/>
              <w:bottom w:w="150" w:type="dxa"/>
              <w:right w:w="0" w:type="dxa"/>
            </w:tcMar>
            <w:vAlign w:val="center"/>
            <w:hideMark/>
          </w:tcPr>
          <w:p w14:paraId="0B18DBC3"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56.74 (3); &lt;0.001; 0.001†; V = 0.337</w:t>
            </w:r>
          </w:p>
        </w:tc>
      </w:tr>
      <w:tr w:rsidR="0015315F" w:rsidRPr="008B3742" w14:paraId="286BB484" w14:textId="77777777" w:rsidTr="007A40DA">
        <w:trPr>
          <w:cantSplit/>
        </w:trPr>
        <w:tc>
          <w:tcPr>
            <w:tcW w:w="0" w:type="auto"/>
            <w:shd w:val="clear" w:color="auto" w:fill="FFFFFF"/>
            <w:tcMar>
              <w:top w:w="150" w:type="dxa"/>
              <w:left w:w="0" w:type="dxa"/>
              <w:bottom w:w="150" w:type="dxa"/>
              <w:right w:w="240" w:type="dxa"/>
            </w:tcMar>
            <w:vAlign w:val="center"/>
            <w:hideMark/>
          </w:tcPr>
          <w:p w14:paraId="2882F91B"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t>Q11</w:t>
            </w:r>
          </w:p>
        </w:tc>
        <w:tc>
          <w:tcPr>
            <w:tcW w:w="0" w:type="auto"/>
            <w:shd w:val="clear" w:color="auto" w:fill="FFFFFF"/>
            <w:tcMar>
              <w:top w:w="150" w:type="dxa"/>
              <w:left w:w="240" w:type="dxa"/>
              <w:bottom w:w="150" w:type="dxa"/>
              <w:right w:w="240" w:type="dxa"/>
            </w:tcMar>
            <w:vAlign w:val="center"/>
            <w:hideMark/>
          </w:tcPr>
          <w:p w14:paraId="439B552E"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0.00 (1); 0.998; 1.000; V = 0.000</w:t>
            </w:r>
          </w:p>
        </w:tc>
        <w:tc>
          <w:tcPr>
            <w:tcW w:w="0" w:type="auto"/>
            <w:shd w:val="clear" w:color="auto" w:fill="FFFFFF"/>
            <w:tcMar>
              <w:top w:w="150" w:type="dxa"/>
              <w:left w:w="240" w:type="dxa"/>
              <w:bottom w:w="150" w:type="dxa"/>
              <w:right w:w="240" w:type="dxa"/>
            </w:tcMar>
            <w:vAlign w:val="center"/>
            <w:hideMark/>
          </w:tcPr>
          <w:p w14:paraId="391F8D6B"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3.22 (3); 0.359; 1.000; V = 0.080</w:t>
            </w:r>
          </w:p>
        </w:tc>
        <w:tc>
          <w:tcPr>
            <w:tcW w:w="0" w:type="auto"/>
            <w:shd w:val="clear" w:color="auto" w:fill="FFFFFF"/>
            <w:tcMar>
              <w:top w:w="150" w:type="dxa"/>
              <w:left w:w="240" w:type="dxa"/>
              <w:bottom w:w="150" w:type="dxa"/>
              <w:right w:w="240" w:type="dxa"/>
            </w:tcMar>
            <w:vAlign w:val="center"/>
            <w:hideMark/>
          </w:tcPr>
          <w:p w14:paraId="0A811532"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0.02 (1); 0.884; 1.000; V = 0.007</w:t>
            </w:r>
          </w:p>
        </w:tc>
        <w:tc>
          <w:tcPr>
            <w:tcW w:w="0" w:type="auto"/>
            <w:shd w:val="clear" w:color="auto" w:fill="FFFFFF"/>
            <w:tcMar>
              <w:top w:w="150" w:type="dxa"/>
              <w:left w:w="240" w:type="dxa"/>
              <w:bottom w:w="150" w:type="dxa"/>
              <w:right w:w="240" w:type="dxa"/>
            </w:tcMar>
            <w:vAlign w:val="center"/>
            <w:hideMark/>
          </w:tcPr>
          <w:p w14:paraId="1516D20B"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0.28 (2); 0.869; 1.000; V = 0.024</w:t>
            </w:r>
          </w:p>
        </w:tc>
        <w:tc>
          <w:tcPr>
            <w:tcW w:w="0" w:type="auto"/>
            <w:shd w:val="clear" w:color="auto" w:fill="FFFFFF"/>
            <w:tcMar>
              <w:top w:w="150" w:type="dxa"/>
              <w:left w:w="240" w:type="dxa"/>
              <w:bottom w:w="150" w:type="dxa"/>
              <w:right w:w="0" w:type="dxa"/>
            </w:tcMar>
            <w:vAlign w:val="center"/>
            <w:hideMark/>
          </w:tcPr>
          <w:p w14:paraId="2784B049"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60.35 (3); &lt;0.001; 0.001†; V = 0.347</w:t>
            </w:r>
          </w:p>
        </w:tc>
      </w:tr>
      <w:tr w:rsidR="0015315F" w:rsidRPr="008B3742" w14:paraId="74822AF3" w14:textId="77777777" w:rsidTr="007A40DA">
        <w:trPr>
          <w:cantSplit/>
        </w:trPr>
        <w:tc>
          <w:tcPr>
            <w:tcW w:w="0" w:type="auto"/>
            <w:shd w:val="clear" w:color="auto" w:fill="FFFFFF"/>
            <w:tcMar>
              <w:top w:w="150" w:type="dxa"/>
              <w:left w:w="0" w:type="dxa"/>
              <w:bottom w:w="150" w:type="dxa"/>
              <w:right w:w="240" w:type="dxa"/>
            </w:tcMar>
            <w:vAlign w:val="center"/>
            <w:hideMark/>
          </w:tcPr>
          <w:p w14:paraId="46F8F72E"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t>Q12</w:t>
            </w:r>
          </w:p>
        </w:tc>
        <w:tc>
          <w:tcPr>
            <w:tcW w:w="0" w:type="auto"/>
            <w:shd w:val="clear" w:color="auto" w:fill="FFFFFF"/>
            <w:tcMar>
              <w:top w:w="150" w:type="dxa"/>
              <w:left w:w="240" w:type="dxa"/>
              <w:bottom w:w="150" w:type="dxa"/>
              <w:right w:w="240" w:type="dxa"/>
            </w:tcMar>
            <w:vAlign w:val="center"/>
            <w:hideMark/>
          </w:tcPr>
          <w:p w14:paraId="582F87A3"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0.00 (1); 0.944; 1.000; V = 0.003</w:t>
            </w:r>
          </w:p>
        </w:tc>
        <w:tc>
          <w:tcPr>
            <w:tcW w:w="0" w:type="auto"/>
            <w:shd w:val="clear" w:color="auto" w:fill="FFFFFF"/>
            <w:tcMar>
              <w:top w:w="150" w:type="dxa"/>
              <w:left w:w="240" w:type="dxa"/>
              <w:bottom w:w="150" w:type="dxa"/>
              <w:right w:w="240" w:type="dxa"/>
            </w:tcMar>
            <w:vAlign w:val="center"/>
            <w:hideMark/>
          </w:tcPr>
          <w:p w14:paraId="32734F95"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2.76 (3); 0.431; 1.000; V = 0.074</w:t>
            </w:r>
          </w:p>
        </w:tc>
        <w:tc>
          <w:tcPr>
            <w:tcW w:w="0" w:type="auto"/>
            <w:shd w:val="clear" w:color="auto" w:fill="FFFFFF"/>
            <w:tcMar>
              <w:top w:w="150" w:type="dxa"/>
              <w:left w:w="240" w:type="dxa"/>
              <w:bottom w:w="150" w:type="dxa"/>
              <w:right w:w="240" w:type="dxa"/>
            </w:tcMar>
            <w:vAlign w:val="center"/>
            <w:hideMark/>
          </w:tcPr>
          <w:p w14:paraId="0CC0D907"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2.16 (1); 0.142; 1.000; V = 0.066</w:t>
            </w:r>
          </w:p>
        </w:tc>
        <w:tc>
          <w:tcPr>
            <w:tcW w:w="0" w:type="auto"/>
            <w:shd w:val="clear" w:color="auto" w:fill="FFFFFF"/>
            <w:tcMar>
              <w:top w:w="150" w:type="dxa"/>
              <w:left w:w="240" w:type="dxa"/>
              <w:bottom w:w="150" w:type="dxa"/>
              <w:right w:w="240" w:type="dxa"/>
            </w:tcMar>
            <w:vAlign w:val="center"/>
            <w:hideMark/>
          </w:tcPr>
          <w:p w14:paraId="5D52A979"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3.14 (2); 0.208; 1.000; V = 0.079</w:t>
            </w:r>
          </w:p>
        </w:tc>
        <w:tc>
          <w:tcPr>
            <w:tcW w:w="0" w:type="auto"/>
            <w:shd w:val="clear" w:color="auto" w:fill="FFFFFF"/>
            <w:tcMar>
              <w:top w:w="150" w:type="dxa"/>
              <w:left w:w="240" w:type="dxa"/>
              <w:bottom w:w="150" w:type="dxa"/>
              <w:right w:w="0" w:type="dxa"/>
            </w:tcMar>
            <w:vAlign w:val="center"/>
            <w:hideMark/>
          </w:tcPr>
          <w:p w14:paraId="473C6F2F"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35.64 (3); &lt;0.001; 0.001†; V = 0.267</w:t>
            </w:r>
          </w:p>
        </w:tc>
      </w:tr>
      <w:tr w:rsidR="0015315F" w:rsidRPr="008B3742" w14:paraId="15B4208E" w14:textId="77777777" w:rsidTr="007A40DA">
        <w:trPr>
          <w:cantSplit/>
        </w:trPr>
        <w:tc>
          <w:tcPr>
            <w:tcW w:w="0" w:type="auto"/>
            <w:shd w:val="clear" w:color="auto" w:fill="FFFFFF"/>
            <w:tcMar>
              <w:top w:w="150" w:type="dxa"/>
              <w:left w:w="0" w:type="dxa"/>
              <w:bottom w:w="150" w:type="dxa"/>
              <w:right w:w="240" w:type="dxa"/>
            </w:tcMar>
            <w:vAlign w:val="center"/>
            <w:hideMark/>
          </w:tcPr>
          <w:p w14:paraId="40B6940E"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t>Q13</w:t>
            </w:r>
          </w:p>
        </w:tc>
        <w:tc>
          <w:tcPr>
            <w:tcW w:w="0" w:type="auto"/>
            <w:shd w:val="clear" w:color="auto" w:fill="FFFFFF"/>
            <w:tcMar>
              <w:top w:w="150" w:type="dxa"/>
              <w:left w:w="240" w:type="dxa"/>
              <w:bottom w:w="150" w:type="dxa"/>
              <w:right w:w="240" w:type="dxa"/>
            </w:tcMar>
            <w:vAlign w:val="center"/>
            <w:hideMark/>
          </w:tcPr>
          <w:p w14:paraId="375AA697"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0.35 (1); 0.554; 1.000; V = 0.026</w:t>
            </w:r>
          </w:p>
        </w:tc>
        <w:tc>
          <w:tcPr>
            <w:tcW w:w="0" w:type="auto"/>
            <w:shd w:val="clear" w:color="auto" w:fill="FFFFFF"/>
            <w:tcMar>
              <w:top w:w="150" w:type="dxa"/>
              <w:left w:w="240" w:type="dxa"/>
              <w:bottom w:w="150" w:type="dxa"/>
              <w:right w:w="240" w:type="dxa"/>
            </w:tcMar>
            <w:vAlign w:val="center"/>
            <w:hideMark/>
          </w:tcPr>
          <w:p w14:paraId="2BB5CFF7"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0.53 (3); 0.913; 1.000; V = 0.032</w:t>
            </w:r>
          </w:p>
        </w:tc>
        <w:tc>
          <w:tcPr>
            <w:tcW w:w="0" w:type="auto"/>
            <w:shd w:val="clear" w:color="auto" w:fill="FFFFFF"/>
            <w:tcMar>
              <w:top w:w="150" w:type="dxa"/>
              <w:left w:w="240" w:type="dxa"/>
              <w:bottom w:w="150" w:type="dxa"/>
              <w:right w:w="240" w:type="dxa"/>
            </w:tcMar>
            <w:vAlign w:val="center"/>
            <w:hideMark/>
          </w:tcPr>
          <w:p w14:paraId="78F7F9CA"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0.28 (1); 0.599; 1.000; V = 0.023</w:t>
            </w:r>
          </w:p>
        </w:tc>
        <w:tc>
          <w:tcPr>
            <w:tcW w:w="0" w:type="auto"/>
            <w:shd w:val="clear" w:color="auto" w:fill="FFFFFF"/>
            <w:tcMar>
              <w:top w:w="150" w:type="dxa"/>
              <w:left w:w="240" w:type="dxa"/>
              <w:bottom w:w="150" w:type="dxa"/>
              <w:right w:w="240" w:type="dxa"/>
            </w:tcMar>
            <w:vAlign w:val="center"/>
            <w:hideMark/>
          </w:tcPr>
          <w:p w14:paraId="5C36AA06"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0.07 (2); 0.964; 1.000; V = 0.012</w:t>
            </w:r>
          </w:p>
        </w:tc>
        <w:tc>
          <w:tcPr>
            <w:tcW w:w="0" w:type="auto"/>
            <w:shd w:val="clear" w:color="auto" w:fill="FFFFFF"/>
            <w:tcMar>
              <w:top w:w="150" w:type="dxa"/>
              <w:left w:w="240" w:type="dxa"/>
              <w:bottom w:w="150" w:type="dxa"/>
              <w:right w:w="0" w:type="dxa"/>
            </w:tcMar>
            <w:vAlign w:val="center"/>
            <w:hideMark/>
          </w:tcPr>
          <w:p w14:paraId="38259AE5"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58.71 (3); &lt;0.001; 0.001†; V = 0.342</w:t>
            </w:r>
          </w:p>
        </w:tc>
      </w:tr>
      <w:tr w:rsidR="0015315F" w:rsidRPr="008B3742" w14:paraId="4A8FA651" w14:textId="77777777" w:rsidTr="007A40DA">
        <w:trPr>
          <w:cantSplit/>
        </w:trPr>
        <w:tc>
          <w:tcPr>
            <w:tcW w:w="0" w:type="auto"/>
            <w:shd w:val="clear" w:color="auto" w:fill="FFFFFF"/>
            <w:tcMar>
              <w:top w:w="150" w:type="dxa"/>
              <w:left w:w="0" w:type="dxa"/>
              <w:bottom w:w="150" w:type="dxa"/>
              <w:right w:w="240" w:type="dxa"/>
            </w:tcMar>
            <w:vAlign w:val="center"/>
            <w:hideMark/>
          </w:tcPr>
          <w:p w14:paraId="3A51A780"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lastRenderedPageBreak/>
              <w:t>Q14</w:t>
            </w:r>
          </w:p>
        </w:tc>
        <w:tc>
          <w:tcPr>
            <w:tcW w:w="0" w:type="auto"/>
            <w:shd w:val="clear" w:color="auto" w:fill="FFFFFF"/>
            <w:tcMar>
              <w:top w:w="150" w:type="dxa"/>
              <w:left w:w="240" w:type="dxa"/>
              <w:bottom w:w="150" w:type="dxa"/>
              <w:right w:w="240" w:type="dxa"/>
            </w:tcMar>
            <w:vAlign w:val="center"/>
            <w:hideMark/>
          </w:tcPr>
          <w:p w14:paraId="6993B104"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0.52 (1); 0.472; 1.000; V = 0.032</w:t>
            </w:r>
          </w:p>
        </w:tc>
        <w:tc>
          <w:tcPr>
            <w:tcW w:w="0" w:type="auto"/>
            <w:shd w:val="clear" w:color="auto" w:fill="FFFFFF"/>
            <w:tcMar>
              <w:top w:w="150" w:type="dxa"/>
              <w:left w:w="240" w:type="dxa"/>
              <w:bottom w:w="150" w:type="dxa"/>
              <w:right w:w="240" w:type="dxa"/>
            </w:tcMar>
            <w:vAlign w:val="center"/>
            <w:hideMark/>
          </w:tcPr>
          <w:p w14:paraId="61FAC649"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2.09 (3); 0.554; 1.000; V = 0.065</w:t>
            </w:r>
          </w:p>
        </w:tc>
        <w:tc>
          <w:tcPr>
            <w:tcW w:w="0" w:type="auto"/>
            <w:shd w:val="clear" w:color="auto" w:fill="FFFFFF"/>
            <w:tcMar>
              <w:top w:w="150" w:type="dxa"/>
              <w:left w:w="240" w:type="dxa"/>
              <w:bottom w:w="150" w:type="dxa"/>
              <w:right w:w="240" w:type="dxa"/>
            </w:tcMar>
            <w:vAlign w:val="center"/>
            <w:hideMark/>
          </w:tcPr>
          <w:p w14:paraId="6C95C492"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2.08 (1); 0.149; 1.000; V = 0.064</w:t>
            </w:r>
          </w:p>
        </w:tc>
        <w:tc>
          <w:tcPr>
            <w:tcW w:w="0" w:type="auto"/>
            <w:shd w:val="clear" w:color="auto" w:fill="FFFFFF"/>
            <w:tcMar>
              <w:top w:w="150" w:type="dxa"/>
              <w:left w:w="240" w:type="dxa"/>
              <w:bottom w:w="150" w:type="dxa"/>
              <w:right w:w="240" w:type="dxa"/>
            </w:tcMar>
            <w:vAlign w:val="center"/>
            <w:hideMark/>
          </w:tcPr>
          <w:p w14:paraId="48A2FE03"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0.31 (2); 0.855; 1.000; V = 0.025</w:t>
            </w:r>
          </w:p>
        </w:tc>
        <w:tc>
          <w:tcPr>
            <w:tcW w:w="0" w:type="auto"/>
            <w:shd w:val="clear" w:color="auto" w:fill="FFFFFF"/>
            <w:tcMar>
              <w:top w:w="150" w:type="dxa"/>
              <w:left w:w="240" w:type="dxa"/>
              <w:bottom w:w="150" w:type="dxa"/>
              <w:right w:w="0" w:type="dxa"/>
            </w:tcMar>
            <w:vAlign w:val="center"/>
            <w:hideMark/>
          </w:tcPr>
          <w:p w14:paraId="2FF7A55D"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51.45 (3); &lt;0.001; 0.001†; V = 0.320</w:t>
            </w:r>
          </w:p>
        </w:tc>
      </w:tr>
      <w:tr w:rsidR="0015315F" w:rsidRPr="008B3742" w14:paraId="4CBCAE3D" w14:textId="77777777" w:rsidTr="007A40DA">
        <w:trPr>
          <w:cantSplit/>
        </w:trPr>
        <w:tc>
          <w:tcPr>
            <w:tcW w:w="0" w:type="auto"/>
            <w:shd w:val="clear" w:color="auto" w:fill="FFFFFF"/>
            <w:tcMar>
              <w:top w:w="150" w:type="dxa"/>
              <w:left w:w="0" w:type="dxa"/>
              <w:bottom w:w="150" w:type="dxa"/>
              <w:right w:w="240" w:type="dxa"/>
            </w:tcMar>
            <w:vAlign w:val="center"/>
            <w:hideMark/>
          </w:tcPr>
          <w:p w14:paraId="03EC60D9"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t>Q15</w:t>
            </w:r>
          </w:p>
        </w:tc>
        <w:tc>
          <w:tcPr>
            <w:tcW w:w="0" w:type="auto"/>
            <w:shd w:val="clear" w:color="auto" w:fill="FFFFFF"/>
            <w:tcMar>
              <w:top w:w="150" w:type="dxa"/>
              <w:left w:w="240" w:type="dxa"/>
              <w:bottom w:w="150" w:type="dxa"/>
              <w:right w:w="240" w:type="dxa"/>
            </w:tcMar>
            <w:vAlign w:val="center"/>
            <w:hideMark/>
          </w:tcPr>
          <w:p w14:paraId="1E4C1C22"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0.09 (1); 0.766; 1.000; V = 0.013</w:t>
            </w:r>
          </w:p>
        </w:tc>
        <w:tc>
          <w:tcPr>
            <w:tcW w:w="0" w:type="auto"/>
            <w:shd w:val="clear" w:color="auto" w:fill="FFFFFF"/>
            <w:tcMar>
              <w:top w:w="150" w:type="dxa"/>
              <w:left w:w="240" w:type="dxa"/>
              <w:bottom w:w="150" w:type="dxa"/>
              <w:right w:w="240" w:type="dxa"/>
            </w:tcMar>
            <w:vAlign w:val="center"/>
            <w:hideMark/>
          </w:tcPr>
          <w:p w14:paraId="68DFF9C6"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0.23 (3); 0.973; 1.000; V = 0.021</w:t>
            </w:r>
          </w:p>
        </w:tc>
        <w:tc>
          <w:tcPr>
            <w:tcW w:w="0" w:type="auto"/>
            <w:shd w:val="clear" w:color="auto" w:fill="FFFFFF"/>
            <w:tcMar>
              <w:top w:w="150" w:type="dxa"/>
              <w:left w:w="240" w:type="dxa"/>
              <w:bottom w:w="150" w:type="dxa"/>
              <w:right w:w="240" w:type="dxa"/>
            </w:tcMar>
            <w:vAlign w:val="center"/>
            <w:hideMark/>
          </w:tcPr>
          <w:p w14:paraId="737E0E52"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0.08 (1); 0.772; 1.000; V = 0.013</w:t>
            </w:r>
          </w:p>
        </w:tc>
        <w:tc>
          <w:tcPr>
            <w:tcW w:w="0" w:type="auto"/>
            <w:shd w:val="clear" w:color="auto" w:fill="FFFFFF"/>
            <w:tcMar>
              <w:top w:w="150" w:type="dxa"/>
              <w:left w:w="240" w:type="dxa"/>
              <w:bottom w:w="150" w:type="dxa"/>
              <w:right w:w="240" w:type="dxa"/>
            </w:tcMar>
            <w:vAlign w:val="center"/>
            <w:hideMark/>
          </w:tcPr>
          <w:p w14:paraId="45F8677C"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1.76 (2); 0.415; 1.000; V = 0.059</w:t>
            </w:r>
          </w:p>
        </w:tc>
        <w:tc>
          <w:tcPr>
            <w:tcW w:w="0" w:type="auto"/>
            <w:shd w:val="clear" w:color="auto" w:fill="FFFFFF"/>
            <w:tcMar>
              <w:top w:w="150" w:type="dxa"/>
              <w:left w:w="240" w:type="dxa"/>
              <w:bottom w:w="150" w:type="dxa"/>
              <w:right w:w="0" w:type="dxa"/>
            </w:tcMar>
            <w:vAlign w:val="center"/>
            <w:hideMark/>
          </w:tcPr>
          <w:p w14:paraId="65A6D816"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19.61 (3); &lt;0.001; 0.011†; V = 0.198</w:t>
            </w:r>
          </w:p>
        </w:tc>
      </w:tr>
      <w:tr w:rsidR="0015315F" w:rsidRPr="008B3742" w14:paraId="1809A8E9" w14:textId="77777777" w:rsidTr="007A40DA">
        <w:trPr>
          <w:cantSplit/>
        </w:trPr>
        <w:tc>
          <w:tcPr>
            <w:tcW w:w="0" w:type="auto"/>
            <w:shd w:val="clear" w:color="auto" w:fill="FFFFFF"/>
            <w:tcMar>
              <w:top w:w="150" w:type="dxa"/>
              <w:left w:w="0" w:type="dxa"/>
              <w:bottom w:w="150" w:type="dxa"/>
              <w:right w:w="240" w:type="dxa"/>
            </w:tcMar>
            <w:vAlign w:val="center"/>
            <w:hideMark/>
          </w:tcPr>
          <w:p w14:paraId="7D7549BA"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t>Q16</w:t>
            </w:r>
          </w:p>
        </w:tc>
        <w:tc>
          <w:tcPr>
            <w:tcW w:w="0" w:type="auto"/>
            <w:shd w:val="clear" w:color="auto" w:fill="FFFFFF"/>
            <w:tcMar>
              <w:top w:w="150" w:type="dxa"/>
              <w:left w:w="240" w:type="dxa"/>
              <w:bottom w:w="150" w:type="dxa"/>
              <w:right w:w="240" w:type="dxa"/>
            </w:tcMar>
            <w:vAlign w:val="center"/>
            <w:hideMark/>
          </w:tcPr>
          <w:p w14:paraId="179A502C"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0.59 (1); 0.441; 1.000; V = 0.034</w:t>
            </w:r>
          </w:p>
        </w:tc>
        <w:tc>
          <w:tcPr>
            <w:tcW w:w="0" w:type="auto"/>
            <w:shd w:val="clear" w:color="auto" w:fill="FFFFFF"/>
            <w:tcMar>
              <w:top w:w="150" w:type="dxa"/>
              <w:left w:w="240" w:type="dxa"/>
              <w:bottom w:w="150" w:type="dxa"/>
              <w:right w:w="240" w:type="dxa"/>
            </w:tcMar>
            <w:vAlign w:val="center"/>
            <w:hideMark/>
          </w:tcPr>
          <w:p w14:paraId="1602552B"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2.83 (3); 0.419; 1.000; V = 0.075</w:t>
            </w:r>
          </w:p>
        </w:tc>
        <w:tc>
          <w:tcPr>
            <w:tcW w:w="0" w:type="auto"/>
            <w:shd w:val="clear" w:color="auto" w:fill="FFFFFF"/>
            <w:tcMar>
              <w:top w:w="150" w:type="dxa"/>
              <w:left w:w="240" w:type="dxa"/>
              <w:bottom w:w="150" w:type="dxa"/>
              <w:right w:w="240" w:type="dxa"/>
            </w:tcMar>
            <w:vAlign w:val="center"/>
            <w:hideMark/>
          </w:tcPr>
          <w:p w14:paraId="728A1A66"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1.09 (1); 0.297; 1.000; V = 0.047</w:t>
            </w:r>
          </w:p>
        </w:tc>
        <w:tc>
          <w:tcPr>
            <w:tcW w:w="0" w:type="auto"/>
            <w:shd w:val="clear" w:color="auto" w:fill="FFFFFF"/>
            <w:tcMar>
              <w:top w:w="150" w:type="dxa"/>
              <w:left w:w="240" w:type="dxa"/>
              <w:bottom w:w="150" w:type="dxa"/>
              <w:right w:w="240" w:type="dxa"/>
            </w:tcMar>
            <w:vAlign w:val="center"/>
            <w:hideMark/>
          </w:tcPr>
          <w:p w14:paraId="3723BBB5"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2.45 (2); 0.294; 1.000; V = 0.070</w:t>
            </w:r>
          </w:p>
        </w:tc>
        <w:tc>
          <w:tcPr>
            <w:tcW w:w="0" w:type="auto"/>
            <w:shd w:val="clear" w:color="auto" w:fill="FFFFFF"/>
            <w:tcMar>
              <w:top w:w="150" w:type="dxa"/>
              <w:left w:w="240" w:type="dxa"/>
              <w:bottom w:w="150" w:type="dxa"/>
              <w:right w:w="0" w:type="dxa"/>
            </w:tcMar>
            <w:vAlign w:val="center"/>
            <w:hideMark/>
          </w:tcPr>
          <w:p w14:paraId="70E4E3F2"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11.98 (3); 0.005; 0.586†; V = 0.155</w:t>
            </w:r>
          </w:p>
        </w:tc>
      </w:tr>
      <w:tr w:rsidR="0015315F" w:rsidRPr="008B3742" w14:paraId="7099A48D" w14:textId="77777777" w:rsidTr="007A40DA">
        <w:trPr>
          <w:cantSplit/>
        </w:trPr>
        <w:tc>
          <w:tcPr>
            <w:tcW w:w="0" w:type="auto"/>
            <w:shd w:val="clear" w:color="auto" w:fill="FFFFFF"/>
            <w:tcMar>
              <w:top w:w="150" w:type="dxa"/>
              <w:left w:w="0" w:type="dxa"/>
              <w:bottom w:w="150" w:type="dxa"/>
              <w:right w:w="240" w:type="dxa"/>
            </w:tcMar>
            <w:vAlign w:val="center"/>
            <w:hideMark/>
          </w:tcPr>
          <w:p w14:paraId="45A1BEFF"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t>Q17</w:t>
            </w:r>
          </w:p>
        </w:tc>
        <w:tc>
          <w:tcPr>
            <w:tcW w:w="0" w:type="auto"/>
            <w:shd w:val="clear" w:color="auto" w:fill="FFFFFF"/>
            <w:tcMar>
              <w:top w:w="150" w:type="dxa"/>
              <w:left w:w="240" w:type="dxa"/>
              <w:bottom w:w="150" w:type="dxa"/>
              <w:right w:w="240" w:type="dxa"/>
            </w:tcMar>
            <w:vAlign w:val="center"/>
            <w:hideMark/>
          </w:tcPr>
          <w:p w14:paraId="692919FF"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0.16 (1); 0.688; 1.000; V = 0.018</w:t>
            </w:r>
          </w:p>
        </w:tc>
        <w:tc>
          <w:tcPr>
            <w:tcW w:w="0" w:type="auto"/>
            <w:shd w:val="clear" w:color="auto" w:fill="FFFFFF"/>
            <w:tcMar>
              <w:top w:w="150" w:type="dxa"/>
              <w:left w:w="240" w:type="dxa"/>
              <w:bottom w:w="150" w:type="dxa"/>
              <w:right w:w="240" w:type="dxa"/>
            </w:tcMar>
            <w:vAlign w:val="center"/>
            <w:hideMark/>
          </w:tcPr>
          <w:p w14:paraId="68D731E9"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8.39 (3); 0.039; 1.000; V = 0.129</w:t>
            </w:r>
          </w:p>
        </w:tc>
        <w:tc>
          <w:tcPr>
            <w:tcW w:w="0" w:type="auto"/>
            <w:shd w:val="clear" w:color="auto" w:fill="FFFFFF"/>
            <w:tcMar>
              <w:top w:w="150" w:type="dxa"/>
              <w:left w:w="240" w:type="dxa"/>
              <w:bottom w:w="150" w:type="dxa"/>
              <w:right w:w="240" w:type="dxa"/>
            </w:tcMar>
            <w:vAlign w:val="center"/>
            <w:hideMark/>
          </w:tcPr>
          <w:p w14:paraId="22A2B587"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1.66 (1); 0.198; 1.000; V = 0.058</w:t>
            </w:r>
          </w:p>
        </w:tc>
        <w:tc>
          <w:tcPr>
            <w:tcW w:w="0" w:type="auto"/>
            <w:shd w:val="clear" w:color="auto" w:fill="FFFFFF"/>
            <w:tcMar>
              <w:top w:w="150" w:type="dxa"/>
              <w:left w:w="240" w:type="dxa"/>
              <w:bottom w:w="150" w:type="dxa"/>
              <w:right w:w="240" w:type="dxa"/>
            </w:tcMar>
            <w:vAlign w:val="center"/>
            <w:hideMark/>
          </w:tcPr>
          <w:p w14:paraId="571AB583"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1.78 (2); 0.410; 1.000; V = 0.060</w:t>
            </w:r>
          </w:p>
        </w:tc>
        <w:tc>
          <w:tcPr>
            <w:tcW w:w="0" w:type="auto"/>
            <w:shd w:val="clear" w:color="auto" w:fill="FFFFFF"/>
            <w:tcMar>
              <w:top w:w="150" w:type="dxa"/>
              <w:left w:w="240" w:type="dxa"/>
              <w:bottom w:w="150" w:type="dxa"/>
              <w:right w:w="0" w:type="dxa"/>
            </w:tcMar>
            <w:vAlign w:val="center"/>
            <w:hideMark/>
          </w:tcPr>
          <w:p w14:paraId="36B248A5"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32.34 (3); &lt;0.001; 0.001†; V = 0.254</w:t>
            </w:r>
          </w:p>
        </w:tc>
      </w:tr>
      <w:tr w:rsidR="0015315F" w:rsidRPr="008B3742" w14:paraId="0E83E6A7" w14:textId="77777777" w:rsidTr="007A40DA">
        <w:trPr>
          <w:cantSplit/>
        </w:trPr>
        <w:tc>
          <w:tcPr>
            <w:tcW w:w="0" w:type="auto"/>
            <w:shd w:val="clear" w:color="auto" w:fill="FFFFFF"/>
            <w:tcMar>
              <w:top w:w="150" w:type="dxa"/>
              <w:left w:w="0" w:type="dxa"/>
              <w:bottom w:w="150" w:type="dxa"/>
              <w:right w:w="240" w:type="dxa"/>
            </w:tcMar>
            <w:vAlign w:val="center"/>
            <w:hideMark/>
          </w:tcPr>
          <w:p w14:paraId="514AA16B"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t>Q18</w:t>
            </w:r>
          </w:p>
        </w:tc>
        <w:tc>
          <w:tcPr>
            <w:tcW w:w="0" w:type="auto"/>
            <w:shd w:val="clear" w:color="auto" w:fill="FFFFFF"/>
            <w:tcMar>
              <w:top w:w="150" w:type="dxa"/>
              <w:left w:w="240" w:type="dxa"/>
              <w:bottom w:w="150" w:type="dxa"/>
              <w:right w:w="240" w:type="dxa"/>
            </w:tcMar>
            <w:vAlign w:val="center"/>
            <w:hideMark/>
          </w:tcPr>
          <w:p w14:paraId="371F6ACD"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0.49 (1); 0.483; 1.000; V = 0.031</w:t>
            </w:r>
          </w:p>
        </w:tc>
        <w:tc>
          <w:tcPr>
            <w:tcW w:w="0" w:type="auto"/>
            <w:shd w:val="clear" w:color="auto" w:fill="FFFFFF"/>
            <w:tcMar>
              <w:top w:w="150" w:type="dxa"/>
              <w:left w:w="240" w:type="dxa"/>
              <w:bottom w:w="150" w:type="dxa"/>
              <w:right w:w="240" w:type="dxa"/>
            </w:tcMar>
            <w:vAlign w:val="center"/>
            <w:hideMark/>
          </w:tcPr>
          <w:p w14:paraId="4B5107A6"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2.00 (3); 0.573; 1.000; V = 0.063</w:t>
            </w:r>
          </w:p>
        </w:tc>
        <w:tc>
          <w:tcPr>
            <w:tcW w:w="0" w:type="auto"/>
            <w:shd w:val="clear" w:color="auto" w:fill="FFFFFF"/>
            <w:tcMar>
              <w:top w:w="150" w:type="dxa"/>
              <w:left w:w="240" w:type="dxa"/>
              <w:bottom w:w="150" w:type="dxa"/>
              <w:right w:w="240" w:type="dxa"/>
            </w:tcMar>
            <w:vAlign w:val="center"/>
            <w:hideMark/>
          </w:tcPr>
          <w:p w14:paraId="7E9F4896"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0.10 (1); 0.749; 1.000; V = 0.014</w:t>
            </w:r>
          </w:p>
        </w:tc>
        <w:tc>
          <w:tcPr>
            <w:tcW w:w="0" w:type="auto"/>
            <w:shd w:val="clear" w:color="auto" w:fill="FFFFFF"/>
            <w:tcMar>
              <w:top w:w="150" w:type="dxa"/>
              <w:left w:w="240" w:type="dxa"/>
              <w:bottom w:w="150" w:type="dxa"/>
              <w:right w:w="240" w:type="dxa"/>
            </w:tcMar>
            <w:vAlign w:val="center"/>
            <w:hideMark/>
          </w:tcPr>
          <w:p w14:paraId="3FB0A82A"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3.10 (2); 0.213; 1.000; V = 0.079</w:t>
            </w:r>
          </w:p>
        </w:tc>
        <w:tc>
          <w:tcPr>
            <w:tcW w:w="0" w:type="auto"/>
            <w:shd w:val="clear" w:color="auto" w:fill="FFFFFF"/>
            <w:tcMar>
              <w:top w:w="150" w:type="dxa"/>
              <w:left w:w="240" w:type="dxa"/>
              <w:bottom w:w="150" w:type="dxa"/>
              <w:right w:w="0" w:type="dxa"/>
            </w:tcMar>
            <w:vAlign w:val="center"/>
            <w:hideMark/>
          </w:tcPr>
          <w:p w14:paraId="77302EE4"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122.66 (3); &lt;0.001; 0.001†; V = 0.495</w:t>
            </w:r>
          </w:p>
        </w:tc>
      </w:tr>
      <w:tr w:rsidR="0015315F" w:rsidRPr="008B3742" w14:paraId="0D82438C" w14:textId="77777777" w:rsidTr="007A40DA">
        <w:trPr>
          <w:cantSplit/>
        </w:trPr>
        <w:tc>
          <w:tcPr>
            <w:tcW w:w="0" w:type="auto"/>
            <w:shd w:val="clear" w:color="auto" w:fill="FFFFFF"/>
            <w:tcMar>
              <w:top w:w="150" w:type="dxa"/>
              <w:left w:w="0" w:type="dxa"/>
              <w:bottom w:w="150" w:type="dxa"/>
              <w:right w:w="240" w:type="dxa"/>
            </w:tcMar>
            <w:vAlign w:val="center"/>
            <w:hideMark/>
          </w:tcPr>
          <w:p w14:paraId="75345807"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t>Q19</w:t>
            </w:r>
          </w:p>
        </w:tc>
        <w:tc>
          <w:tcPr>
            <w:tcW w:w="0" w:type="auto"/>
            <w:shd w:val="clear" w:color="auto" w:fill="FFFFFF"/>
            <w:tcMar>
              <w:top w:w="150" w:type="dxa"/>
              <w:left w:w="240" w:type="dxa"/>
              <w:bottom w:w="150" w:type="dxa"/>
              <w:right w:w="240" w:type="dxa"/>
            </w:tcMar>
            <w:vAlign w:val="center"/>
            <w:hideMark/>
          </w:tcPr>
          <w:p w14:paraId="7421E9B1"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0.00 (1); 0.960; 1.000; V = 0.002</w:t>
            </w:r>
          </w:p>
        </w:tc>
        <w:tc>
          <w:tcPr>
            <w:tcW w:w="0" w:type="auto"/>
            <w:shd w:val="clear" w:color="auto" w:fill="FFFFFF"/>
            <w:tcMar>
              <w:top w:w="150" w:type="dxa"/>
              <w:left w:w="240" w:type="dxa"/>
              <w:bottom w:w="150" w:type="dxa"/>
              <w:right w:w="240" w:type="dxa"/>
            </w:tcMar>
            <w:vAlign w:val="center"/>
            <w:hideMark/>
          </w:tcPr>
          <w:p w14:paraId="540F33E5"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2.03 (3); 0.565; 1.000; V = 0.064</w:t>
            </w:r>
          </w:p>
        </w:tc>
        <w:tc>
          <w:tcPr>
            <w:tcW w:w="0" w:type="auto"/>
            <w:shd w:val="clear" w:color="auto" w:fill="FFFFFF"/>
            <w:tcMar>
              <w:top w:w="150" w:type="dxa"/>
              <w:left w:w="240" w:type="dxa"/>
              <w:bottom w:w="150" w:type="dxa"/>
              <w:right w:w="240" w:type="dxa"/>
            </w:tcMar>
            <w:vAlign w:val="center"/>
            <w:hideMark/>
          </w:tcPr>
          <w:p w14:paraId="6646B720"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0.94 (1); 0.333; 1.000; V = 0.043</w:t>
            </w:r>
          </w:p>
        </w:tc>
        <w:tc>
          <w:tcPr>
            <w:tcW w:w="0" w:type="auto"/>
            <w:shd w:val="clear" w:color="auto" w:fill="FFFFFF"/>
            <w:tcMar>
              <w:top w:w="150" w:type="dxa"/>
              <w:left w:w="240" w:type="dxa"/>
              <w:bottom w:w="150" w:type="dxa"/>
              <w:right w:w="240" w:type="dxa"/>
            </w:tcMar>
            <w:vAlign w:val="center"/>
            <w:hideMark/>
          </w:tcPr>
          <w:p w14:paraId="41EC25C9"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4.48 (2); 0.107; 1.000; V = 0.095</w:t>
            </w:r>
          </w:p>
        </w:tc>
        <w:tc>
          <w:tcPr>
            <w:tcW w:w="0" w:type="auto"/>
            <w:shd w:val="clear" w:color="auto" w:fill="FFFFFF"/>
            <w:tcMar>
              <w:top w:w="150" w:type="dxa"/>
              <w:left w:w="240" w:type="dxa"/>
              <w:bottom w:w="150" w:type="dxa"/>
              <w:right w:w="0" w:type="dxa"/>
            </w:tcMar>
            <w:vAlign w:val="center"/>
            <w:hideMark/>
          </w:tcPr>
          <w:p w14:paraId="1B725DB9"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89.21 (3); &lt;0.001; 0.001†; V = 0.422</w:t>
            </w:r>
          </w:p>
        </w:tc>
      </w:tr>
      <w:tr w:rsidR="0015315F" w:rsidRPr="008B3742" w14:paraId="41038C89" w14:textId="77777777" w:rsidTr="007A40DA">
        <w:trPr>
          <w:cantSplit/>
        </w:trPr>
        <w:tc>
          <w:tcPr>
            <w:tcW w:w="0" w:type="auto"/>
            <w:shd w:val="clear" w:color="auto" w:fill="FFFFFF"/>
            <w:tcMar>
              <w:top w:w="150" w:type="dxa"/>
              <w:left w:w="0" w:type="dxa"/>
              <w:bottom w:w="150" w:type="dxa"/>
              <w:right w:w="240" w:type="dxa"/>
            </w:tcMar>
            <w:vAlign w:val="center"/>
            <w:hideMark/>
          </w:tcPr>
          <w:p w14:paraId="59661452"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t>Q20</w:t>
            </w:r>
          </w:p>
        </w:tc>
        <w:tc>
          <w:tcPr>
            <w:tcW w:w="0" w:type="auto"/>
            <w:shd w:val="clear" w:color="auto" w:fill="FFFFFF"/>
            <w:tcMar>
              <w:top w:w="150" w:type="dxa"/>
              <w:left w:w="240" w:type="dxa"/>
              <w:bottom w:w="150" w:type="dxa"/>
              <w:right w:w="240" w:type="dxa"/>
            </w:tcMar>
            <w:vAlign w:val="center"/>
            <w:hideMark/>
          </w:tcPr>
          <w:p w14:paraId="3C266C0D"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0.00 (1); 0.976; 1.000; V = 0.001</w:t>
            </w:r>
          </w:p>
        </w:tc>
        <w:tc>
          <w:tcPr>
            <w:tcW w:w="0" w:type="auto"/>
            <w:shd w:val="clear" w:color="auto" w:fill="FFFFFF"/>
            <w:tcMar>
              <w:top w:w="150" w:type="dxa"/>
              <w:left w:w="240" w:type="dxa"/>
              <w:bottom w:w="150" w:type="dxa"/>
              <w:right w:w="240" w:type="dxa"/>
            </w:tcMar>
            <w:vAlign w:val="center"/>
            <w:hideMark/>
          </w:tcPr>
          <w:p w14:paraId="290BF588"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0.36 (3); 0.949; 1.000; V = 0.027</w:t>
            </w:r>
          </w:p>
        </w:tc>
        <w:tc>
          <w:tcPr>
            <w:tcW w:w="0" w:type="auto"/>
            <w:shd w:val="clear" w:color="auto" w:fill="FFFFFF"/>
            <w:tcMar>
              <w:top w:w="150" w:type="dxa"/>
              <w:left w:w="240" w:type="dxa"/>
              <w:bottom w:w="150" w:type="dxa"/>
              <w:right w:w="240" w:type="dxa"/>
            </w:tcMar>
            <w:vAlign w:val="center"/>
            <w:hideMark/>
          </w:tcPr>
          <w:p w14:paraId="4AD72ED5"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0.01 (1); 0.903; 1.000; V = 0.005</w:t>
            </w:r>
          </w:p>
        </w:tc>
        <w:tc>
          <w:tcPr>
            <w:tcW w:w="0" w:type="auto"/>
            <w:shd w:val="clear" w:color="auto" w:fill="FFFFFF"/>
            <w:tcMar>
              <w:top w:w="150" w:type="dxa"/>
              <w:left w:w="240" w:type="dxa"/>
              <w:bottom w:w="150" w:type="dxa"/>
              <w:right w:w="240" w:type="dxa"/>
            </w:tcMar>
            <w:vAlign w:val="center"/>
            <w:hideMark/>
          </w:tcPr>
          <w:p w14:paraId="3C2C85B5"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2.28 (2); 0.319; 1.000; V = 0.067</w:t>
            </w:r>
          </w:p>
        </w:tc>
        <w:tc>
          <w:tcPr>
            <w:tcW w:w="0" w:type="auto"/>
            <w:shd w:val="clear" w:color="auto" w:fill="FFFFFF"/>
            <w:tcMar>
              <w:top w:w="150" w:type="dxa"/>
              <w:left w:w="240" w:type="dxa"/>
              <w:bottom w:w="150" w:type="dxa"/>
              <w:right w:w="0" w:type="dxa"/>
            </w:tcMar>
            <w:vAlign w:val="center"/>
            <w:hideMark/>
          </w:tcPr>
          <w:p w14:paraId="131252EA"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107.11 (3); &lt;0.001; 0.001†; V = 0.462</w:t>
            </w:r>
          </w:p>
        </w:tc>
      </w:tr>
      <w:tr w:rsidR="0015315F" w:rsidRPr="008B3742" w14:paraId="429B9194" w14:textId="77777777" w:rsidTr="007A40DA">
        <w:trPr>
          <w:cantSplit/>
        </w:trPr>
        <w:tc>
          <w:tcPr>
            <w:tcW w:w="0" w:type="auto"/>
            <w:tcBorders>
              <w:bottom w:val="single" w:sz="4" w:space="0" w:color="auto"/>
            </w:tcBorders>
            <w:shd w:val="clear" w:color="auto" w:fill="FFFFFF"/>
            <w:tcMar>
              <w:top w:w="150" w:type="dxa"/>
              <w:left w:w="0" w:type="dxa"/>
              <w:bottom w:w="150" w:type="dxa"/>
              <w:right w:w="240" w:type="dxa"/>
            </w:tcMar>
            <w:vAlign w:val="center"/>
            <w:hideMark/>
          </w:tcPr>
          <w:p w14:paraId="40334015" w14:textId="77777777" w:rsidR="0015315F" w:rsidRPr="00E50D5B" w:rsidRDefault="0015315F" w:rsidP="007A40DA">
            <w:pPr>
              <w:jc w:val="both"/>
              <w:rPr>
                <w:rFonts w:ascii="Times New Roman" w:hAnsi="Times New Roman" w:cs="Times New Roman"/>
                <w:noProof/>
                <w:sz w:val="24"/>
                <w:szCs w:val="24"/>
              </w:rPr>
            </w:pPr>
            <w:r w:rsidRPr="00E50D5B">
              <w:rPr>
                <w:rFonts w:ascii="Times New Roman" w:hAnsi="Times New Roman" w:cs="Times New Roman"/>
                <w:noProof/>
                <w:sz w:val="24"/>
                <w:szCs w:val="24"/>
              </w:rPr>
              <w:lastRenderedPageBreak/>
              <w:t>Q21</w:t>
            </w:r>
          </w:p>
        </w:tc>
        <w:tc>
          <w:tcPr>
            <w:tcW w:w="0" w:type="auto"/>
            <w:tcBorders>
              <w:bottom w:val="single" w:sz="4" w:space="0" w:color="auto"/>
            </w:tcBorders>
            <w:shd w:val="clear" w:color="auto" w:fill="FFFFFF"/>
            <w:tcMar>
              <w:top w:w="150" w:type="dxa"/>
              <w:left w:w="240" w:type="dxa"/>
              <w:bottom w:w="150" w:type="dxa"/>
              <w:right w:w="240" w:type="dxa"/>
            </w:tcMar>
            <w:vAlign w:val="center"/>
            <w:hideMark/>
          </w:tcPr>
          <w:p w14:paraId="092E3714"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0.27 (1); 0.606; 1.000; V = 0.023</w:t>
            </w:r>
          </w:p>
        </w:tc>
        <w:tc>
          <w:tcPr>
            <w:tcW w:w="0" w:type="auto"/>
            <w:tcBorders>
              <w:bottom w:val="single" w:sz="4" w:space="0" w:color="auto"/>
            </w:tcBorders>
            <w:shd w:val="clear" w:color="auto" w:fill="FFFFFF"/>
            <w:tcMar>
              <w:top w:w="150" w:type="dxa"/>
              <w:left w:w="240" w:type="dxa"/>
              <w:bottom w:w="150" w:type="dxa"/>
              <w:right w:w="240" w:type="dxa"/>
            </w:tcMar>
            <w:vAlign w:val="center"/>
            <w:hideMark/>
          </w:tcPr>
          <w:p w14:paraId="4D03BEC0"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1.65 (3); 0.649; 1.000; V = 0.057</w:t>
            </w:r>
          </w:p>
        </w:tc>
        <w:tc>
          <w:tcPr>
            <w:tcW w:w="0" w:type="auto"/>
            <w:tcBorders>
              <w:bottom w:val="single" w:sz="4" w:space="0" w:color="auto"/>
            </w:tcBorders>
            <w:shd w:val="clear" w:color="auto" w:fill="FFFFFF"/>
            <w:tcMar>
              <w:top w:w="150" w:type="dxa"/>
              <w:left w:w="240" w:type="dxa"/>
              <w:bottom w:w="150" w:type="dxa"/>
              <w:right w:w="240" w:type="dxa"/>
            </w:tcMar>
            <w:vAlign w:val="center"/>
            <w:hideMark/>
          </w:tcPr>
          <w:p w14:paraId="23B9A657"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0.35 (1); 0.553; 1.000; V = 0.027</w:t>
            </w:r>
          </w:p>
        </w:tc>
        <w:tc>
          <w:tcPr>
            <w:tcW w:w="0" w:type="auto"/>
            <w:tcBorders>
              <w:bottom w:val="single" w:sz="4" w:space="0" w:color="auto"/>
            </w:tcBorders>
            <w:shd w:val="clear" w:color="auto" w:fill="FFFFFF"/>
            <w:tcMar>
              <w:top w:w="150" w:type="dxa"/>
              <w:left w:w="240" w:type="dxa"/>
              <w:bottom w:w="150" w:type="dxa"/>
              <w:right w:w="240" w:type="dxa"/>
            </w:tcMar>
            <w:vAlign w:val="center"/>
            <w:hideMark/>
          </w:tcPr>
          <w:p w14:paraId="242F223C"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1.77 (2); 0.413; 1.000; V = 0.059</w:t>
            </w:r>
          </w:p>
        </w:tc>
        <w:tc>
          <w:tcPr>
            <w:tcW w:w="0" w:type="auto"/>
            <w:tcBorders>
              <w:bottom w:val="single" w:sz="4" w:space="0" w:color="auto"/>
            </w:tcBorders>
            <w:shd w:val="clear" w:color="auto" w:fill="FFFFFF"/>
            <w:tcMar>
              <w:top w:w="150" w:type="dxa"/>
              <w:left w:w="240" w:type="dxa"/>
              <w:bottom w:w="150" w:type="dxa"/>
              <w:right w:w="0" w:type="dxa"/>
            </w:tcMar>
            <w:vAlign w:val="center"/>
            <w:hideMark/>
          </w:tcPr>
          <w:p w14:paraId="3F412E57" w14:textId="77777777" w:rsidR="0015315F" w:rsidRPr="008B3742" w:rsidRDefault="0015315F" w:rsidP="007A40DA">
            <w:pPr>
              <w:jc w:val="both"/>
              <w:rPr>
                <w:rFonts w:ascii="Times New Roman" w:hAnsi="Times New Roman" w:cs="Times New Roman"/>
                <w:noProof/>
                <w:sz w:val="24"/>
                <w:szCs w:val="24"/>
                <w:highlight w:val="yellow"/>
              </w:rPr>
            </w:pPr>
            <w:r w:rsidRPr="008B3742">
              <w:rPr>
                <w:rFonts w:ascii="Times New Roman" w:hAnsi="Times New Roman" w:cs="Times New Roman"/>
                <w:noProof/>
                <w:sz w:val="24"/>
                <w:szCs w:val="24"/>
                <w:highlight w:val="yellow"/>
              </w:rPr>
              <w:t>101.27 (3); &lt;0.001; 0.001†; V = 0.450</w:t>
            </w:r>
          </w:p>
        </w:tc>
      </w:tr>
    </w:tbl>
    <w:p w14:paraId="576A57E4" w14:textId="77777777" w:rsidR="00600E6E" w:rsidRPr="00600E6E" w:rsidRDefault="00600E6E" w:rsidP="008B3742">
      <w:pPr>
        <w:jc w:val="both"/>
        <w:rPr>
          <w:rFonts w:ascii="Times New Roman" w:hAnsi="Times New Roman" w:cs="Times New Roman"/>
          <w:noProof/>
          <w:sz w:val="20"/>
          <w:szCs w:val="20"/>
        </w:rPr>
      </w:pPr>
      <w:r w:rsidRPr="00600E6E">
        <w:rPr>
          <w:rFonts w:ascii="Times New Roman" w:hAnsi="Times New Roman" w:cs="Times New Roman"/>
          <w:noProof/>
          <w:sz w:val="20"/>
          <w:szCs w:val="20"/>
          <w:highlight w:val="yellow"/>
        </w:rPr>
        <w:t>† The unadjusted p-value was estimated using a conditional Monte Carlo procedure with 100,000 resamples because at least one expected cell count was &lt;5; the corresponding Holm-adjusted p-value was subsequently calculated from the resulting unadjusted p-value. Holm adjustment was applied across all 140 item-level comparisons in Tables 5 and 6. Adjusted p &lt; 0.05 was considered statistically significant.</w:t>
      </w:r>
    </w:p>
    <w:p w14:paraId="0307FABF" w14:textId="77777777" w:rsidR="00600E6E" w:rsidRDefault="00600E6E" w:rsidP="008B3742">
      <w:pPr>
        <w:jc w:val="both"/>
        <w:rPr>
          <w:rFonts w:ascii="Times New Roman" w:hAnsi="Times New Roman" w:cs="Times New Roman"/>
          <w:b/>
          <w:bCs/>
          <w:noProof/>
          <w:sz w:val="24"/>
          <w:szCs w:val="24"/>
        </w:rPr>
      </w:pPr>
    </w:p>
    <w:p w14:paraId="65CA889D" w14:textId="77777777" w:rsidR="00600E6E" w:rsidRDefault="00600E6E" w:rsidP="008B3742">
      <w:pPr>
        <w:jc w:val="both"/>
        <w:rPr>
          <w:rFonts w:ascii="Times New Roman" w:hAnsi="Times New Roman" w:cs="Times New Roman"/>
          <w:b/>
          <w:bCs/>
          <w:noProof/>
          <w:sz w:val="24"/>
          <w:szCs w:val="24"/>
        </w:rPr>
      </w:pPr>
    </w:p>
    <w:p w14:paraId="4AAFCCEA" w14:textId="77777777" w:rsidR="00600E6E" w:rsidRDefault="00600E6E" w:rsidP="008B3742">
      <w:pPr>
        <w:jc w:val="both"/>
        <w:rPr>
          <w:rFonts w:ascii="Times New Roman" w:hAnsi="Times New Roman" w:cs="Times New Roman"/>
          <w:b/>
          <w:bCs/>
          <w:noProof/>
          <w:sz w:val="24"/>
          <w:szCs w:val="24"/>
        </w:rPr>
      </w:pPr>
    </w:p>
    <w:p w14:paraId="39B82738" w14:textId="77777777" w:rsidR="00600E6E" w:rsidRDefault="00600E6E" w:rsidP="008B3742">
      <w:pPr>
        <w:jc w:val="both"/>
        <w:rPr>
          <w:rFonts w:ascii="Times New Roman" w:hAnsi="Times New Roman" w:cs="Times New Roman"/>
          <w:b/>
          <w:bCs/>
          <w:noProof/>
          <w:sz w:val="24"/>
          <w:szCs w:val="24"/>
        </w:rPr>
      </w:pPr>
    </w:p>
    <w:p w14:paraId="79C85194" w14:textId="77777777" w:rsidR="00600E6E" w:rsidRDefault="00600E6E" w:rsidP="008B3742">
      <w:pPr>
        <w:jc w:val="both"/>
        <w:rPr>
          <w:rFonts w:ascii="Times New Roman" w:hAnsi="Times New Roman" w:cs="Times New Roman"/>
          <w:b/>
          <w:bCs/>
          <w:noProof/>
          <w:sz w:val="24"/>
          <w:szCs w:val="24"/>
        </w:rPr>
      </w:pPr>
    </w:p>
    <w:p w14:paraId="1E352B04" w14:textId="77777777" w:rsidR="00600E6E" w:rsidRDefault="00600E6E" w:rsidP="008B3742">
      <w:pPr>
        <w:jc w:val="both"/>
        <w:rPr>
          <w:rFonts w:ascii="Times New Roman" w:hAnsi="Times New Roman" w:cs="Times New Roman"/>
          <w:b/>
          <w:bCs/>
          <w:noProof/>
          <w:sz w:val="24"/>
          <w:szCs w:val="24"/>
        </w:rPr>
      </w:pPr>
    </w:p>
    <w:p w14:paraId="78CA589A" w14:textId="77777777" w:rsidR="00600E6E" w:rsidRDefault="00600E6E" w:rsidP="008B3742">
      <w:pPr>
        <w:jc w:val="both"/>
        <w:rPr>
          <w:rFonts w:ascii="Times New Roman" w:hAnsi="Times New Roman" w:cs="Times New Roman"/>
          <w:b/>
          <w:bCs/>
          <w:noProof/>
          <w:sz w:val="24"/>
          <w:szCs w:val="24"/>
        </w:rPr>
      </w:pPr>
    </w:p>
    <w:p w14:paraId="7657E50B" w14:textId="77777777" w:rsidR="0007053A" w:rsidRDefault="0007053A" w:rsidP="008B3742">
      <w:pPr>
        <w:jc w:val="both"/>
        <w:rPr>
          <w:rFonts w:ascii="Times New Roman" w:hAnsi="Times New Roman" w:cs="Times New Roman"/>
          <w:b/>
          <w:bCs/>
          <w:noProof/>
          <w:sz w:val="24"/>
          <w:szCs w:val="24"/>
        </w:rPr>
      </w:pPr>
    </w:p>
    <w:p w14:paraId="4746A407" w14:textId="77777777" w:rsidR="0007053A" w:rsidRDefault="0007053A" w:rsidP="008B3742">
      <w:pPr>
        <w:jc w:val="both"/>
        <w:rPr>
          <w:rFonts w:ascii="Times New Roman" w:hAnsi="Times New Roman" w:cs="Times New Roman"/>
          <w:b/>
          <w:bCs/>
          <w:noProof/>
          <w:sz w:val="24"/>
          <w:szCs w:val="24"/>
        </w:rPr>
      </w:pPr>
    </w:p>
    <w:p w14:paraId="7A7D6042" w14:textId="77777777" w:rsidR="0007053A" w:rsidRDefault="0007053A" w:rsidP="008B3742">
      <w:pPr>
        <w:jc w:val="both"/>
        <w:rPr>
          <w:rFonts w:ascii="Times New Roman" w:hAnsi="Times New Roman" w:cs="Times New Roman"/>
          <w:b/>
          <w:bCs/>
          <w:noProof/>
          <w:sz w:val="24"/>
          <w:szCs w:val="24"/>
        </w:rPr>
      </w:pPr>
    </w:p>
    <w:p w14:paraId="35B21D44" w14:textId="77777777" w:rsidR="0007053A" w:rsidRDefault="0007053A" w:rsidP="008B3742">
      <w:pPr>
        <w:jc w:val="both"/>
        <w:rPr>
          <w:rFonts w:ascii="Times New Roman" w:hAnsi="Times New Roman" w:cs="Times New Roman"/>
          <w:b/>
          <w:bCs/>
          <w:noProof/>
          <w:sz w:val="24"/>
          <w:szCs w:val="24"/>
        </w:rPr>
      </w:pPr>
    </w:p>
    <w:p w14:paraId="2A775F13" w14:textId="77777777" w:rsidR="0007053A" w:rsidRDefault="0007053A" w:rsidP="008B3742">
      <w:pPr>
        <w:jc w:val="both"/>
        <w:rPr>
          <w:rFonts w:ascii="Times New Roman" w:hAnsi="Times New Roman" w:cs="Times New Roman"/>
          <w:b/>
          <w:bCs/>
          <w:noProof/>
          <w:sz w:val="24"/>
          <w:szCs w:val="24"/>
        </w:rPr>
      </w:pPr>
    </w:p>
    <w:p w14:paraId="7B611D18" w14:textId="40871A18" w:rsidR="0015315F" w:rsidRPr="008B3742" w:rsidRDefault="0015315F" w:rsidP="008B3742">
      <w:pPr>
        <w:jc w:val="both"/>
        <w:rPr>
          <w:rFonts w:ascii="Times New Roman" w:hAnsi="Times New Roman" w:cs="Times New Roman"/>
          <w:i/>
          <w:iCs/>
          <w:noProof/>
          <w:sz w:val="24"/>
          <w:szCs w:val="24"/>
        </w:rPr>
      </w:pPr>
      <w:r w:rsidRPr="00977198">
        <w:rPr>
          <w:rFonts w:ascii="Times New Roman" w:hAnsi="Times New Roman" w:cs="Times New Roman"/>
          <w:b/>
          <w:bCs/>
          <w:noProof/>
          <w:sz w:val="24"/>
          <w:szCs w:val="24"/>
        </w:rPr>
        <w:lastRenderedPageBreak/>
        <w:t>Table 6:</w:t>
      </w:r>
      <w:r w:rsidRPr="00977198">
        <w:rPr>
          <w:rFonts w:ascii="Times New Roman" w:eastAsia="Times New Roman" w:hAnsi="Times New Roman" w:cs="Times New Roman"/>
          <w:b/>
          <w:bCs/>
          <w:noProof/>
          <w:color w:val="0F1115"/>
          <w:kern w:val="0"/>
          <w:sz w:val="24"/>
          <w:szCs w:val="24"/>
          <w:lang w:eastAsia="tr-TR"/>
          <w14:ligatures w14:val="none"/>
        </w:rPr>
        <w:t xml:space="preserve"> </w:t>
      </w:r>
      <w:r w:rsidRPr="00977198">
        <w:rPr>
          <w:rFonts w:ascii="Times New Roman" w:hAnsi="Times New Roman" w:cs="Times New Roman"/>
          <w:noProof/>
          <w:sz w:val="24"/>
          <w:szCs w:val="24"/>
        </w:rPr>
        <w:t>Association Between Attitude Items and Demographic/Clinical Variables</w:t>
      </w:r>
    </w:p>
    <w:tbl>
      <w:tblPr>
        <w:tblW w:w="13705" w:type="dxa"/>
        <w:shd w:val="clear" w:color="auto" w:fill="FFFFFF"/>
        <w:tblCellMar>
          <w:top w:w="15" w:type="dxa"/>
          <w:left w:w="15" w:type="dxa"/>
          <w:bottom w:w="15" w:type="dxa"/>
          <w:right w:w="15" w:type="dxa"/>
        </w:tblCellMar>
        <w:tblLook w:val="04A0" w:firstRow="1" w:lastRow="0" w:firstColumn="1" w:lastColumn="0" w:noHBand="0" w:noVBand="1"/>
      </w:tblPr>
      <w:tblGrid>
        <w:gridCol w:w="601"/>
        <w:gridCol w:w="2606"/>
        <w:gridCol w:w="2776"/>
        <w:gridCol w:w="2542"/>
        <w:gridCol w:w="2533"/>
        <w:gridCol w:w="2647"/>
      </w:tblGrid>
      <w:tr w:rsidR="0015315F" w:rsidRPr="008B3742" w14:paraId="5503EF40" w14:textId="77777777" w:rsidTr="007A40DA">
        <w:trPr>
          <w:cantSplit/>
          <w:trHeight w:val="186"/>
          <w:tblHeader/>
        </w:trPr>
        <w:tc>
          <w:tcPr>
            <w:tcW w:w="0" w:type="auto"/>
            <w:tcBorders>
              <w:top w:val="single" w:sz="4" w:space="0" w:color="auto"/>
              <w:bottom w:val="single" w:sz="4" w:space="0" w:color="auto"/>
            </w:tcBorders>
            <w:shd w:val="clear" w:color="auto" w:fill="FFFFFF"/>
            <w:tcMar>
              <w:top w:w="150" w:type="dxa"/>
              <w:left w:w="0" w:type="dxa"/>
              <w:bottom w:w="150" w:type="dxa"/>
              <w:right w:w="240" w:type="dxa"/>
            </w:tcMar>
            <w:vAlign w:val="center"/>
            <w:hideMark/>
          </w:tcPr>
          <w:p w14:paraId="57A62A3D" w14:textId="77777777" w:rsidR="0015315F" w:rsidRPr="008B3742" w:rsidRDefault="0015315F" w:rsidP="007A40DA">
            <w:pPr>
              <w:spacing w:line="360" w:lineRule="auto"/>
              <w:jc w:val="both"/>
              <w:rPr>
                <w:rFonts w:ascii="Times New Roman" w:hAnsi="Times New Roman" w:cs="Times New Roman"/>
                <w:b/>
                <w:bCs/>
                <w:noProof/>
                <w:sz w:val="18"/>
                <w:szCs w:val="18"/>
                <w:highlight w:val="yellow"/>
              </w:rPr>
            </w:pPr>
            <w:r w:rsidRPr="008B3742">
              <w:rPr>
                <w:rFonts w:ascii="Times New Roman" w:hAnsi="Times New Roman" w:cs="Times New Roman"/>
                <w:b/>
                <w:bCs/>
                <w:noProof/>
                <w:sz w:val="18"/>
                <w:szCs w:val="18"/>
                <w:highlight w:val="yellow"/>
              </w:rPr>
              <w:t>Item</w:t>
            </w:r>
          </w:p>
        </w:tc>
        <w:tc>
          <w:tcPr>
            <w:tcW w:w="0" w:type="auto"/>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1CAF3E34"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Sex</w:t>
            </w:r>
            <w:r w:rsidRPr="00E50D5B">
              <w:rPr>
                <w:rFonts w:ascii="Times New Roman" w:hAnsi="Times New Roman" w:cs="Times New Roman"/>
                <w:noProof/>
                <w:sz w:val="20"/>
                <w:szCs w:val="20"/>
                <w:highlight w:val="yellow"/>
              </w:rPr>
              <w:br/>
              <w:t>χ² (df); p; Holm p; V</w:t>
            </w:r>
          </w:p>
        </w:tc>
        <w:tc>
          <w:tcPr>
            <w:tcW w:w="0" w:type="auto"/>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09F214C7"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Professional experience</w:t>
            </w:r>
            <w:r w:rsidRPr="00E50D5B">
              <w:rPr>
                <w:rFonts w:ascii="Times New Roman" w:hAnsi="Times New Roman" w:cs="Times New Roman"/>
                <w:noProof/>
                <w:sz w:val="20"/>
                <w:szCs w:val="20"/>
                <w:highlight w:val="yellow"/>
              </w:rPr>
              <w:br/>
              <w:t>χ² (df); p; Holm p; V</w:t>
            </w:r>
          </w:p>
        </w:tc>
        <w:tc>
          <w:tcPr>
            <w:tcW w:w="0" w:type="auto"/>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2713DF80"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Workplace</w:t>
            </w:r>
            <w:r w:rsidRPr="00E50D5B">
              <w:rPr>
                <w:rFonts w:ascii="Times New Roman" w:hAnsi="Times New Roman" w:cs="Times New Roman"/>
                <w:noProof/>
                <w:sz w:val="20"/>
                <w:szCs w:val="20"/>
                <w:highlight w:val="yellow"/>
              </w:rPr>
              <w:br/>
              <w:t>χ² (df); p; Holm p; V</w:t>
            </w:r>
          </w:p>
        </w:tc>
        <w:tc>
          <w:tcPr>
            <w:tcW w:w="0" w:type="auto"/>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4071F6BC"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Annual surgical case volume</w:t>
            </w:r>
            <w:r w:rsidRPr="00E50D5B">
              <w:rPr>
                <w:rFonts w:ascii="Times New Roman" w:hAnsi="Times New Roman" w:cs="Times New Roman"/>
                <w:noProof/>
                <w:sz w:val="20"/>
                <w:szCs w:val="20"/>
                <w:highlight w:val="yellow"/>
              </w:rPr>
              <w:br/>
              <w:t>χ² (df); p; Holm p; V</w:t>
            </w:r>
          </w:p>
        </w:tc>
        <w:tc>
          <w:tcPr>
            <w:tcW w:w="0" w:type="auto"/>
            <w:tcBorders>
              <w:top w:val="single" w:sz="4" w:space="0" w:color="auto"/>
              <w:bottom w:val="single" w:sz="4" w:space="0" w:color="auto"/>
            </w:tcBorders>
            <w:shd w:val="clear" w:color="auto" w:fill="FFFFFF"/>
            <w:tcMar>
              <w:top w:w="150" w:type="dxa"/>
              <w:left w:w="240" w:type="dxa"/>
              <w:bottom w:w="150" w:type="dxa"/>
              <w:right w:w="240" w:type="dxa"/>
            </w:tcMar>
            <w:vAlign w:val="center"/>
            <w:hideMark/>
          </w:tcPr>
          <w:p w14:paraId="6F135DD7"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PRF training</w:t>
            </w:r>
            <w:r w:rsidRPr="00E50D5B">
              <w:rPr>
                <w:rFonts w:ascii="Times New Roman" w:hAnsi="Times New Roman" w:cs="Times New Roman"/>
                <w:noProof/>
                <w:sz w:val="20"/>
                <w:szCs w:val="20"/>
                <w:highlight w:val="yellow"/>
              </w:rPr>
              <w:br/>
              <w:t>χ² (df); p; Holm p; V</w:t>
            </w:r>
          </w:p>
        </w:tc>
      </w:tr>
      <w:tr w:rsidR="0015315F" w:rsidRPr="008B3742" w14:paraId="2A935FBB" w14:textId="77777777" w:rsidTr="007A40DA">
        <w:trPr>
          <w:cantSplit/>
          <w:trHeight w:val="186"/>
        </w:trPr>
        <w:tc>
          <w:tcPr>
            <w:tcW w:w="0" w:type="auto"/>
            <w:tcBorders>
              <w:top w:val="single" w:sz="4" w:space="0" w:color="auto"/>
            </w:tcBorders>
            <w:shd w:val="clear" w:color="auto" w:fill="FFFFFF"/>
            <w:tcMar>
              <w:top w:w="150" w:type="dxa"/>
              <w:left w:w="0" w:type="dxa"/>
              <w:bottom w:w="150" w:type="dxa"/>
              <w:right w:w="240" w:type="dxa"/>
            </w:tcMar>
            <w:vAlign w:val="center"/>
            <w:hideMark/>
          </w:tcPr>
          <w:p w14:paraId="12FE44B1" w14:textId="77777777" w:rsidR="0015315F" w:rsidRPr="008B3742" w:rsidRDefault="0015315F" w:rsidP="007A40DA">
            <w:pPr>
              <w:jc w:val="both"/>
              <w:rPr>
                <w:rFonts w:ascii="Times New Roman" w:hAnsi="Times New Roman" w:cs="Times New Roman"/>
                <w:noProof/>
                <w:sz w:val="18"/>
                <w:szCs w:val="18"/>
                <w:highlight w:val="yellow"/>
              </w:rPr>
            </w:pPr>
            <w:r w:rsidRPr="008B3742">
              <w:rPr>
                <w:rFonts w:ascii="Times New Roman" w:hAnsi="Times New Roman" w:cs="Times New Roman"/>
                <w:noProof/>
                <w:sz w:val="18"/>
                <w:szCs w:val="18"/>
                <w:highlight w:val="yellow"/>
              </w:rPr>
              <w:t>Q1</w:t>
            </w:r>
          </w:p>
        </w:tc>
        <w:tc>
          <w:tcPr>
            <w:tcW w:w="0" w:type="auto"/>
            <w:tcBorders>
              <w:top w:val="single" w:sz="4" w:space="0" w:color="auto"/>
            </w:tcBorders>
            <w:shd w:val="clear" w:color="auto" w:fill="FFFFFF"/>
            <w:tcMar>
              <w:top w:w="150" w:type="dxa"/>
              <w:left w:w="240" w:type="dxa"/>
              <w:bottom w:w="150" w:type="dxa"/>
              <w:right w:w="240" w:type="dxa"/>
            </w:tcMar>
            <w:vAlign w:val="center"/>
            <w:hideMark/>
          </w:tcPr>
          <w:p w14:paraId="3F9DF6FE"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0.24 (4); 0.993; 1.000; V = 0.022</w:t>
            </w:r>
          </w:p>
        </w:tc>
        <w:tc>
          <w:tcPr>
            <w:tcW w:w="0" w:type="auto"/>
            <w:tcBorders>
              <w:top w:val="single" w:sz="4" w:space="0" w:color="auto"/>
            </w:tcBorders>
            <w:shd w:val="clear" w:color="auto" w:fill="FFFFFF"/>
            <w:tcMar>
              <w:top w:w="150" w:type="dxa"/>
              <w:left w:w="240" w:type="dxa"/>
              <w:bottom w:w="150" w:type="dxa"/>
              <w:right w:w="240" w:type="dxa"/>
            </w:tcMar>
            <w:vAlign w:val="center"/>
            <w:hideMark/>
          </w:tcPr>
          <w:p w14:paraId="2A194D0F"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9.96 (12); 0.620; 1.000; V = 0.081</w:t>
            </w:r>
          </w:p>
        </w:tc>
        <w:tc>
          <w:tcPr>
            <w:tcW w:w="0" w:type="auto"/>
            <w:tcBorders>
              <w:top w:val="single" w:sz="4" w:space="0" w:color="auto"/>
            </w:tcBorders>
            <w:shd w:val="clear" w:color="auto" w:fill="FFFFFF"/>
            <w:tcMar>
              <w:top w:w="150" w:type="dxa"/>
              <w:left w:w="240" w:type="dxa"/>
              <w:bottom w:w="150" w:type="dxa"/>
              <w:right w:w="240" w:type="dxa"/>
            </w:tcMar>
            <w:vAlign w:val="center"/>
            <w:hideMark/>
          </w:tcPr>
          <w:p w14:paraId="27AE09AC"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1.62 (4); 0.804; 1.000; V = 0.057</w:t>
            </w:r>
          </w:p>
        </w:tc>
        <w:tc>
          <w:tcPr>
            <w:tcW w:w="0" w:type="auto"/>
            <w:tcBorders>
              <w:top w:val="single" w:sz="4" w:space="0" w:color="auto"/>
            </w:tcBorders>
            <w:shd w:val="clear" w:color="auto" w:fill="FFFFFF"/>
            <w:tcMar>
              <w:top w:w="150" w:type="dxa"/>
              <w:left w:w="240" w:type="dxa"/>
              <w:bottom w:w="150" w:type="dxa"/>
              <w:right w:w="240" w:type="dxa"/>
            </w:tcMar>
            <w:vAlign w:val="center"/>
            <w:hideMark/>
          </w:tcPr>
          <w:p w14:paraId="5AB5E16D"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3.80 (8); 0.879; 1.000†; V = 0.062</w:t>
            </w:r>
          </w:p>
        </w:tc>
        <w:tc>
          <w:tcPr>
            <w:tcW w:w="0" w:type="auto"/>
            <w:tcBorders>
              <w:top w:val="single" w:sz="4" w:space="0" w:color="auto"/>
            </w:tcBorders>
            <w:shd w:val="clear" w:color="auto" w:fill="FFFFFF"/>
            <w:tcMar>
              <w:top w:w="150" w:type="dxa"/>
              <w:left w:w="240" w:type="dxa"/>
              <w:bottom w:w="150" w:type="dxa"/>
              <w:right w:w="0" w:type="dxa"/>
            </w:tcMar>
            <w:vAlign w:val="center"/>
            <w:hideMark/>
          </w:tcPr>
          <w:p w14:paraId="0E95F98D"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113.80 (12); &lt;0.001; 0.001†; V = 0.275</w:t>
            </w:r>
          </w:p>
        </w:tc>
      </w:tr>
      <w:tr w:rsidR="0015315F" w:rsidRPr="008B3742" w14:paraId="0AE4E4DB" w14:textId="77777777" w:rsidTr="007A40DA">
        <w:trPr>
          <w:cantSplit/>
          <w:trHeight w:val="182"/>
        </w:trPr>
        <w:tc>
          <w:tcPr>
            <w:tcW w:w="0" w:type="auto"/>
            <w:shd w:val="clear" w:color="auto" w:fill="FFFFFF"/>
            <w:tcMar>
              <w:top w:w="150" w:type="dxa"/>
              <w:left w:w="0" w:type="dxa"/>
              <w:bottom w:w="150" w:type="dxa"/>
              <w:right w:w="240" w:type="dxa"/>
            </w:tcMar>
            <w:vAlign w:val="center"/>
            <w:hideMark/>
          </w:tcPr>
          <w:p w14:paraId="72CC43AD" w14:textId="77777777" w:rsidR="0015315F" w:rsidRPr="008B3742" w:rsidRDefault="0015315F" w:rsidP="007A40DA">
            <w:pPr>
              <w:jc w:val="both"/>
              <w:rPr>
                <w:rFonts w:ascii="Times New Roman" w:hAnsi="Times New Roman" w:cs="Times New Roman"/>
                <w:noProof/>
                <w:sz w:val="18"/>
                <w:szCs w:val="18"/>
                <w:highlight w:val="yellow"/>
              </w:rPr>
            </w:pPr>
            <w:r w:rsidRPr="008B3742">
              <w:rPr>
                <w:rFonts w:ascii="Times New Roman" w:hAnsi="Times New Roman" w:cs="Times New Roman"/>
                <w:noProof/>
                <w:sz w:val="18"/>
                <w:szCs w:val="18"/>
                <w:highlight w:val="yellow"/>
              </w:rPr>
              <w:t>Q2</w:t>
            </w:r>
          </w:p>
        </w:tc>
        <w:tc>
          <w:tcPr>
            <w:tcW w:w="0" w:type="auto"/>
            <w:shd w:val="clear" w:color="auto" w:fill="FFFFFF"/>
            <w:tcMar>
              <w:top w:w="150" w:type="dxa"/>
              <w:left w:w="240" w:type="dxa"/>
              <w:bottom w:w="150" w:type="dxa"/>
              <w:right w:w="240" w:type="dxa"/>
            </w:tcMar>
            <w:vAlign w:val="center"/>
            <w:hideMark/>
          </w:tcPr>
          <w:p w14:paraId="214D2D46"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5.86 (4); 0.210; 1.000; V = 0.108</w:t>
            </w:r>
          </w:p>
        </w:tc>
        <w:tc>
          <w:tcPr>
            <w:tcW w:w="0" w:type="auto"/>
            <w:shd w:val="clear" w:color="auto" w:fill="FFFFFF"/>
            <w:tcMar>
              <w:top w:w="150" w:type="dxa"/>
              <w:left w:w="240" w:type="dxa"/>
              <w:bottom w:w="150" w:type="dxa"/>
              <w:right w:w="240" w:type="dxa"/>
            </w:tcMar>
            <w:vAlign w:val="center"/>
            <w:hideMark/>
          </w:tcPr>
          <w:p w14:paraId="28CE9FC9"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6.36 (12); 0.900; 1.000†; V = 0.065</w:t>
            </w:r>
          </w:p>
        </w:tc>
        <w:tc>
          <w:tcPr>
            <w:tcW w:w="0" w:type="auto"/>
            <w:shd w:val="clear" w:color="auto" w:fill="FFFFFF"/>
            <w:tcMar>
              <w:top w:w="150" w:type="dxa"/>
              <w:left w:w="240" w:type="dxa"/>
              <w:bottom w:w="150" w:type="dxa"/>
              <w:right w:w="240" w:type="dxa"/>
            </w:tcMar>
            <w:vAlign w:val="center"/>
            <w:hideMark/>
          </w:tcPr>
          <w:p w14:paraId="19D4B531"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0.05 (4); 1.000; 1.000; V = 0.010</w:t>
            </w:r>
          </w:p>
        </w:tc>
        <w:tc>
          <w:tcPr>
            <w:tcW w:w="0" w:type="auto"/>
            <w:shd w:val="clear" w:color="auto" w:fill="FFFFFF"/>
            <w:tcMar>
              <w:top w:w="150" w:type="dxa"/>
              <w:left w:w="240" w:type="dxa"/>
              <w:bottom w:w="150" w:type="dxa"/>
              <w:right w:w="240" w:type="dxa"/>
            </w:tcMar>
            <w:vAlign w:val="center"/>
            <w:hideMark/>
          </w:tcPr>
          <w:p w14:paraId="1037E41B"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5.31 (8); 0.729; 1.000†; V = 0.073</w:t>
            </w:r>
          </w:p>
        </w:tc>
        <w:tc>
          <w:tcPr>
            <w:tcW w:w="0" w:type="auto"/>
            <w:shd w:val="clear" w:color="auto" w:fill="FFFFFF"/>
            <w:tcMar>
              <w:top w:w="150" w:type="dxa"/>
              <w:left w:w="240" w:type="dxa"/>
              <w:bottom w:w="150" w:type="dxa"/>
              <w:right w:w="0" w:type="dxa"/>
            </w:tcMar>
            <w:vAlign w:val="center"/>
            <w:hideMark/>
          </w:tcPr>
          <w:p w14:paraId="4B36A857"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102.32 (12); &lt;0.001; 0.001†; V = 0.261</w:t>
            </w:r>
          </w:p>
        </w:tc>
      </w:tr>
      <w:tr w:rsidR="0015315F" w:rsidRPr="008B3742" w14:paraId="10FC3A87" w14:textId="77777777" w:rsidTr="007A40DA">
        <w:trPr>
          <w:cantSplit/>
          <w:trHeight w:val="186"/>
        </w:trPr>
        <w:tc>
          <w:tcPr>
            <w:tcW w:w="0" w:type="auto"/>
            <w:shd w:val="clear" w:color="auto" w:fill="FFFFFF"/>
            <w:tcMar>
              <w:top w:w="150" w:type="dxa"/>
              <w:left w:w="0" w:type="dxa"/>
              <w:bottom w:w="150" w:type="dxa"/>
              <w:right w:w="240" w:type="dxa"/>
            </w:tcMar>
            <w:vAlign w:val="center"/>
            <w:hideMark/>
          </w:tcPr>
          <w:p w14:paraId="0A2C5178" w14:textId="77777777" w:rsidR="0015315F" w:rsidRPr="008B3742" w:rsidRDefault="0015315F" w:rsidP="007A40DA">
            <w:pPr>
              <w:jc w:val="both"/>
              <w:rPr>
                <w:rFonts w:ascii="Times New Roman" w:hAnsi="Times New Roman" w:cs="Times New Roman"/>
                <w:noProof/>
                <w:sz w:val="18"/>
                <w:szCs w:val="18"/>
                <w:highlight w:val="yellow"/>
              </w:rPr>
            </w:pPr>
            <w:r w:rsidRPr="008B3742">
              <w:rPr>
                <w:rFonts w:ascii="Times New Roman" w:hAnsi="Times New Roman" w:cs="Times New Roman"/>
                <w:noProof/>
                <w:sz w:val="18"/>
                <w:szCs w:val="18"/>
                <w:highlight w:val="yellow"/>
              </w:rPr>
              <w:t>Q3</w:t>
            </w:r>
          </w:p>
        </w:tc>
        <w:tc>
          <w:tcPr>
            <w:tcW w:w="0" w:type="auto"/>
            <w:shd w:val="clear" w:color="auto" w:fill="FFFFFF"/>
            <w:tcMar>
              <w:top w:w="150" w:type="dxa"/>
              <w:left w:w="240" w:type="dxa"/>
              <w:bottom w:w="150" w:type="dxa"/>
              <w:right w:w="240" w:type="dxa"/>
            </w:tcMar>
            <w:vAlign w:val="center"/>
            <w:hideMark/>
          </w:tcPr>
          <w:p w14:paraId="613E2D00"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14.30 (4); 0.006; 0.716; V = 0.169</w:t>
            </w:r>
          </w:p>
        </w:tc>
        <w:tc>
          <w:tcPr>
            <w:tcW w:w="0" w:type="auto"/>
            <w:shd w:val="clear" w:color="auto" w:fill="FFFFFF"/>
            <w:tcMar>
              <w:top w:w="150" w:type="dxa"/>
              <w:left w:w="240" w:type="dxa"/>
              <w:bottom w:w="150" w:type="dxa"/>
              <w:right w:w="240" w:type="dxa"/>
            </w:tcMar>
            <w:vAlign w:val="center"/>
            <w:hideMark/>
          </w:tcPr>
          <w:p w14:paraId="295152FC"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9.66 (12); 0.649; 1.000†; V = 0.080</w:t>
            </w:r>
          </w:p>
        </w:tc>
        <w:tc>
          <w:tcPr>
            <w:tcW w:w="0" w:type="auto"/>
            <w:shd w:val="clear" w:color="auto" w:fill="FFFFFF"/>
            <w:tcMar>
              <w:top w:w="150" w:type="dxa"/>
              <w:left w:w="240" w:type="dxa"/>
              <w:bottom w:w="150" w:type="dxa"/>
              <w:right w:w="240" w:type="dxa"/>
            </w:tcMar>
            <w:vAlign w:val="center"/>
            <w:hideMark/>
          </w:tcPr>
          <w:p w14:paraId="2FE95C4C"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2.50 (4); 0.645; 1.000; V = 0.071</w:t>
            </w:r>
          </w:p>
        </w:tc>
        <w:tc>
          <w:tcPr>
            <w:tcW w:w="0" w:type="auto"/>
            <w:shd w:val="clear" w:color="auto" w:fill="FFFFFF"/>
            <w:tcMar>
              <w:top w:w="150" w:type="dxa"/>
              <w:left w:w="240" w:type="dxa"/>
              <w:bottom w:w="150" w:type="dxa"/>
              <w:right w:w="240" w:type="dxa"/>
            </w:tcMar>
            <w:vAlign w:val="center"/>
            <w:hideMark/>
          </w:tcPr>
          <w:p w14:paraId="2686A5C7"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8.45 (8); 0.394; 1.000†; V = 0.092</w:t>
            </w:r>
          </w:p>
        </w:tc>
        <w:tc>
          <w:tcPr>
            <w:tcW w:w="0" w:type="auto"/>
            <w:shd w:val="clear" w:color="auto" w:fill="FFFFFF"/>
            <w:tcMar>
              <w:top w:w="150" w:type="dxa"/>
              <w:left w:w="240" w:type="dxa"/>
              <w:bottom w:w="150" w:type="dxa"/>
              <w:right w:w="0" w:type="dxa"/>
            </w:tcMar>
            <w:vAlign w:val="center"/>
            <w:hideMark/>
          </w:tcPr>
          <w:p w14:paraId="169298CA"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75.15 (12); &lt;0.001; 0.001†; V = 0.224</w:t>
            </w:r>
          </w:p>
        </w:tc>
      </w:tr>
      <w:tr w:rsidR="0015315F" w:rsidRPr="008B3742" w14:paraId="0E9D1668" w14:textId="77777777" w:rsidTr="007A40DA">
        <w:trPr>
          <w:cantSplit/>
          <w:trHeight w:val="186"/>
        </w:trPr>
        <w:tc>
          <w:tcPr>
            <w:tcW w:w="0" w:type="auto"/>
            <w:shd w:val="clear" w:color="auto" w:fill="FFFFFF"/>
            <w:tcMar>
              <w:top w:w="150" w:type="dxa"/>
              <w:left w:w="0" w:type="dxa"/>
              <w:bottom w:w="150" w:type="dxa"/>
              <w:right w:w="240" w:type="dxa"/>
            </w:tcMar>
            <w:vAlign w:val="center"/>
            <w:hideMark/>
          </w:tcPr>
          <w:p w14:paraId="375E08E9" w14:textId="77777777" w:rsidR="0015315F" w:rsidRPr="008B3742" w:rsidRDefault="0015315F" w:rsidP="007A40DA">
            <w:pPr>
              <w:jc w:val="both"/>
              <w:rPr>
                <w:rFonts w:ascii="Times New Roman" w:hAnsi="Times New Roman" w:cs="Times New Roman"/>
                <w:noProof/>
                <w:sz w:val="18"/>
                <w:szCs w:val="18"/>
                <w:highlight w:val="yellow"/>
              </w:rPr>
            </w:pPr>
            <w:r w:rsidRPr="008B3742">
              <w:rPr>
                <w:rFonts w:ascii="Times New Roman" w:hAnsi="Times New Roman" w:cs="Times New Roman"/>
                <w:noProof/>
                <w:sz w:val="18"/>
                <w:szCs w:val="18"/>
                <w:highlight w:val="yellow"/>
              </w:rPr>
              <w:t>Q4</w:t>
            </w:r>
          </w:p>
        </w:tc>
        <w:tc>
          <w:tcPr>
            <w:tcW w:w="0" w:type="auto"/>
            <w:shd w:val="clear" w:color="auto" w:fill="FFFFFF"/>
            <w:tcMar>
              <w:top w:w="150" w:type="dxa"/>
              <w:left w:w="240" w:type="dxa"/>
              <w:bottom w:w="150" w:type="dxa"/>
              <w:right w:w="240" w:type="dxa"/>
            </w:tcMar>
            <w:vAlign w:val="center"/>
            <w:hideMark/>
          </w:tcPr>
          <w:p w14:paraId="2D88B181"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21.51 (4); &lt;0.001; 0.029; V = 0.207</w:t>
            </w:r>
          </w:p>
        </w:tc>
        <w:tc>
          <w:tcPr>
            <w:tcW w:w="0" w:type="auto"/>
            <w:shd w:val="clear" w:color="auto" w:fill="FFFFFF"/>
            <w:tcMar>
              <w:top w:w="150" w:type="dxa"/>
              <w:left w:w="240" w:type="dxa"/>
              <w:bottom w:w="150" w:type="dxa"/>
              <w:right w:w="240" w:type="dxa"/>
            </w:tcMar>
            <w:vAlign w:val="center"/>
            <w:hideMark/>
          </w:tcPr>
          <w:p w14:paraId="700E7A0D"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9.46 (12); 0.666; 1.000†; V = 0.079</w:t>
            </w:r>
          </w:p>
        </w:tc>
        <w:tc>
          <w:tcPr>
            <w:tcW w:w="0" w:type="auto"/>
            <w:shd w:val="clear" w:color="auto" w:fill="FFFFFF"/>
            <w:tcMar>
              <w:top w:w="150" w:type="dxa"/>
              <w:left w:w="240" w:type="dxa"/>
              <w:bottom w:w="150" w:type="dxa"/>
              <w:right w:w="240" w:type="dxa"/>
            </w:tcMar>
            <w:vAlign w:val="center"/>
            <w:hideMark/>
          </w:tcPr>
          <w:p w14:paraId="766D3CE8"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4.94 (4); 0.293; 1.000; V = 0.099</w:t>
            </w:r>
          </w:p>
        </w:tc>
        <w:tc>
          <w:tcPr>
            <w:tcW w:w="0" w:type="auto"/>
            <w:shd w:val="clear" w:color="auto" w:fill="FFFFFF"/>
            <w:tcMar>
              <w:top w:w="150" w:type="dxa"/>
              <w:left w:w="240" w:type="dxa"/>
              <w:bottom w:w="150" w:type="dxa"/>
              <w:right w:w="240" w:type="dxa"/>
            </w:tcMar>
            <w:vAlign w:val="center"/>
            <w:hideMark/>
          </w:tcPr>
          <w:p w14:paraId="57C6779B"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3.77 (8); 0.881; 1.000†; V = 0.061</w:t>
            </w:r>
          </w:p>
        </w:tc>
        <w:tc>
          <w:tcPr>
            <w:tcW w:w="0" w:type="auto"/>
            <w:shd w:val="clear" w:color="auto" w:fill="FFFFFF"/>
            <w:tcMar>
              <w:top w:w="150" w:type="dxa"/>
              <w:left w:w="240" w:type="dxa"/>
              <w:bottom w:w="150" w:type="dxa"/>
              <w:right w:w="0" w:type="dxa"/>
            </w:tcMar>
            <w:vAlign w:val="center"/>
            <w:hideMark/>
          </w:tcPr>
          <w:p w14:paraId="73E761BA"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50.53 (12); &lt;0.001; 0.015†; V = 0.183</w:t>
            </w:r>
          </w:p>
        </w:tc>
      </w:tr>
      <w:tr w:rsidR="0015315F" w:rsidRPr="008B3742" w14:paraId="2BA9B97F" w14:textId="77777777" w:rsidTr="007A40DA">
        <w:trPr>
          <w:cantSplit/>
          <w:trHeight w:val="186"/>
        </w:trPr>
        <w:tc>
          <w:tcPr>
            <w:tcW w:w="0" w:type="auto"/>
            <w:shd w:val="clear" w:color="auto" w:fill="FFFFFF"/>
            <w:tcMar>
              <w:top w:w="150" w:type="dxa"/>
              <w:left w:w="0" w:type="dxa"/>
              <w:bottom w:w="150" w:type="dxa"/>
              <w:right w:w="240" w:type="dxa"/>
            </w:tcMar>
            <w:vAlign w:val="center"/>
            <w:hideMark/>
          </w:tcPr>
          <w:p w14:paraId="3B7154BF" w14:textId="77777777" w:rsidR="0015315F" w:rsidRPr="008B3742" w:rsidRDefault="0015315F" w:rsidP="007A40DA">
            <w:pPr>
              <w:jc w:val="both"/>
              <w:rPr>
                <w:rFonts w:ascii="Times New Roman" w:hAnsi="Times New Roman" w:cs="Times New Roman"/>
                <w:noProof/>
                <w:sz w:val="18"/>
                <w:szCs w:val="18"/>
                <w:highlight w:val="yellow"/>
              </w:rPr>
            </w:pPr>
            <w:r w:rsidRPr="008B3742">
              <w:rPr>
                <w:rFonts w:ascii="Times New Roman" w:hAnsi="Times New Roman" w:cs="Times New Roman"/>
                <w:noProof/>
                <w:sz w:val="18"/>
                <w:szCs w:val="18"/>
                <w:highlight w:val="yellow"/>
              </w:rPr>
              <w:t>Q5</w:t>
            </w:r>
          </w:p>
        </w:tc>
        <w:tc>
          <w:tcPr>
            <w:tcW w:w="0" w:type="auto"/>
            <w:shd w:val="clear" w:color="auto" w:fill="FFFFFF"/>
            <w:tcMar>
              <w:top w:w="150" w:type="dxa"/>
              <w:left w:w="240" w:type="dxa"/>
              <w:bottom w:w="150" w:type="dxa"/>
              <w:right w:w="240" w:type="dxa"/>
            </w:tcMar>
            <w:vAlign w:val="center"/>
            <w:hideMark/>
          </w:tcPr>
          <w:p w14:paraId="05CCE960"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6.34 (4); 0.175; 1.000; V = 0.112</w:t>
            </w:r>
          </w:p>
        </w:tc>
        <w:tc>
          <w:tcPr>
            <w:tcW w:w="0" w:type="auto"/>
            <w:shd w:val="clear" w:color="auto" w:fill="FFFFFF"/>
            <w:tcMar>
              <w:top w:w="150" w:type="dxa"/>
              <w:left w:w="240" w:type="dxa"/>
              <w:bottom w:w="150" w:type="dxa"/>
              <w:right w:w="240" w:type="dxa"/>
            </w:tcMar>
            <w:vAlign w:val="center"/>
            <w:hideMark/>
          </w:tcPr>
          <w:p w14:paraId="2121AE04"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5.63 (12); 0.938; 1.000†; V = 0.061</w:t>
            </w:r>
          </w:p>
        </w:tc>
        <w:tc>
          <w:tcPr>
            <w:tcW w:w="0" w:type="auto"/>
            <w:shd w:val="clear" w:color="auto" w:fill="FFFFFF"/>
            <w:tcMar>
              <w:top w:w="150" w:type="dxa"/>
              <w:left w:w="240" w:type="dxa"/>
              <w:bottom w:w="150" w:type="dxa"/>
              <w:right w:w="240" w:type="dxa"/>
            </w:tcMar>
            <w:vAlign w:val="center"/>
            <w:hideMark/>
          </w:tcPr>
          <w:p w14:paraId="241D9464"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0.92 (4); 0.921; 1.000; V = 0.043</w:t>
            </w:r>
          </w:p>
        </w:tc>
        <w:tc>
          <w:tcPr>
            <w:tcW w:w="0" w:type="auto"/>
            <w:shd w:val="clear" w:color="auto" w:fill="FFFFFF"/>
            <w:tcMar>
              <w:top w:w="150" w:type="dxa"/>
              <w:left w:w="240" w:type="dxa"/>
              <w:bottom w:w="150" w:type="dxa"/>
              <w:right w:w="240" w:type="dxa"/>
            </w:tcMar>
            <w:vAlign w:val="center"/>
            <w:hideMark/>
          </w:tcPr>
          <w:p w14:paraId="1DD27801"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9.83 (8); 0.272; 1.000†; V = 0.099</w:t>
            </w:r>
          </w:p>
        </w:tc>
        <w:tc>
          <w:tcPr>
            <w:tcW w:w="0" w:type="auto"/>
            <w:shd w:val="clear" w:color="auto" w:fill="FFFFFF"/>
            <w:tcMar>
              <w:top w:w="150" w:type="dxa"/>
              <w:left w:w="240" w:type="dxa"/>
              <w:bottom w:w="150" w:type="dxa"/>
              <w:right w:w="0" w:type="dxa"/>
            </w:tcMar>
            <w:vAlign w:val="center"/>
            <w:hideMark/>
          </w:tcPr>
          <w:p w14:paraId="2E527044"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62.28 (12); &lt;0.001; 0.017†; V = 0.204</w:t>
            </w:r>
          </w:p>
        </w:tc>
      </w:tr>
      <w:tr w:rsidR="0015315F" w:rsidRPr="008B3742" w14:paraId="3D11EAE3" w14:textId="77777777" w:rsidTr="007A40DA">
        <w:trPr>
          <w:cantSplit/>
          <w:trHeight w:val="186"/>
        </w:trPr>
        <w:tc>
          <w:tcPr>
            <w:tcW w:w="0" w:type="auto"/>
            <w:shd w:val="clear" w:color="auto" w:fill="FFFFFF"/>
            <w:tcMar>
              <w:top w:w="150" w:type="dxa"/>
              <w:left w:w="0" w:type="dxa"/>
              <w:bottom w:w="150" w:type="dxa"/>
              <w:right w:w="240" w:type="dxa"/>
            </w:tcMar>
            <w:vAlign w:val="center"/>
            <w:hideMark/>
          </w:tcPr>
          <w:p w14:paraId="293DF9FB" w14:textId="77777777" w:rsidR="0015315F" w:rsidRPr="008B3742" w:rsidRDefault="0015315F" w:rsidP="007A40DA">
            <w:pPr>
              <w:jc w:val="both"/>
              <w:rPr>
                <w:rFonts w:ascii="Times New Roman" w:hAnsi="Times New Roman" w:cs="Times New Roman"/>
                <w:noProof/>
                <w:sz w:val="18"/>
                <w:szCs w:val="18"/>
                <w:highlight w:val="yellow"/>
              </w:rPr>
            </w:pPr>
            <w:r w:rsidRPr="008B3742">
              <w:rPr>
                <w:rFonts w:ascii="Times New Roman" w:hAnsi="Times New Roman" w:cs="Times New Roman"/>
                <w:noProof/>
                <w:sz w:val="18"/>
                <w:szCs w:val="18"/>
                <w:highlight w:val="yellow"/>
              </w:rPr>
              <w:t>Q6</w:t>
            </w:r>
          </w:p>
        </w:tc>
        <w:tc>
          <w:tcPr>
            <w:tcW w:w="0" w:type="auto"/>
            <w:shd w:val="clear" w:color="auto" w:fill="FFFFFF"/>
            <w:tcMar>
              <w:top w:w="150" w:type="dxa"/>
              <w:left w:w="240" w:type="dxa"/>
              <w:bottom w:w="150" w:type="dxa"/>
              <w:right w:w="240" w:type="dxa"/>
            </w:tcMar>
            <w:vAlign w:val="center"/>
            <w:hideMark/>
          </w:tcPr>
          <w:p w14:paraId="49ABD88A"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8.28 (4); 0.082; 1.000; V = 0.129</w:t>
            </w:r>
          </w:p>
        </w:tc>
        <w:tc>
          <w:tcPr>
            <w:tcW w:w="0" w:type="auto"/>
            <w:shd w:val="clear" w:color="auto" w:fill="FFFFFF"/>
            <w:tcMar>
              <w:top w:w="150" w:type="dxa"/>
              <w:left w:w="240" w:type="dxa"/>
              <w:bottom w:w="150" w:type="dxa"/>
              <w:right w:w="240" w:type="dxa"/>
            </w:tcMar>
            <w:vAlign w:val="center"/>
            <w:hideMark/>
          </w:tcPr>
          <w:p w14:paraId="609F1579"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11.27 (12); 0.511; 1.000†; V = 0.087</w:t>
            </w:r>
          </w:p>
        </w:tc>
        <w:tc>
          <w:tcPr>
            <w:tcW w:w="0" w:type="auto"/>
            <w:shd w:val="clear" w:color="auto" w:fill="FFFFFF"/>
            <w:tcMar>
              <w:top w:w="150" w:type="dxa"/>
              <w:left w:w="240" w:type="dxa"/>
              <w:bottom w:w="150" w:type="dxa"/>
              <w:right w:w="240" w:type="dxa"/>
            </w:tcMar>
            <w:vAlign w:val="center"/>
            <w:hideMark/>
          </w:tcPr>
          <w:p w14:paraId="5207C003"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2.84 (4); 0.585; 1.000; V = 0.075</w:t>
            </w:r>
          </w:p>
        </w:tc>
        <w:tc>
          <w:tcPr>
            <w:tcW w:w="0" w:type="auto"/>
            <w:shd w:val="clear" w:color="auto" w:fill="FFFFFF"/>
            <w:tcMar>
              <w:top w:w="150" w:type="dxa"/>
              <w:left w:w="240" w:type="dxa"/>
              <w:bottom w:w="150" w:type="dxa"/>
              <w:right w:w="240" w:type="dxa"/>
            </w:tcMar>
            <w:vAlign w:val="center"/>
            <w:hideMark/>
          </w:tcPr>
          <w:p w14:paraId="0E5E1300"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7.88 (8); 0.447; 1.000†; V = 0.089</w:t>
            </w:r>
          </w:p>
        </w:tc>
        <w:tc>
          <w:tcPr>
            <w:tcW w:w="0" w:type="auto"/>
            <w:shd w:val="clear" w:color="auto" w:fill="FFFFFF"/>
            <w:tcMar>
              <w:top w:w="150" w:type="dxa"/>
              <w:left w:w="240" w:type="dxa"/>
              <w:bottom w:w="150" w:type="dxa"/>
              <w:right w:w="0" w:type="dxa"/>
            </w:tcMar>
            <w:vAlign w:val="center"/>
            <w:hideMark/>
          </w:tcPr>
          <w:p w14:paraId="4A0BADA8"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80.89 (12); &lt;0.001; 0.002†; V = 0.232</w:t>
            </w:r>
          </w:p>
        </w:tc>
      </w:tr>
      <w:tr w:rsidR="0015315F" w:rsidRPr="008B3742" w14:paraId="20FDA766" w14:textId="77777777" w:rsidTr="007A40DA">
        <w:trPr>
          <w:cantSplit/>
          <w:trHeight w:val="186"/>
        </w:trPr>
        <w:tc>
          <w:tcPr>
            <w:tcW w:w="0" w:type="auto"/>
            <w:tcBorders>
              <w:bottom w:val="single" w:sz="4" w:space="0" w:color="auto"/>
            </w:tcBorders>
            <w:shd w:val="clear" w:color="auto" w:fill="FFFFFF"/>
            <w:tcMar>
              <w:top w:w="150" w:type="dxa"/>
              <w:left w:w="0" w:type="dxa"/>
              <w:bottom w:w="150" w:type="dxa"/>
              <w:right w:w="240" w:type="dxa"/>
            </w:tcMar>
            <w:vAlign w:val="center"/>
            <w:hideMark/>
          </w:tcPr>
          <w:p w14:paraId="736CCCAB" w14:textId="77777777" w:rsidR="0015315F" w:rsidRPr="008B3742" w:rsidRDefault="0015315F" w:rsidP="007A40DA">
            <w:pPr>
              <w:jc w:val="both"/>
              <w:rPr>
                <w:rFonts w:ascii="Times New Roman" w:hAnsi="Times New Roman" w:cs="Times New Roman"/>
                <w:noProof/>
                <w:sz w:val="18"/>
                <w:szCs w:val="18"/>
                <w:highlight w:val="yellow"/>
              </w:rPr>
            </w:pPr>
            <w:r w:rsidRPr="008B3742">
              <w:rPr>
                <w:rFonts w:ascii="Times New Roman" w:hAnsi="Times New Roman" w:cs="Times New Roman"/>
                <w:noProof/>
                <w:sz w:val="18"/>
                <w:szCs w:val="18"/>
                <w:highlight w:val="yellow"/>
              </w:rPr>
              <w:t>Q7</w:t>
            </w:r>
          </w:p>
        </w:tc>
        <w:tc>
          <w:tcPr>
            <w:tcW w:w="0" w:type="auto"/>
            <w:tcBorders>
              <w:bottom w:val="single" w:sz="4" w:space="0" w:color="auto"/>
            </w:tcBorders>
            <w:shd w:val="clear" w:color="auto" w:fill="FFFFFF"/>
            <w:tcMar>
              <w:top w:w="150" w:type="dxa"/>
              <w:left w:w="240" w:type="dxa"/>
              <w:bottom w:w="150" w:type="dxa"/>
              <w:right w:w="240" w:type="dxa"/>
            </w:tcMar>
            <w:vAlign w:val="center"/>
            <w:hideMark/>
          </w:tcPr>
          <w:p w14:paraId="2FF4C3E4"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4.51 (4); 0.342; 1.000; V = 0.095</w:t>
            </w:r>
          </w:p>
        </w:tc>
        <w:tc>
          <w:tcPr>
            <w:tcW w:w="0" w:type="auto"/>
            <w:tcBorders>
              <w:bottom w:val="single" w:sz="4" w:space="0" w:color="auto"/>
            </w:tcBorders>
            <w:shd w:val="clear" w:color="auto" w:fill="FFFFFF"/>
            <w:tcMar>
              <w:top w:w="150" w:type="dxa"/>
              <w:left w:w="240" w:type="dxa"/>
              <w:bottom w:w="150" w:type="dxa"/>
              <w:right w:w="240" w:type="dxa"/>
            </w:tcMar>
            <w:vAlign w:val="center"/>
            <w:hideMark/>
          </w:tcPr>
          <w:p w14:paraId="5C0BE0C3"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8.35 (12); 0.757; 1.000; V = 0.075</w:t>
            </w:r>
          </w:p>
        </w:tc>
        <w:tc>
          <w:tcPr>
            <w:tcW w:w="0" w:type="auto"/>
            <w:tcBorders>
              <w:bottom w:val="single" w:sz="4" w:space="0" w:color="auto"/>
            </w:tcBorders>
            <w:shd w:val="clear" w:color="auto" w:fill="FFFFFF"/>
            <w:tcMar>
              <w:top w:w="150" w:type="dxa"/>
              <w:left w:w="240" w:type="dxa"/>
              <w:bottom w:w="150" w:type="dxa"/>
              <w:right w:w="240" w:type="dxa"/>
            </w:tcMar>
            <w:vAlign w:val="center"/>
            <w:hideMark/>
          </w:tcPr>
          <w:p w14:paraId="4EBA7800"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2.55 (4); 0.636; 1.000; V = 0.071</w:t>
            </w:r>
          </w:p>
        </w:tc>
        <w:tc>
          <w:tcPr>
            <w:tcW w:w="0" w:type="auto"/>
            <w:tcBorders>
              <w:bottom w:val="single" w:sz="4" w:space="0" w:color="auto"/>
            </w:tcBorders>
            <w:shd w:val="clear" w:color="auto" w:fill="FFFFFF"/>
            <w:tcMar>
              <w:top w:w="150" w:type="dxa"/>
              <w:left w:w="240" w:type="dxa"/>
              <w:bottom w:w="150" w:type="dxa"/>
              <w:right w:w="240" w:type="dxa"/>
            </w:tcMar>
            <w:vAlign w:val="center"/>
            <w:hideMark/>
          </w:tcPr>
          <w:p w14:paraId="629A65B3"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5.52 (8); 0.704; 1.000†; V = 0.074</w:t>
            </w:r>
          </w:p>
        </w:tc>
        <w:tc>
          <w:tcPr>
            <w:tcW w:w="0" w:type="auto"/>
            <w:tcBorders>
              <w:bottom w:val="single" w:sz="4" w:space="0" w:color="auto"/>
            </w:tcBorders>
            <w:shd w:val="clear" w:color="auto" w:fill="FFFFFF"/>
            <w:tcMar>
              <w:top w:w="150" w:type="dxa"/>
              <w:left w:w="240" w:type="dxa"/>
              <w:bottom w:w="150" w:type="dxa"/>
              <w:right w:w="0" w:type="dxa"/>
            </w:tcMar>
            <w:vAlign w:val="center"/>
            <w:hideMark/>
          </w:tcPr>
          <w:p w14:paraId="583C6BBA" w14:textId="77777777" w:rsidR="0015315F" w:rsidRPr="00E50D5B" w:rsidRDefault="0015315F" w:rsidP="007A40DA">
            <w:pPr>
              <w:jc w:val="both"/>
              <w:rPr>
                <w:rFonts w:ascii="Times New Roman" w:hAnsi="Times New Roman" w:cs="Times New Roman"/>
                <w:noProof/>
                <w:sz w:val="20"/>
                <w:szCs w:val="20"/>
                <w:highlight w:val="yellow"/>
              </w:rPr>
            </w:pPr>
            <w:r w:rsidRPr="00E50D5B">
              <w:rPr>
                <w:rFonts w:ascii="Times New Roman" w:hAnsi="Times New Roman" w:cs="Times New Roman"/>
                <w:noProof/>
                <w:sz w:val="20"/>
                <w:szCs w:val="20"/>
                <w:highlight w:val="yellow"/>
              </w:rPr>
              <w:t>31.34 (12); 0.004; 0.479†; V = 0.144</w:t>
            </w:r>
          </w:p>
        </w:tc>
      </w:tr>
    </w:tbl>
    <w:p w14:paraId="5D47F2CF" w14:textId="25076739" w:rsidR="00402CB9" w:rsidRPr="00497923" w:rsidRDefault="00600E6E">
      <w:pPr>
        <w:rPr>
          <w:rFonts w:ascii="Times New Roman" w:hAnsi="Times New Roman" w:cs="Times New Roman"/>
        </w:rPr>
      </w:pPr>
      <w:r w:rsidRPr="00600E6E">
        <w:rPr>
          <w:rFonts w:ascii="Times New Roman" w:hAnsi="Times New Roman" w:cs="Times New Roman"/>
          <w:noProof/>
          <w:sz w:val="18"/>
          <w:szCs w:val="18"/>
          <w:highlight w:val="yellow"/>
        </w:rPr>
        <w:t>† The unadjusted p-value was estimated using a conditional Monte Carlo procedure with 100,000 resamples because at least one expected cell count was &lt;5; the corresponding Holm-adjusted p-value was subsequently calculated from the resulting unadjusted p-value. Holm adjustment was applied across all 140 item-level comparisons in Tables 5 and 6. Adjusted p &lt; 0.05 was considered statistically significant.</w:t>
      </w:r>
      <w:r w:rsidR="00402CB9" w:rsidRPr="00497923">
        <w:rPr>
          <w:rFonts w:ascii="Times New Roman" w:hAnsi="Times New Roman" w:cs="Times New Roman"/>
        </w:rPr>
        <w:br w:type="page"/>
      </w:r>
    </w:p>
    <w:p w14:paraId="68C226B6" w14:textId="3ADD9D0F" w:rsidR="00F07370" w:rsidRPr="00497923" w:rsidRDefault="00F07370" w:rsidP="009D71AA">
      <w:pPr>
        <w:spacing w:line="360" w:lineRule="auto"/>
        <w:jc w:val="both"/>
        <w:rPr>
          <w:rFonts w:ascii="Times New Roman" w:hAnsi="Times New Roman" w:cs="Times New Roman"/>
          <w:b/>
          <w:bCs/>
          <w:sz w:val="28"/>
          <w:szCs w:val="28"/>
        </w:rPr>
      </w:pPr>
    </w:p>
    <w:sectPr w:rsidR="00F07370" w:rsidRPr="00497923" w:rsidSect="008B374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3756F"/>
    <w:multiLevelType w:val="hybridMultilevel"/>
    <w:tmpl w:val="058AE8E6"/>
    <w:lvl w:ilvl="0" w:tplc="FD369308">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0233848"/>
    <w:multiLevelType w:val="hybridMultilevel"/>
    <w:tmpl w:val="D77659A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000422272">
    <w:abstractNumId w:val="1"/>
  </w:num>
  <w:num w:numId="2" w16cid:durableId="2074889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2DA"/>
    <w:rsid w:val="00000BF2"/>
    <w:rsid w:val="00037CCF"/>
    <w:rsid w:val="0004242A"/>
    <w:rsid w:val="00042BAA"/>
    <w:rsid w:val="00057164"/>
    <w:rsid w:val="00060FA0"/>
    <w:rsid w:val="0007053A"/>
    <w:rsid w:val="00091D1D"/>
    <w:rsid w:val="000C5B49"/>
    <w:rsid w:val="00104D82"/>
    <w:rsid w:val="001252AC"/>
    <w:rsid w:val="0015315F"/>
    <w:rsid w:val="00176A6E"/>
    <w:rsid w:val="001864B6"/>
    <w:rsid w:val="001929B0"/>
    <w:rsid w:val="001A3013"/>
    <w:rsid w:val="001A39B7"/>
    <w:rsid w:val="001C2D5B"/>
    <w:rsid w:val="001F6A87"/>
    <w:rsid w:val="00243A35"/>
    <w:rsid w:val="0024602E"/>
    <w:rsid w:val="00256F58"/>
    <w:rsid w:val="0026210E"/>
    <w:rsid w:val="0026352C"/>
    <w:rsid w:val="00283326"/>
    <w:rsid w:val="00291D72"/>
    <w:rsid w:val="00302406"/>
    <w:rsid w:val="00304A8E"/>
    <w:rsid w:val="00327A2E"/>
    <w:rsid w:val="00352E08"/>
    <w:rsid w:val="00365459"/>
    <w:rsid w:val="00365485"/>
    <w:rsid w:val="0037788B"/>
    <w:rsid w:val="003B3232"/>
    <w:rsid w:val="003C205C"/>
    <w:rsid w:val="003C4118"/>
    <w:rsid w:val="003D264E"/>
    <w:rsid w:val="00402CB9"/>
    <w:rsid w:val="0041246C"/>
    <w:rsid w:val="00412632"/>
    <w:rsid w:val="0045025C"/>
    <w:rsid w:val="00496995"/>
    <w:rsid w:val="00497923"/>
    <w:rsid w:val="004B049B"/>
    <w:rsid w:val="004B18FE"/>
    <w:rsid w:val="00565ED8"/>
    <w:rsid w:val="005733E2"/>
    <w:rsid w:val="005D14D6"/>
    <w:rsid w:val="005D6DF9"/>
    <w:rsid w:val="005F4E61"/>
    <w:rsid w:val="00600E6E"/>
    <w:rsid w:val="00610CCA"/>
    <w:rsid w:val="00624D8E"/>
    <w:rsid w:val="006307E8"/>
    <w:rsid w:val="00667F0A"/>
    <w:rsid w:val="00695102"/>
    <w:rsid w:val="006C08F7"/>
    <w:rsid w:val="006C57F6"/>
    <w:rsid w:val="006D6A8E"/>
    <w:rsid w:val="00701142"/>
    <w:rsid w:val="00751AEE"/>
    <w:rsid w:val="00755C23"/>
    <w:rsid w:val="007747CE"/>
    <w:rsid w:val="007A5D47"/>
    <w:rsid w:val="007B4418"/>
    <w:rsid w:val="007B495F"/>
    <w:rsid w:val="007C48DF"/>
    <w:rsid w:val="007D7FFE"/>
    <w:rsid w:val="007F5069"/>
    <w:rsid w:val="00850046"/>
    <w:rsid w:val="00860062"/>
    <w:rsid w:val="008652E8"/>
    <w:rsid w:val="00877700"/>
    <w:rsid w:val="008B3742"/>
    <w:rsid w:val="008D646D"/>
    <w:rsid w:val="008E68C3"/>
    <w:rsid w:val="008E7437"/>
    <w:rsid w:val="00914B0B"/>
    <w:rsid w:val="009218E8"/>
    <w:rsid w:val="00921E93"/>
    <w:rsid w:val="00937AD1"/>
    <w:rsid w:val="00953075"/>
    <w:rsid w:val="00992564"/>
    <w:rsid w:val="009948F3"/>
    <w:rsid w:val="009968D0"/>
    <w:rsid w:val="009C176A"/>
    <w:rsid w:val="009D71AA"/>
    <w:rsid w:val="00A240AF"/>
    <w:rsid w:val="00A51AB1"/>
    <w:rsid w:val="00A52ED2"/>
    <w:rsid w:val="00A713E1"/>
    <w:rsid w:val="00A71E5B"/>
    <w:rsid w:val="00A8186D"/>
    <w:rsid w:val="00AB2DBE"/>
    <w:rsid w:val="00AB5D1D"/>
    <w:rsid w:val="00AE56BE"/>
    <w:rsid w:val="00B130F9"/>
    <w:rsid w:val="00B15285"/>
    <w:rsid w:val="00B4056C"/>
    <w:rsid w:val="00B71AF7"/>
    <w:rsid w:val="00B800B2"/>
    <w:rsid w:val="00B80C4E"/>
    <w:rsid w:val="00B85636"/>
    <w:rsid w:val="00B93498"/>
    <w:rsid w:val="00BB3F6E"/>
    <w:rsid w:val="00BE71C2"/>
    <w:rsid w:val="00BF3B0F"/>
    <w:rsid w:val="00C36EAC"/>
    <w:rsid w:val="00C460BB"/>
    <w:rsid w:val="00C71B1B"/>
    <w:rsid w:val="00C842E9"/>
    <w:rsid w:val="00CA3879"/>
    <w:rsid w:val="00CC1F0F"/>
    <w:rsid w:val="00CC510A"/>
    <w:rsid w:val="00CC6A41"/>
    <w:rsid w:val="00D21E16"/>
    <w:rsid w:val="00D71A26"/>
    <w:rsid w:val="00DB1F3F"/>
    <w:rsid w:val="00DC0E92"/>
    <w:rsid w:val="00DC1C35"/>
    <w:rsid w:val="00DF4B05"/>
    <w:rsid w:val="00E40208"/>
    <w:rsid w:val="00E43428"/>
    <w:rsid w:val="00E50D5B"/>
    <w:rsid w:val="00E55363"/>
    <w:rsid w:val="00E67FA9"/>
    <w:rsid w:val="00ED42DA"/>
    <w:rsid w:val="00F07370"/>
    <w:rsid w:val="00F21985"/>
    <w:rsid w:val="00F92182"/>
    <w:rsid w:val="00F96B81"/>
    <w:rsid w:val="00FA3D90"/>
    <w:rsid w:val="00FA4139"/>
    <w:rsid w:val="00FE3A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9EAA5"/>
  <w15:chartTrackingRefBased/>
  <w15:docId w15:val="{7AC5BD3E-EABA-4EAF-BA8F-F90F91A68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Balk1">
    <w:name w:val="heading 1"/>
    <w:basedOn w:val="Normal"/>
    <w:next w:val="Normal"/>
    <w:link w:val="Balk1Char"/>
    <w:uiPriority w:val="9"/>
    <w:qFormat/>
    <w:rsid w:val="00ED42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ED42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unhideWhenUsed/>
    <w:qFormat/>
    <w:rsid w:val="00ED42D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ED42D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ED42D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ED42D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D42D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D42D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D42D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D42DA"/>
    <w:rPr>
      <w:rFonts w:asciiTheme="majorHAnsi" w:eastAsiaTheme="majorEastAsia" w:hAnsiTheme="majorHAnsi" w:cstheme="majorBidi"/>
      <w:color w:val="2F5496" w:themeColor="accent1" w:themeShade="BF"/>
      <w:sz w:val="40"/>
      <w:szCs w:val="40"/>
      <w:lang w:val="en-US"/>
    </w:rPr>
  </w:style>
  <w:style w:type="character" w:customStyle="1" w:styleId="Balk2Char">
    <w:name w:val="Başlık 2 Char"/>
    <w:basedOn w:val="VarsaylanParagrafYazTipi"/>
    <w:link w:val="Balk2"/>
    <w:uiPriority w:val="9"/>
    <w:semiHidden/>
    <w:rsid w:val="00ED42DA"/>
    <w:rPr>
      <w:rFonts w:asciiTheme="majorHAnsi" w:eastAsiaTheme="majorEastAsia" w:hAnsiTheme="majorHAnsi" w:cstheme="majorBidi"/>
      <w:color w:val="2F5496" w:themeColor="accent1" w:themeShade="BF"/>
      <w:sz w:val="32"/>
      <w:szCs w:val="32"/>
      <w:lang w:val="en-US"/>
    </w:rPr>
  </w:style>
  <w:style w:type="character" w:customStyle="1" w:styleId="Balk3Char">
    <w:name w:val="Başlık 3 Char"/>
    <w:basedOn w:val="VarsaylanParagrafYazTipi"/>
    <w:link w:val="Balk3"/>
    <w:uiPriority w:val="9"/>
    <w:rsid w:val="00ED42DA"/>
    <w:rPr>
      <w:rFonts w:eastAsiaTheme="majorEastAsia" w:cstheme="majorBidi"/>
      <w:color w:val="2F5496" w:themeColor="accent1" w:themeShade="BF"/>
      <w:sz w:val="28"/>
      <w:szCs w:val="28"/>
      <w:lang w:val="en-US"/>
    </w:rPr>
  </w:style>
  <w:style w:type="character" w:customStyle="1" w:styleId="Balk4Char">
    <w:name w:val="Başlık 4 Char"/>
    <w:basedOn w:val="VarsaylanParagrafYazTipi"/>
    <w:link w:val="Balk4"/>
    <w:uiPriority w:val="9"/>
    <w:semiHidden/>
    <w:rsid w:val="00ED42DA"/>
    <w:rPr>
      <w:rFonts w:eastAsiaTheme="majorEastAsia" w:cstheme="majorBidi"/>
      <w:i/>
      <w:iCs/>
      <w:color w:val="2F5496" w:themeColor="accent1" w:themeShade="BF"/>
      <w:lang w:val="en-US"/>
    </w:rPr>
  </w:style>
  <w:style w:type="character" w:customStyle="1" w:styleId="Balk5Char">
    <w:name w:val="Başlık 5 Char"/>
    <w:basedOn w:val="VarsaylanParagrafYazTipi"/>
    <w:link w:val="Balk5"/>
    <w:uiPriority w:val="9"/>
    <w:semiHidden/>
    <w:rsid w:val="00ED42DA"/>
    <w:rPr>
      <w:rFonts w:eastAsiaTheme="majorEastAsia" w:cstheme="majorBidi"/>
      <w:color w:val="2F5496" w:themeColor="accent1" w:themeShade="BF"/>
      <w:lang w:val="en-US"/>
    </w:rPr>
  </w:style>
  <w:style w:type="character" w:customStyle="1" w:styleId="Balk6Char">
    <w:name w:val="Başlık 6 Char"/>
    <w:basedOn w:val="VarsaylanParagrafYazTipi"/>
    <w:link w:val="Balk6"/>
    <w:uiPriority w:val="9"/>
    <w:semiHidden/>
    <w:rsid w:val="00ED42DA"/>
    <w:rPr>
      <w:rFonts w:eastAsiaTheme="majorEastAsia" w:cstheme="majorBidi"/>
      <w:i/>
      <w:iCs/>
      <w:color w:val="595959" w:themeColor="text1" w:themeTint="A6"/>
      <w:lang w:val="en-US"/>
    </w:rPr>
  </w:style>
  <w:style w:type="character" w:customStyle="1" w:styleId="Balk7Char">
    <w:name w:val="Başlık 7 Char"/>
    <w:basedOn w:val="VarsaylanParagrafYazTipi"/>
    <w:link w:val="Balk7"/>
    <w:uiPriority w:val="9"/>
    <w:semiHidden/>
    <w:rsid w:val="00ED42DA"/>
    <w:rPr>
      <w:rFonts w:eastAsiaTheme="majorEastAsia" w:cstheme="majorBidi"/>
      <w:color w:val="595959" w:themeColor="text1" w:themeTint="A6"/>
      <w:lang w:val="en-US"/>
    </w:rPr>
  </w:style>
  <w:style w:type="character" w:customStyle="1" w:styleId="Balk8Char">
    <w:name w:val="Başlık 8 Char"/>
    <w:basedOn w:val="VarsaylanParagrafYazTipi"/>
    <w:link w:val="Balk8"/>
    <w:uiPriority w:val="9"/>
    <w:semiHidden/>
    <w:rsid w:val="00ED42DA"/>
    <w:rPr>
      <w:rFonts w:eastAsiaTheme="majorEastAsia" w:cstheme="majorBidi"/>
      <w:i/>
      <w:iCs/>
      <w:color w:val="272727" w:themeColor="text1" w:themeTint="D8"/>
      <w:lang w:val="en-US"/>
    </w:rPr>
  </w:style>
  <w:style w:type="character" w:customStyle="1" w:styleId="Balk9Char">
    <w:name w:val="Başlık 9 Char"/>
    <w:basedOn w:val="VarsaylanParagrafYazTipi"/>
    <w:link w:val="Balk9"/>
    <w:uiPriority w:val="9"/>
    <w:semiHidden/>
    <w:rsid w:val="00ED42DA"/>
    <w:rPr>
      <w:rFonts w:eastAsiaTheme="majorEastAsia" w:cstheme="majorBidi"/>
      <w:color w:val="272727" w:themeColor="text1" w:themeTint="D8"/>
      <w:lang w:val="en-US"/>
    </w:rPr>
  </w:style>
  <w:style w:type="paragraph" w:styleId="KonuBal">
    <w:name w:val="Title"/>
    <w:basedOn w:val="Normal"/>
    <w:next w:val="Normal"/>
    <w:link w:val="KonuBalChar"/>
    <w:uiPriority w:val="10"/>
    <w:qFormat/>
    <w:rsid w:val="00ED42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D42DA"/>
    <w:rPr>
      <w:rFonts w:asciiTheme="majorHAnsi" w:eastAsiaTheme="majorEastAsia" w:hAnsiTheme="majorHAnsi" w:cstheme="majorBidi"/>
      <w:spacing w:val="-10"/>
      <w:kern w:val="28"/>
      <w:sz w:val="56"/>
      <w:szCs w:val="56"/>
      <w:lang w:val="en-US"/>
    </w:rPr>
  </w:style>
  <w:style w:type="paragraph" w:styleId="Altyaz">
    <w:name w:val="Subtitle"/>
    <w:basedOn w:val="Normal"/>
    <w:next w:val="Normal"/>
    <w:link w:val="AltyazChar"/>
    <w:uiPriority w:val="11"/>
    <w:qFormat/>
    <w:rsid w:val="00ED42D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D42DA"/>
    <w:rPr>
      <w:rFonts w:eastAsiaTheme="majorEastAsia" w:cstheme="majorBidi"/>
      <w:color w:val="595959" w:themeColor="text1" w:themeTint="A6"/>
      <w:spacing w:val="15"/>
      <w:sz w:val="28"/>
      <w:szCs w:val="28"/>
      <w:lang w:val="en-US"/>
    </w:rPr>
  </w:style>
  <w:style w:type="paragraph" w:styleId="Alnt">
    <w:name w:val="Quote"/>
    <w:basedOn w:val="Normal"/>
    <w:next w:val="Normal"/>
    <w:link w:val="AlntChar"/>
    <w:uiPriority w:val="29"/>
    <w:qFormat/>
    <w:rsid w:val="00ED42D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D42DA"/>
    <w:rPr>
      <w:i/>
      <w:iCs/>
      <w:color w:val="404040" w:themeColor="text1" w:themeTint="BF"/>
      <w:lang w:val="en-US"/>
    </w:rPr>
  </w:style>
  <w:style w:type="paragraph" w:styleId="ListeParagraf">
    <w:name w:val="List Paragraph"/>
    <w:basedOn w:val="Normal"/>
    <w:uiPriority w:val="34"/>
    <w:qFormat/>
    <w:rsid w:val="00ED42DA"/>
    <w:pPr>
      <w:ind w:left="720"/>
      <w:contextualSpacing/>
    </w:pPr>
  </w:style>
  <w:style w:type="character" w:styleId="GlVurgulama">
    <w:name w:val="Intense Emphasis"/>
    <w:basedOn w:val="VarsaylanParagrafYazTipi"/>
    <w:uiPriority w:val="21"/>
    <w:qFormat/>
    <w:rsid w:val="00ED42DA"/>
    <w:rPr>
      <w:i/>
      <w:iCs/>
      <w:color w:val="2F5496" w:themeColor="accent1" w:themeShade="BF"/>
    </w:rPr>
  </w:style>
  <w:style w:type="paragraph" w:styleId="GlAlnt">
    <w:name w:val="Intense Quote"/>
    <w:basedOn w:val="Normal"/>
    <w:next w:val="Normal"/>
    <w:link w:val="GlAlntChar"/>
    <w:uiPriority w:val="30"/>
    <w:qFormat/>
    <w:rsid w:val="00ED42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ED42DA"/>
    <w:rPr>
      <w:i/>
      <w:iCs/>
      <w:color w:val="2F5496" w:themeColor="accent1" w:themeShade="BF"/>
      <w:lang w:val="en-US"/>
    </w:rPr>
  </w:style>
  <w:style w:type="character" w:styleId="GlBavuru">
    <w:name w:val="Intense Reference"/>
    <w:basedOn w:val="VarsaylanParagrafYazTipi"/>
    <w:uiPriority w:val="32"/>
    <w:qFormat/>
    <w:rsid w:val="00ED42DA"/>
    <w:rPr>
      <w:b/>
      <w:bCs/>
      <w:smallCaps/>
      <w:color w:val="2F5496" w:themeColor="accent1" w:themeShade="BF"/>
      <w:spacing w:val="5"/>
    </w:rPr>
  </w:style>
  <w:style w:type="paragraph" w:styleId="NormalWeb">
    <w:name w:val="Normal (Web)"/>
    <w:basedOn w:val="Normal"/>
    <w:uiPriority w:val="99"/>
    <w:semiHidden/>
    <w:unhideWhenUsed/>
    <w:rsid w:val="007B4418"/>
    <w:rPr>
      <w:rFonts w:ascii="Times New Roman" w:hAnsi="Times New Roman" w:cs="Times New Roman"/>
      <w:sz w:val="24"/>
      <w:szCs w:val="24"/>
    </w:rPr>
  </w:style>
  <w:style w:type="paragraph" w:styleId="Kaynaka">
    <w:name w:val="Bibliography"/>
    <w:basedOn w:val="Normal"/>
    <w:next w:val="Normal"/>
    <w:uiPriority w:val="37"/>
    <w:unhideWhenUsed/>
    <w:rsid w:val="00496995"/>
    <w:pPr>
      <w:spacing w:after="240" w:line="240" w:lineRule="auto"/>
    </w:pPr>
  </w:style>
  <w:style w:type="character" w:styleId="Kpr">
    <w:name w:val="Hyperlink"/>
    <w:basedOn w:val="VarsaylanParagrafYazTipi"/>
    <w:uiPriority w:val="99"/>
    <w:unhideWhenUsed/>
    <w:rsid w:val="004B18FE"/>
    <w:rPr>
      <w:color w:val="0563C1" w:themeColor="hyperlink"/>
      <w:u w:val="single"/>
    </w:rPr>
  </w:style>
  <w:style w:type="character" w:styleId="zmlenmeyenBahsetme">
    <w:name w:val="Unresolved Mention"/>
    <w:basedOn w:val="VarsaylanParagrafYazTipi"/>
    <w:uiPriority w:val="99"/>
    <w:semiHidden/>
    <w:unhideWhenUsed/>
    <w:rsid w:val="008500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892/etm.2021.9657" TargetMode="External"/><Relationship Id="rId18" Type="http://schemas.openxmlformats.org/officeDocument/2006/relationships/hyperlink" Target="https://doi.org/10.1089/ten.TEB.2016.0233" TargetMode="External"/><Relationship Id="rId26" Type="http://schemas.openxmlformats.org/officeDocument/2006/relationships/hyperlink" Target="https://doi.org/10.3109/09537104.2014.881991" TargetMode="External"/><Relationship Id="rId39" Type="http://schemas.openxmlformats.org/officeDocument/2006/relationships/hyperlink" Target="https://doi.org/10.1016/j.joms.2024.02.003" TargetMode="External"/><Relationship Id="rId21" Type="http://schemas.openxmlformats.org/officeDocument/2006/relationships/hyperlink" Target="https://doi.org/10.3390/jcm14093224?utm_source=chatgpt.com" TargetMode="External"/><Relationship Id="rId34" Type="http://schemas.openxmlformats.org/officeDocument/2006/relationships/hyperlink" Target="https://doi.org/10.2174/0118742106308888240531110255" TargetMode="External"/><Relationship Id="rId7" Type="http://schemas.openxmlformats.org/officeDocument/2006/relationships/hyperlink" Target="https://doi.org/10.1097/00008505-200110000-00002" TargetMode="External"/><Relationship Id="rId2" Type="http://schemas.openxmlformats.org/officeDocument/2006/relationships/styles" Target="styles.xml"/><Relationship Id="rId16" Type="http://schemas.openxmlformats.org/officeDocument/2006/relationships/hyperlink" Target="https://doi.org/10.1016/j.tripleo.2005.07.008" TargetMode="External"/><Relationship Id="rId20" Type="http://schemas.openxmlformats.org/officeDocument/2006/relationships/hyperlink" Target="https://doi.org/10.1080/09537104.2020.1717455" TargetMode="External"/><Relationship Id="rId29" Type="http://schemas.openxmlformats.org/officeDocument/2006/relationships/hyperlink" Target="https://doi.org/10.4103/jpbs.jpbs_1187_23"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onursahar@gmail.com" TargetMode="External"/><Relationship Id="rId11" Type="http://schemas.openxmlformats.org/officeDocument/2006/relationships/hyperlink" Target="https://doi.org/10.1016/j.ijom.2018.07.007" TargetMode="External"/><Relationship Id="rId24" Type="http://schemas.openxmlformats.org/officeDocument/2006/relationships/hyperlink" Target="https://doi.org/10.37506/ijfmt.v15i2.14973" TargetMode="External"/><Relationship Id="rId32" Type="http://schemas.openxmlformats.org/officeDocument/2006/relationships/hyperlink" Target="https://doi.org/10.3390/dj13120604" TargetMode="External"/><Relationship Id="rId37" Type="http://schemas.openxmlformats.org/officeDocument/2006/relationships/hyperlink" Target="https://doi.org/10.1007/s00784-023-04954-y" TargetMode="External"/><Relationship Id="rId40" Type="http://schemas.openxmlformats.org/officeDocument/2006/relationships/fontTable" Target="fontTable.xml"/><Relationship Id="rId5" Type="http://schemas.openxmlformats.org/officeDocument/2006/relationships/hyperlink" Target="mailto:onursahar@gmail.com" TargetMode="External"/><Relationship Id="rId15" Type="http://schemas.openxmlformats.org/officeDocument/2006/relationships/hyperlink" Target="https://doi.org/10.1902/jop.2016.160443" TargetMode="External"/><Relationship Id="rId23" Type="http://schemas.openxmlformats.org/officeDocument/2006/relationships/hyperlink" Target="https://doi.org/10.1159/000527526" TargetMode="External"/><Relationship Id="rId28" Type="http://schemas.openxmlformats.org/officeDocument/2006/relationships/hyperlink" Target="https://doi.org/10.9734/jpri/2020/v32i1730673" TargetMode="External"/><Relationship Id="rId36" Type="http://schemas.openxmlformats.org/officeDocument/2006/relationships/hyperlink" Target="https://doi.org/10.1186/s12903-025-06027-w" TargetMode="External"/><Relationship Id="rId10" Type="http://schemas.openxmlformats.org/officeDocument/2006/relationships/hyperlink" Target="https://doi.org/10.1111/jcpe.12643" TargetMode="External"/><Relationship Id="rId19" Type="http://schemas.openxmlformats.org/officeDocument/2006/relationships/hyperlink" Target="https://doi.org/10.1016/j.sdentj.2023.07.008" TargetMode="External"/><Relationship Id="rId31" Type="http://schemas.openxmlformats.org/officeDocument/2006/relationships/hyperlink" Target="https://doi.org/10.3389/fdmed.2026.1810175" TargetMode="External"/><Relationship Id="rId4" Type="http://schemas.openxmlformats.org/officeDocument/2006/relationships/webSettings" Target="webSettings.xml"/><Relationship Id="rId9" Type="http://schemas.openxmlformats.org/officeDocument/2006/relationships/hyperlink" Target="https://doi.org/10.3390/jcm11175070" TargetMode="External"/><Relationship Id="rId14" Type="http://schemas.openxmlformats.org/officeDocument/2006/relationships/hyperlink" Target="https://doi.org/10.1563/aaid-joi-D-14-00138" TargetMode="External"/><Relationship Id="rId22" Type="http://schemas.openxmlformats.org/officeDocument/2006/relationships/hyperlink" Target="https://doi.org/10.1186/s40729-026-00668-4" TargetMode="External"/><Relationship Id="rId27" Type="http://schemas.openxmlformats.org/officeDocument/2006/relationships/hyperlink" Target="https://doi.org/10.3390/ijerph191912545" TargetMode="External"/><Relationship Id="rId30" Type="http://schemas.openxmlformats.org/officeDocument/2006/relationships/hyperlink" Target="https://doi.org/10.1016/j.sdentj.2023.05.010" TargetMode="External"/><Relationship Id="rId35" Type="http://schemas.openxmlformats.org/officeDocument/2006/relationships/hyperlink" Target="https://doi.org/10.2147/IJN.S524115" TargetMode="External"/><Relationship Id="rId8" Type="http://schemas.openxmlformats.org/officeDocument/2006/relationships/hyperlink" Target="https://doi.org/10.3389/fbioe.2024.1286035" TargetMode="External"/><Relationship Id="rId3" Type="http://schemas.openxmlformats.org/officeDocument/2006/relationships/settings" Target="settings.xml"/><Relationship Id="rId12" Type="http://schemas.openxmlformats.org/officeDocument/2006/relationships/hyperlink" Target="https://doi.org/10.1016/j.jdsr.2022.02.003" TargetMode="External"/><Relationship Id="rId17" Type="http://schemas.openxmlformats.org/officeDocument/2006/relationships/hyperlink" Target="https://doi.org/10.1016/j.bjoms.2012.08.003" TargetMode="External"/><Relationship Id="rId25" Type="http://schemas.openxmlformats.org/officeDocument/2006/relationships/hyperlink" Target="https://doi.org/10.1902/jop.2010.100605" TargetMode="External"/><Relationship Id="rId33" Type="http://schemas.openxmlformats.org/officeDocument/2006/relationships/hyperlink" Target="https://doi.org/10.1097/MS9.0000000000003589" TargetMode="External"/><Relationship Id="rId38" Type="http://schemas.openxmlformats.org/officeDocument/2006/relationships/hyperlink" Target="https://doi.org/10.1371/journal.pone.0304970"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1090</TotalTime>
  <Pages>35</Pages>
  <Words>20822</Words>
  <Characters>118690</Characters>
  <Application>Microsoft Office Word</Application>
  <DocSecurity>0</DocSecurity>
  <Lines>989</Lines>
  <Paragraphs>278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 sahar</dc:creator>
  <cp:keywords/>
  <dc:description/>
  <cp:lastModifiedBy>onur sahar</cp:lastModifiedBy>
  <cp:revision>53</cp:revision>
  <dcterms:created xsi:type="dcterms:W3CDTF">2026-04-14T09:25:00Z</dcterms:created>
  <dcterms:modified xsi:type="dcterms:W3CDTF">2026-09-25T08:14:00Z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id="cous972g"/&gt;&lt;style id="http://www.zotero.org/styles/bmc-oral-health" hasBibliography="1" bibliographyStyleHasBeenSet="1"/&gt;&lt;prefs&gt;&lt;pref name="fieldType" value="Field"/&gt;&lt;/prefs&gt;&lt;/data&gt;</vt:lpwstr>
  </property>
</Properties>
</file>