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Supplementary Material 6. Certainty of evidence as reported by the included systematic reviews</w:t>
      </w:r>
    </w:p>
    <w:p>
      <w:pPr>
        <w:spacing w:after="60" w:line="240" w:lineRule="auto"/>
      </w:pPr>
      <w:r>
        <w:rPr>
          <w:i/>
          <w:sz w:val="16"/>
        </w:rPr>
        <w:t>Methodological note. No de novo certainty-of-evidence assessment was performed at the overview level. Certainty ratings are reported only when explicitly provided by the original systematic review. When no formal certainty framework was identified in the source material available to this overview, the entry is recorded as 'Not formally assessed/reported' and no category is inferred. Review-level ratings were not combined, averaged, or translated into an overall certainty category.</w:t>
      </w:r>
    </w:p>
    <w:p>
      <w:pPr>
        <w:spacing w:after="100" w:line="240" w:lineRule="auto"/>
      </w:pPr>
      <w:r>
        <w:rPr>
          <w:b/>
          <w:sz w:val="16"/>
        </w:rPr>
        <w:t>Extraction summary: completed GRADE assessment in 10/38 reviews; GRADE planned but not completed in 1/38; no formal certainty framework identified in 27/38.</w:t>
      </w:r>
    </w:p>
    <w:tbl>
      <w:tblPr>
        <w:tblStyle w:val="TableGrid"/>
        <w:tblW w:type="auto" w:w="0"/>
        <w:jc w:val="center"/>
        <w:tblLayout w:type="fixed"/>
        <w:tblLook w:firstColumn="1" w:firstRow="1" w:lastColumn="0" w:lastRow="0" w:noHBand="0" w:noVBand="1" w:val="04A0"/>
      </w:tblPr>
      <w:tblGrid>
        <w:gridCol w:w="2608"/>
        <w:gridCol w:w="2608"/>
        <w:gridCol w:w="2608"/>
        <w:gridCol w:w="2608"/>
        <w:gridCol w:w="2608"/>
        <w:gridCol w:w="2608"/>
      </w:tblGrid>
      <w:tr>
        <w:trPr>
          <w:tblHeader w:val="true"/>
        </w:trPr>
        <w:tc>
          <w:tcPr>
            <w:tcW w:type="dxa" w:w="648"/>
            <w:shd w:fill="D9D9D9"/>
            <w:vAlign w:val="center"/>
          </w:tcPr>
          <w:p>
            <w:pPr>
              <w:spacing w:before="0" w:after="0" w:line="240" w:lineRule="auto"/>
              <w:jc w:val="center"/>
            </w:pPr>
            <w:r>
              <w:rPr>
                <w:rFonts w:ascii="Times New Roman" w:hAnsi="Times New Roman"/>
                <w:b/>
                <w:sz w:val="14"/>
              </w:rPr>
              <w:t>ID</w:t>
            </w:r>
          </w:p>
        </w:tc>
        <w:tc>
          <w:tcPr>
            <w:tcW w:type="dxa" w:w="2376"/>
            <w:shd w:fill="D9D9D9"/>
            <w:vAlign w:val="center"/>
          </w:tcPr>
          <w:p>
            <w:pPr>
              <w:spacing w:before="0" w:after="0" w:line="240" w:lineRule="auto"/>
              <w:jc w:val="center"/>
            </w:pPr>
            <w:r>
              <w:rPr>
                <w:rFonts w:ascii="Times New Roman" w:hAnsi="Times New Roman"/>
                <w:b/>
                <w:sz w:val="14"/>
              </w:rPr>
              <w:t>Systematic review</w:t>
            </w:r>
          </w:p>
        </w:tc>
        <w:tc>
          <w:tcPr>
            <w:tcW w:type="dxa" w:w="2088"/>
            <w:shd w:fill="D9D9D9"/>
            <w:vAlign w:val="center"/>
          </w:tcPr>
          <w:p>
            <w:pPr>
              <w:spacing w:before="0" w:after="0" w:line="240" w:lineRule="auto"/>
              <w:jc w:val="center"/>
            </w:pPr>
            <w:r>
              <w:rPr>
                <w:rFonts w:ascii="Times New Roman" w:hAnsi="Times New Roman"/>
                <w:b/>
                <w:sz w:val="14"/>
              </w:rPr>
              <w:t>Certainty method reported</w:t>
            </w:r>
          </w:p>
        </w:tc>
        <w:tc>
          <w:tcPr>
            <w:tcW w:type="dxa" w:w="2664"/>
            <w:shd w:fill="D9D9D9"/>
            <w:vAlign w:val="center"/>
          </w:tcPr>
          <w:p>
            <w:pPr>
              <w:spacing w:before="0" w:after="0" w:line="240" w:lineRule="auto"/>
              <w:jc w:val="center"/>
            </w:pPr>
            <w:r>
              <w:rPr>
                <w:rFonts w:ascii="Times New Roman" w:hAnsi="Times New Roman"/>
                <w:b/>
                <w:sz w:val="14"/>
              </w:rPr>
              <w:t>Outcome(s) / scope</w:t>
            </w:r>
          </w:p>
        </w:tc>
        <w:tc>
          <w:tcPr>
            <w:tcW w:type="dxa" w:w="3960"/>
            <w:shd w:fill="D9D9D9"/>
            <w:vAlign w:val="center"/>
          </w:tcPr>
          <w:p>
            <w:pPr>
              <w:spacing w:before="0" w:after="0" w:line="240" w:lineRule="auto"/>
              <w:jc w:val="center"/>
            </w:pPr>
            <w:r>
              <w:rPr>
                <w:rFonts w:ascii="Times New Roman" w:hAnsi="Times New Roman"/>
                <w:b/>
                <w:sz w:val="14"/>
              </w:rPr>
              <w:t>Original certainty rating(s)</w:t>
            </w:r>
          </w:p>
        </w:tc>
        <w:tc>
          <w:tcPr>
            <w:tcW w:type="dxa" w:w="3960"/>
            <w:shd w:fill="D9D9D9"/>
            <w:vAlign w:val="center"/>
          </w:tcPr>
          <w:p>
            <w:pPr>
              <w:spacing w:before="0" w:after="0" w:line="240" w:lineRule="auto"/>
              <w:jc w:val="center"/>
            </w:pPr>
            <w:r>
              <w:rPr>
                <w:rFonts w:ascii="Times New Roman" w:hAnsi="Times New Roman"/>
                <w:b/>
                <w:sz w:val="14"/>
              </w:rPr>
              <w:t>Notes</w:t>
            </w:r>
          </w:p>
        </w:tc>
      </w:tr>
      <w:tr>
        <w:trPr>
          <w:cantSplit/>
        </w:trPr>
        <w:tc>
          <w:tcPr>
            <w:tcW w:type="dxa" w:w="648"/>
            <w:vAlign w:val="top"/>
          </w:tcPr>
          <w:p>
            <w:pPr>
              <w:spacing w:before="0" w:after="0" w:line="240" w:lineRule="auto"/>
              <w:jc w:val="center"/>
            </w:pPr>
            <w:r>
              <w:rPr>
                <w:rFonts w:ascii="Times New Roman" w:hAnsi="Times New Roman"/>
                <w:b/>
                <w:sz w:val="14"/>
              </w:rPr>
              <w:t>R01</w:t>
            </w:r>
          </w:p>
        </w:tc>
        <w:tc>
          <w:tcPr>
            <w:tcW w:type="dxa" w:w="2376"/>
            <w:vAlign w:val="top"/>
          </w:tcPr>
          <w:p>
            <w:pPr>
              <w:spacing w:before="0" w:after="0" w:line="240" w:lineRule="auto"/>
            </w:pPr>
            <w:r>
              <w:rPr>
                <w:rFonts w:ascii="Times New Roman" w:hAnsi="Times New Roman"/>
                <w:b/>
                <w:sz w:val="14"/>
              </w:rPr>
              <w:t>Chen et al., 2002</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certainty framework was identified in the source material available to this overview; no rating was inferred.</w:t>
            </w:r>
          </w:p>
        </w:tc>
      </w:tr>
      <w:tr>
        <w:trPr>
          <w:cantSplit/>
        </w:trPr>
        <w:tc>
          <w:tcPr>
            <w:tcW w:type="dxa" w:w="648"/>
            <w:vAlign w:val="top"/>
          </w:tcPr>
          <w:p>
            <w:pPr>
              <w:spacing w:before="0" w:after="0" w:line="240" w:lineRule="auto"/>
              <w:jc w:val="center"/>
            </w:pPr>
            <w:r>
              <w:rPr>
                <w:rFonts w:ascii="Times New Roman" w:hAnsi="Times New Roman"/>
                <w:b/>
                <w:sz w:val="14"/>
              </w:rPr>
              <w:t>R02</w:t>
            </w:r>
          </w:p>
        </w:tc>
        <w:tc>
          <w:tcPr>
            <w:tcW w:type="dxa" w:w="2376"/>
            <w:vAlign w:val="top"/>
          </w:tcPr>
          <w:p>
            <w:pPr>
              <w:spacing w:before="0" w:after="0" w:line="240" w:lineRule="auto"/>
            </w:pPr>
            <w:r>
              <w:rPr>
                <w:rFonts w:ascii="Times New Roman" w:hAnsi="Times New Roman"/>
                <w:b/>
                <w:sz w:val="14"/>
              </w:rPr>
              <w:t>Antonarakis &amp; Kiliaridis, 2007</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certainty framework was identified in the source material available to this overview; no rating was inferred.</w:t>
            </w:r>
          </w:p>
        </w:tc>
      </w:tr>
      <w:tr>
        <w:trPr>
          <w:cantSplit/>
        </w:trPr>
        <w:tc>
          <w:tcPr>
            <w:tcW w:type="dxa" w:w="648"/>
            <w:vAlign w:val="top"/>
          </w:tcPr>
          <w:p>
            <w:pPr>
              <w:spacing w:before="0" w:after="0" w:line="240" w:lineRule="auto"/>
              <w:jc w:val="center"/>
            </w:pPr>
            <w:r>
              <w:rPr>
                <w:rFonts w:ascii="Times New Roman" w:hAnsi="Times New Roman"/>
                <w:b/>
                <w:sz w:val="14"/>
              </w:rPr>
              <w:t>R03</w:t>
            </w:r>
          </w:p>
        </w:tc>
        <w:tc>
          <w:tcPr>
            <w:tcW w:type="dxa" w:w="2376"/>
            <w:vAlign w:val="top"/>
          </w:tcPr>
          <w:p>
            <w:pPr>
              <w:spacing w:before="0" w:after="0" w:line="240" w:lineRule="auto"/>
            </w:pPr>
            <w:r>
              <w:rPr>
                <w:rFonts w:ascii="Times New Roman" w:hAnsi="Times New Roman"/>
                <w:b/>
                <w:sz w:val="14"/>
              </w:rPr>
              <w:t>Marsico et al., 2011</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Primary-study methodological quality was considered, but no formal outcome-level certainty framework was identified.</w:t>
            </w:r>
          </w:p>
        </w:tc>
      </w:tr>
      <w:tr>
        <w:trPr>
          <w:cantSplit/>
        </w:trPr>
        <w:tc>
          <w:tcPr>
            <w:tcW w:type="dxa" w:w="648"/>
            <w:vAlign w:val="top"/>
          </w:tcPr>
          <w:p>
            <w:pPr>
              <w:spacing w:before="0" w:after="0" w:line="240" w:lineRule="auto"/>
              <w:jc w:val="center"/>
            </w:pPr>
            <w:r>
              <w:rPr>
                <w:rFonts w:ascii="Times New Roman" w:hAnsi="Times New Roman"/>
                <w:b/>
                <w:sz w:val="14"/>
              </w:rPr>
              <w:t>R04</w:t>
            </w:r>
          </w:p>
        </w:tc>
        <w:tc>
          <w:tcPr>
            <w:tcW w:type="dxa" w:w="2376"/>
            <w:vAlign w:val="top"/>
          </w:tcPr>
          <w:p>
            <w:pPr>
              <w:spacing w:before="0" w:after="0" w:line="240" w:lineRule="auto"/>
            </w:pPr>
            <w:r>
              <w:rPr>
                <w:rFonts w:ascii="Times New Roman" w:hAnsi="Times New Roman"/>
                <w:b/>
                <w:sz w:val="14"/>
              </w:rPr>
              <w:t>Nucera et al., 2016</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The review reported risk-of-bias assessment and meta-analysis; no formal outcome-level certainty category was identified in the available report.</w:t>
            </w:r>
          </w:p>
        </w:tc>
      </w:tr>
      <w:tr>
        <w:trPr>
          <w:cantSplit/>
        </w:trPr>
        <w:tc>
          <w:tcPr>
            <w:tcW w:type="dxa" w:w="648"/>
            <w:vAlign w:val="top"/>
          </w:tcPr>
          <w:p>
            <w:pPr>
              <w:spacing w:before="0" w:after="0" w:line="240" w:lineRule="auto"/>
              <w:jc w:val="center"/>
            </w:pPr>
            <w:r>
              <w:rPr>
                <w:rFonts w:ascii="Times New Roman" w:hAnsi="Times New Roman"/>
                <w:b/>
                <w:sz w:val="14"/>
              </w:rPr>
              <w:t>R05</w:t>
            </w:r>
          </w:p>
        </w:tc>
        <w:tc>
          <w:tcPr>
            <w:tcW w:type="dxa" w:w="2376"/>
            <w:vAlign w:val="top"/>
          </w:tcPr>
          <w:p>
            <w:pPr>
              <w:spacing w:before="0" w:after="0" w:line="240" w:lineRule="auto"/>
            </w:pPr>
            <w:r>
              <w:rPr>
                <w:rFonts w:ascii="Times New Roman" w:hAnsi="Times New Roman"/>
                <w:b/>
                <w:sz w:val="14"/>
              </w:rPr>
              <w:t>Santamaria-Villegas et al., 2017</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The available report describes trial quality/reporting assessment and meta-analysis but no formal certainty framework.</w:t>
            </w:r>
          </w:p>
        </w:tc>
      </w:tr>
      <w:tr>
        <w:trPr>
          <w:cantSplit/>
        </w:trPr>
        <w:tc>
          <w:tcPr>
            <w:tcW w:type="dxa" w:w="648"/>
            <w:vAlign w:val="top"/>
          </w:tcPr>
          <w:p>
            <w:pPr>
              <w:spacing w:before="0" w:after="0" w:line="240" w:lineRule="auto"/>
              <w:jc w:val="center"/>
            </w:pPr>
            <w:r>
              <w:rPr>
                <w:rFonts w:ascii="Times New Roman" w:hAnsi="Times New Roman"/>
                <w:b/>
                <w:sz w:val="14"/>
              </w:rPr>
              <w:t>R06</w:t>
            </w:r>
          </w:p>
        </w:tc>
        <w:tc>
          <w:tcPr>
            <w:tcW w:type="dxa" w:w="2376"/>
            <w:vAlign w:val="top"/>
          </w:tcPr>
          <w:p>
            <w:pPr>
              <w:spacing w:before="0" w:after="0" w:line="240" w:lineRule="auto"/>
            </w:pPr>
            <w:r>
              <w:rPr>
                <w:rFonts w:ascii="Times New Roman" w:hAnsi="Times New Roman"/>
                <w:b/>
                <w:sz w:val="14"/>
              </w:rPr>
              <w:t>Perinetti et al., 2015 (removable)</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Mandibular skeletal effects stratified by skeletal maturation</w:t>
            </w:r>
          </w:p>
        </w:tc>
        <w:tc>
          <w:tcPr>
            <w:tcW w:type="dxa" w:w="3960"/>
            <w:vAlign w:val="top"/>
          </w:tcPr>
          <w:p>
            <w:pPr>
              <w:spacing w:before="0" w:after="0" w:line="240" w:lineRule="auto"/>
            </w:pPr>
            <w:r>
              <w:rPr>
                <w:rFonts w:ascii="Times New Roman" w:hAnsi="Times New Roman"/>
                <w:sz w:val="14"/>
              </w:rPr>
              <w:t>Low certainty in pre-pubertal patients; generally moderate certainty in pubertal patients</w:t>
            </w:r>
          </w:p>
        </w:tc>
        <w:tc>
          <w:tcPr>
            <w:tcW w:type="dxa" w:w="3960"/>
            <w:vAlign w:val="top"/>
          </w:tcPr>
          <w:p>
            <w:pPr>
              <w:spacing w:before="0" w:after="0" w:line="240" w:lineRule="auto"/>
            </w:pPr>
            <w:r>
              <w:rPr>
                <w:rFonts w:ascii="Times New Roman" w:hAnsi="Times New Roman"/>
                <w:sz w:val="14"/>
              </w:rPr>
              <w:t>Ratings are retained as reported by the original review; they were not reclassified by the overview authors.</w:t>
            </w:r>
          </w:p>
        </w:tc>
      </w:tr>
      <w:tr>
        <w:trPr>
          <w:cantSplit/>
        </w:trPr>
        <w:tc>
          <w:tcPr>
            <w:tcW w:type="dxa" w:w="648"/>
            <w:vAlign w:val="top"/>
          </w:tcPr>
          <w:p>
            <w:pPr>
              <w:spacing w:before="0" w:after="0" w:line="240" w:lineRule="auto"/>
              <w:jc w:val="center"/>
            </w:pPr>
            <w:r>
              <w:rPr>
                <w:rFonts w:ascii="Times New Roman" w:hAnsi="Times New Roman"/>
                <w:b/>
                <w:sz w:val="14"/>
              </w:rPr>
              <w:t>R07</w:t>
            </w:r>
          </w:p>
        </w:tc>
        <w:tc>
          <w:tcPr>
            <w:tcW w:type="dxa" w:w="2376"/>
            <w:vAlign w:val="top"/>
          </w:tcPr>
          <w:p>
            <w:pPr>
              <w:spacing w:before="0" w:after="0" w:line="240" w:lineRule="auto"/>
            </w:pPr>
            <w:r>
              <w:rPr>
                <w:rFonts w:ascii="Times New Roman" w:hAnsi="Times New Roman"/>
                <w:b/>
                <w:sz w:val="14"/>
              </w:rPr>
              <w:t>Koretsi et al., 2015</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Main skeletal and dentoalveolar outcomes of removable functional appliances</w:t>
            </w:r>
          </w:p>
        </w:tc>
        <w:tc>
          <w:tcPr>
            <w:tcW w:type="dxa" w:w="3960"/>
            <w:vAlign w:val="top"/>
          </w:tcPr>
          <w:p>
            <w:pPr>
              <w:spacing w:before="0" w:after="0" w:line="240" w:lineRule="auto"/>
            </w:pPr>
            <w:r>
              <w:rPr>
                <w:rFonts w:ascii="Times New Roman" w:hAnsi="Times New Roman"/>
                <w:sz w:val="14"/>
              </w:rPr>
              <w:t>Certainty ranged from very low to high; high certainty was reported for selected outcomes including SNA and upper-incisor inclination (1s-NL)</w:t>
            </w:r>
          </w:p>
        </w:tc>
        <w:tc>
          <w:tcPr>
            <w:tcW w:type="dxa" w:w="3960"/>
            <w:vAlign w:val="top"/>
          </w:tcPr>
          <w:p>
            <w:pPr>
              <w:spacing w:before="0" w:after="0" w:line="240" w:lineRule="auto"/>
            </w:pPr>
            <w:r>
              <w:rPr>
                <w:rFonts w:ascii="Times New Roman" w:hAnsi="Times New Roman"/>
                <w:sz w:val="14"/>
              </w:rPr>
              <w:t>Outcome-specific ratings varied; no single overall certainty category was assigned in this overview.</w:t>
            </w:r>
          </w:p>
        </w:tc>
      </w:tr>
      <w:tr>
        <w:trPr>
          <w:cantSplit/>
        </w:trPr>
        <w:tc>
          <w:tcPr>
            <w:tcW w:type="dxa" w:w="648"/>
            <w:vAlign w:val="top"/>
          </w:tcPr>
          <w:p>
            <w:pPr>
              <w:spacing w:before="0" w:after="0" w:line="240" w:lineRule="auto"/>
              <w:jc w:val="center"/>
            </w:pPr>
            <w:r>
              <w:rPr>
                <w:rFonts w:ascii="Times New Roman" w:hAnsi="Times New Roman"/>
                <w:b/>
                <w:sz w:val="14"/>
              </w:rPr>
              <w:t>R08</w:t>
            </w:r>
          </w:p>
        </w:tc>
        <w:tc>
          <w:tcPr>
            <w:tcW w:type="dxa" w:w="2376"/>
            <w:vAlign w:val="top"/>
          </w:tcPr>
          <w:p>
            <w:pPr>
              <w:spacing w:before="0" w:after="0" w:line="240" w:lineRule="auto"/>
            </w:pPr>
            <w:r>
              <w:rPr>
                <w:rFonts w:ascii="Times New Roman" w:hAnsi="Times New Roman"/>
                <w:b/>
                <w:sz w:val="14"/>
              </w:rPr>
              <w:t>Ehsani et al., 2015</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R09</w:t>
            </w:r>
          </w:p>
        </w:tc>
        <w:tc>
          <w:tcPr>
            <w:tcW w:type="dxa" w:w="2376"/>
            <w:vAlign w:val="top"/>
          </w:tcPr>
          <w:p>
            <w:pPr>
              <w:spacing w:before="0" w:after="0" w:line="240" w:lineRule="auto"/>
            </w:pPr>
            <w:r>
              <w:rPr>
                <w:rFonts w:ascii="Times New Roman" w:hAnsi="Times New Roman"/>
                <w:b/>
                <w:sz w:val="14"/>
              </w:rPr>
              <w:t>Perillo et al., 2011</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R10</w:t>
            </w:r>
          </w:p>
        </w:tc>
        <w:tc>
          <w:tcPr>
            <w:tcW w:type="dxa" w:w="2376"/>
            <w:vAlign w:val="top"/>
          </w:tcPr>
          <w:p>
            <w:pPr>
              <w:spacing w:before="0" w:after="0" w:line="240" w:lineRule="auto"/>
            </w:pPr>
            <w:r>
              <w:rPr>
                <w:rFonts w:ascii="Times New Roman" w:hAnsi="Times New Roman"/>
                <w:b/>
                <w:sz w:val="14"/>
              </w:rPr>
              <w:t>Xie et al., 2021</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Risk of bias and meta-analytic findings were reported, but no formal certainty category was identified in the available report.</w:t>
            </w:r>
          </w:p>
        </w:tc>
      </w:tr>
      <w:tr>
        <w:trPr>
          <w:cantSplit/>
        </w:trPr>
        <w:tc>
          <w:tcPr>
            <w:tcW w:type="dxa" w:w="648"/>
            <w:vAlign w:val="top"/>
          </w:tcPr>
          <w:p>
            <w:pPr>
              <w:spacing w:before="0" w:after="0" w:line="240" w:lineRule="auto"/>
              <w:jc w:val="center"/>
            </w:pPr>
            <w:r>
              <w:rPr>
                <w:rFonts w:ascii="Times New Roman" w:hAnsi="Times New Roman"/>
                <w:b/>
                <w:sz w:val="14"/>
              </w:rPr>
              <w:t>R11</w:t>
            </w:r>
          </w:p>
        </w:tc>
        <w:tc>
          <w:tcPr>
            <w:tcW w:type="dxa" w:w="2376"/>
            <w:vAlign w:val="top"/>
          </w:tcPr>
          <w:p>
            <w:pPr>
              <w:spacing w:before="0" w:after="0" w:line="240" w:lineRule="auto"/>
            </w:pPr>
            <w:r>
              <w:rPr>
                <w:rFonts w:ascii="Times New Roman" w:hAnsi="Times New Roman"/>
                <w:b/>
                <w:sz w:val="14"/>
              </w:rPr>
              <w:t>Flores-Mir et al., 2007</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R12</w:t>
            </w:r>
          </w:p>
        </w:tc>
        <w:tc>
          <w:tcPr>
            <w:tcW w:type="dxa" w:w="2376"/>
            <w:vAlign w:val="top"/>
          </w:tcPr>
          <w:p>
            <w:pPr>
              <w:spacing w:before="0" w:after="0" w:line="240" w:lineRule="auto"/>
            </w:pPr>
            <w:r>
              <w:rPr>
                <w:rFonts w:ascii="Times New Roman" w:hAnsi="Times New Roman"/>
                <w:b/>
                <w:sz w:val="14"/>
              </w:rPr>
              <w:t>Barnett et al., 2008</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R13</w:t>
            </w:r>
          </w:p>
        </w:tc>
        <w:tc>
          <w:tcPr>
            <w:tcW w:type="dxa" w:w="2376"/>
            <w:vAlign w:val="top"/>
          </w:tcPr>
          <w:p>
            <w:pPr>
              <w:spacing w:before="0" w:after="0" w:line="240" w:lineRule="auto"/>
            </w:pPr>
            <w:r>
              <w:rPr>
                <w:rFonts w:ascii="Times New Roman" w:hAnsi="Times New Roman"/>
                <w:b/>
                <w:sz w:val="14"/>
              </w:rPr>
              <w:t>Linjawi &amp; Abbassy, 2018</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Methodological quality of primary studies was assessed, but no formal outcome-level certainty framework was identified.</w:t>
            </w:r>
          </w:p>
        </w:tc>
      </w:tr>
      <w:tr>
        <w:trPr>
          <w:cantSplit/>
        </w:trPr>
        <w:tc>
          <w:tcPr>
            <w:tcW w:type="dxa" w:w="648"/>
            <w:vAlign w:val="top"/>
          </w:tcPr>
          <w:p>
            <w:pPr>
              <w:spacing w:before="0" w:after="0" w:line="240" w:lineRule="auto"/>
              <w:jc w:val="center"/>
            </w:pPr>
            <w:r>
              <w:rPr>
                <w:rFonts w:ascii="Times New Roman" w:hAnsi="Times New Roman"/>
                <w:b/>
                <w:sz w:val="14"/>
              </w:rPr>
              <w:t>R14</w:t>
            </w:r>
          </w:p>
        </w:tc>
        <w:tc>
          <w:tcPr>
            <w:tcW w:type="dxa" w:w="2376"/>
            <w:vAlign w:val="top"/>
          </w:tcPr>
          <w:p>
            <w:pPr>
              <w:spacing w:before="0" w:after="0" w:line="240" w:lineRule="auto"/>
            </w:pPr>
            <w:r>
              <w:rPr>
                <w:rFonts w:ascii="Times New Roman" w:hAnsi="Times New Roman"/>
                <w:b/>
                <w:sz w:val="14"/>
              </w:rPr>
              <w:t>Ishaq et al., 2016</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The authors discussed the limited amount of high-quality primary evidence; this was not treated as a formal GRADE-type certainty rating.</w:t>
            </w:r>
          </w:p>
        </w:tc>
      </w:tr>
      <w:tr>
        <w:trPr>
          <w:cantSplit/>
        </w:trPr>
        <w:tc>
          <w:tcPr>
            <w:tcW w:type="dxa" w:w="648"/>
            <w:vAlign w:val="top"/>
          </w:tcPr>
          <w:p>
            <w:pPr>
              <w:spacing w:before="0" w:after="0" w:line="240" w:lineRule="auto"/>
              <w:jc w:val="center"/>
            </w:pPr>
            <w:r>
              <w:rPr>
                <w:rFonts w:ascii="Times New Roman" w:hAnsi="Times New Roman"/>
                <w:b/>
                <w:sz w:val="14"/>
              </w:rPr>
              <w:t>R15</w:t>
            </w:r>
          </w:p>
        </w:tc>
        <w:tc>
          <w:tcPr>
            <w:tcW w:type="dxa" w:w="2376"/>
            <w:vAlign w:val="top"/>
          </w:tcPr>
          <w:p>
            <w:pPr>
              <w:spacing w:before="0" w:after="0" w:line="240" w:lineRule="auto"/>
            </w:pPr>
            <w:r>
              <w:rPr>
                <w:rFonts w:ascii="Times New Roman" w:hAnsi="Times New Roman"/>
                <w:b/>
                <w:sz w:val="14"/>
              </w:rPr>
              <w:t>Zymperdikas et al., 2016</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Skeletal and dentoalveolar outcomes of fixed functional appliances</w:t>
            </w:r>
          </w:p>
        </w:tc>
        <w:tc>
          <w:tcPr>
            <w:tcW w:type="dxa" w:w="3960"/>
            <w:vAlign w:val="top"/>
          </w:tcPr>
          <w:p>
            <w:pPr>
              <w:spacing w:before="0" w:after="0" w:line="240" w:lineRule="auto"/>
            </w:pPr>
            <w:r>
              <w:rPr>
                <w:rFonts w:ascii="Times New Roman" w:hAnsi="Times New Roman"/>
                <w:sz w:val="14"/>
              </w:rPr>
              <w:t>Certainty ranged from low to high after appliance removal; high certainty was reported for selected upper- and lower-incisor inclination outcomes (1s-SN and 1i-ML)</w:t>
            </w:r>
          </w:p>
        </w:tc>
        <w:tc>
          <w:tcPr>
            <w:tcW w:type="dxa" w:w="3960"/>
            <w:vAlign w:val="top"/>
          </w:tcPr>
          <w:p>
            <w:pPr>
              <w:spacing w:before="0" w:after="0" w:line="240" w:lineRule="auto"/>
            </w:pPr>
            <w:r>
              <w:rPr>
                <w:rFonts w:ascii="Times New Roman" w:hAnsi="Times New Roman"/>
                <w:sz w:val="14"/>
              </w:rPr>
              <w:t>Original outcome-specific ratings were retained without overview-level harmonization.</w:t>
            </w:r>
          </w:p>
        </w:tc>
      </w:tr>
      <w:tr>
        <w:trPr>
          <w:cantSplit/>
        </w:trPr>
        <w:tc>
          <w:tcPr>
            <w:tcW w:type="dxa" w:w="648"/>
            <w:vAlign w:val="top"/>
          </w:tcPr>
          <w:p>
            <w:pPr>
              <w:spacing w:before="0" w:after="0" w:line="240" w:lineRule="auto"/>
              <w:jc w:val="center"/>
            </w:pPr>
            <w:r>
              <w:rPr>
                <w:rFonts w:ascii="Times New Roman" w:hAnsi="Times New Roman"/>
                <w:b/>
                <w:sz w:val="14"/>
              </w:rPr>
              <w:t>R16</w:t>
            </w:r>
          </w:p>
        </w:tc>
        <w:tc>
          <w:tcPr>
            <w:tcW w:type="dxa" w:w="2376"/>
            <w:vAlign w:val="top"/>
          </w:tcPr>
          <w:p>
            <w:pPr>
              <w:spacing w:before="0" w:after="0" w:line="240" w:lineRule="auto"/>
            </w:pPr>
            <w:r>
              <w:rPr>
                <w:rFonts w:ascii="Times New Roman" w:hAnsi="Times New Roman"/>
                <w:b/>
                <w:sz w:val="14"/>
              </w:rPr>
              <w:t>Al-Jewair, 2015</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R17</w:t>
            </w:r>
          </w:p>
        </w:tc>
        <w:tc>
          <w:tcPr>
            <w:tcW w:type="dxa" w:w="2376"/>
            <w:vAlign w:val="top"/>
          </w:tcPr>
          <w:p>
            <w:pPr>
              <w:spacing w:before="0" w:after="0" w:line="240" w:lineRule="auto"/>
            </w:pPr>
            <w:r>
              <w:rPr>
                <w:rFonts w:ascii="Times New Roman" w:hAnsi="Times New Roman"/>
                <w:b/>
                <w:sz w:val="14"/>
              </w:rPr>
              <w:t>Perinetti et al., 2015 (fixed)</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The review evaluated methodological quality/risk of bias, but no formal outcome-level certainty framework was identified.</w:t>
            </w:r>
          </w:p>
        </w:tc>
      </w:tr>
      <w:tr>
        <w:trPr>
          <w:cantSplit/>
        </w:trPr>
        <w:tc>
          <w:tcPr>
            <w:tcW w:type="dxa" w:w="648"/>
            <w:vAlign w:val="top"/>
          </w:tcPr>
          <w:p>
            <w:pPr>
              <w:spacing w:before="0" w:after="0" w:line="240" w:lineRule="auto"/>
              <w:jc w:val="center"/>
            </w:pPr>
            <w:r>
              <w:rPr>
                <w:rFonts w:ascii="Times New Roman" w:hAnsi="Times New Roman"/>
                <w:b/>
                <w:sz w:val="14"/>
              </w:rPr>
              <w:t>R18</w:t>
            </w:r>
          </w:p>
        </w:tc>
        <w:tc>
          <w:tcPr>
            <w:tcW w:type="dxa" w:w="2376"/>
            <w:vAlign w:val="top"/>
          </w:tcPr>
          <w:p>
            <w:pPr>
              <w:spacing w:before="0" w:after="0" w:line="240" w:lineRule="auto"/>
            </w:pPr>
            <w:r>
              <w:rPr>
                <w:rFonts w:ascii="Times New Roman" w:hAnsi="Times New Roman"/>
                <w:b/>
                <w:sz w:val="14"/>
              </w:rPr>
              <w:t>Yang et al., 2016</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Herbst skeletal, dental, and occlusal outcomes</w:t>
            </w:r>
          </w:p>
        </w:tc>
        <w:tc>
          <w:tcPr>
            <w:tcW w:type="dxa" w:w="3960"/>
            <w:vAlign w:val="top"/>
          </w:tcPr>
          <w:p>
            <w:pPr>
              <w:spacing w:before="0" w:after="0" w:line="240" w:lineRule="auto"/>
            </w:pPr>
            <w:r>
              <w:rPr>
                <w:rFonts w:ascii="Times New Roman" w:hAnsi="Times New Roman"/>
                <w:sz w:val="14"/>
              </w:rPr>
              <w:t>Low: SNA, mandibular plane angle, A-OLp, Co-Go, Co-Gn, overjet, overbite, molar relationship. Very low: SNB, ANB, Pg-OLp</w:t>
            </w:r>
          </w:p>
        </w:tc>
        <w:tc>
          <w:tcPr>
            <w:tcW w:type="dxa" w:w="3960"/>
            <w:vAlign w:val="top"/>
          </w:tcPr>
          <w:p>
            <w:pPr>
              <w:spacing w:before="0" w:after="0" w:line="240" w:lineRule="auto"/>
            </w:pPr>
            <w:r>
              <w:rPr>
                <w:rFonts w:ascii="Times New Roman" w:hAnsi="Times New Roman"/>
                <w:sz w:val="14"/>
              </w:rPr>
              <w:t>Ratings are reported at outcome level as presented in the original review.</w:t>
            </w:r>
          </w:p>
        </w:tc>
      </w:tr>
      <w:tr>
        <w:trPr>
          <w:cantSplit/>
        </w:trPr>
        <w:tc>
          <w:tcPr>
            <w:tcW w:type="dxa" w:w="648"/>
            <w:vAlign w:val="top"/>
          </w:tcPr>
          <w:p>
            <w:pPr>
              <w:spacing w:before="0" w:after="0" w:line="240" w:lineRule="auto"/>
              <w:jc w:val="center"/>
            </w:pPr>
            <w:r>
              <w:rPr>
                <w:rFonts w:ascii="Times New Roman" w:hAnsi="Times New Roman"/>
                <w:b/>
                <w:sz w:val="14"/>
              </w:rPr>
              <w:t>R19</w:t>
            </w:r>
          </w:p>
        </w:tc>
        <w:tc>
          <w:tcPr>
            <w:tcW w:type="dxa" w:w="2376"/>
            <w:vAlign w:val="top"/>
          </w:tcPr>
          <w:p>
            <w:pPr>
              <w:spacing w:before="0" w:after="0" w:line="240" w:lineRule="auto"/>
            </w:pPr>
            <w:r>
              <w:rPr>
                <w:rFonts w:ascii="Times New Roman" w:hAnsi="Times New Roman"/>
                <w:b/>
                <w:sz w:val="14"/>
              </w:rPr>
              <w:t>Cozza et al., 2006</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Structured study-quality assessment was reported, but no formal outcome-level certainty framework was identified.</w:t>
            </w:r>
          </w:p>
        </w:tc>
      </w:tr>
      <w:tr>
        <w:trPr>
          <w:cantSplit/>
        </w:trPr>
        <w:tc>
          <w:tcPr>
            <w:tcW w:type="dxa" w:w="648"/>
            <w:vAlign w:val="top"/>
          </w:tcPr>
          <w:p>
            <w:pPr>
              <w:spacing w:before="0" w:after="0" w:line="240" w:lineRule="auto"/>
              <w:jc w:val="center"/>
            </w:pPr>
            <w:r>
              <w:rPr>
                <w:rFonts w:ascii="Times New Roman" w:hAnsi="Times New Roman"/>
                <w:b/>
                <w:sz w:val="14"/>
              </w:rPr>
              <w:t>R20</w:t>
            </w:r>
          </w:p>
        </w:tc>
        <w:tc>
          <w:tcPr>
            <w:tcW w:type="dxa" w:w="2376"/>
            <w:vAlign w:val="top"/>
          </w:tcPr>
          <w:p>
            <w:pPr>
              <w:spacing w:before="0" w:after="0" w:line="240" w:lineRule="auto"/>
            </w:pPr>
            <w:r>
              <w:rPr>
                <w:rFonts w:ascii="Times New Roman" w:hAnsi="Times New Roman"/>
                <w:b/>
                <w:sz w:val="14"/>
              </w:rPr>
              <w:t>Pacha et al., 2016</w:t>
            </w:r>
          </w:p>
        </w:tc>
        <w:tc>
          <w:tcPr>
            <w:tcW w:type="dxa" w:w="2088"/>
            <w:vAlign w:val="top"/>
          </w:tcPr>
          <w:p>
            <w:pPr>
              <w:spacing w:before="0" w:after="0" w:line="240" w:lineRule="auto"/>
            </w:pPr>
            <w:r>
              <w:rPr>
                <w:rFonts w:ascii="Times New Roman" w:hAnsi="Times New Roman"/>
                <w:sz w:val="14"/>
              </w:rPr>
              <w:t>GRADE planned but not performed</w:t>
            </w:r>
          </w:p>
        </w:tc>
        <w:tc>
          <w:tcPr>
            <w:tcW w:type="dxa" w:w="2664"/>
            <w:vAlign w:val="top"/>
          </w:tcPr>
          <w:p>
            <w:pPr>
              <w:spacing w:before="0" w:after="0" w:line="240" w:lineRule="auto"/>
            </w:pPr>
            <w:r>
              <w:rPr>
                <w:rFonts w:ascii="Times New Roman" w:hAnsi="Times New Roman"/>
                <w:sz w:val="14"/>
              </w:rPr>
              <w:t>Intended assessment of fixed-versus-removable functional-appliance outcomes</w:t>
            </w:r>
          </w:p>
        </w:tc>
        <w:tc>
          <w:tcPr>
            <w:tcW w:type="dxa" w:w="3960"/>
            <w:vAlign w:val="top"/>
          </w:tcPr>
          <w:p>
            <w:pPr>
              <w:spacing w:before="0" w:after="0" w:line="240" w:lineRule="auto"/>
            </w:pPr>
            <w:r>
              <w:rPr>
                <w:rFonts w:ascii="Times New Roman" w:hAnsi="Times New Roman"/>
                <w:sz w:val="14"/>
              </w:rPr>
              <w:t>Not available</w:t>
            </w:r>
          </w:p>
        </w:tc>
        <w:tc>
          <w:tcPr>
            <w:tcW w:type="dxa" w:w="3960"/>
            <w:vAlign w:val="top"/>
          </w:tcPr>
          <w:p>
            <w:pPr>
              <w:spacing w:before="0" w:after="0" w:line="240" w:lineRule="auto"/>
            </w:pPr>
            <w:r>
              <w:rPr>
                <w:rFonts w:ascii="Times New Roman" w:hAnsi="Times New Roman"/>
                <w:sz w:val="14"/>
              </w:rPr>
              <w:t>The review planned a certainty assessment, but the planned GRADE evaluation was not completed because quantitative synthesis/robust certainty assessment was precluded by the available heterogeneous evidence.</w:t>
            </w:r>
          </w:p>
        </w:tc>
      </w:tr>
      <w:tr>
        <w:trPr>
          <w:cantSplit/>
        </w:trPr>
        <w:tc>
          <w:tcPr>
            <w:tcW w:type="dxa" w:w="648"/>
            <w:vAlign w:val="top"/>
          </w:tcPr>
          <w:p>
            <w:pPr>
              <w:spacing w:before="0" w:after="0" w:line="240" w:lineRule="auto"/>
              <w:jc w:val="center"/>
            </w:pPr>
            <w:r>
              <w:rPr>
                <w:rFonts w:ascii="Times New Roman" w:hAnsi="Times New Roman"/>
                <w:b/>
                <w:sz w:val="14"/>
              </w:rPr>
              <w:t>R21</w:t>
            </w:r>
          </w:p>
        </w:tc>
        <w:tc>
          <w:tcPr>
            <w:tcW w:type="dxa" w:w="2376"/>
            <w:vAlign w:val="top"/>
          </w:tcPr>
          <w:p>
            <w:pPr>
              <w:spacing w:before="0" w:after="0" w:line="240" w:lineRule="auto"/>
            </w:pPr>
            <w:r>
              <w:rPr>
                <w:rFonts w:ascii="Times New Roman" w:hAnsi="Times New Roman"/>
                <w:b/>
                <w:sz w:val="14"/>
              </w:rPr>
              <w:t>Cacciatore et al., 2019</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Long-term skeletal and dentoalveolar outcomes at primary follow-up time points</w:t>
            </w:r>
          </w:p>
        </w:tc>
        <w:tc>
          <w:tcPr>
            <w:tcW w:type="dxa" w:w="3960"/>
            <w:vAlign w:val="top"/>
          </w:tcPr>
          <w:p>
            <w:pPr>
              <w:spacing w:before="0" w:after="0" w:line="240" w:lineRule="auto"/>
            </w:pPr>
            <w:r>
              <w:rPr>
                <w:rFonts w:ascii="Times New Roman" w:hAnsi="Times New Roman"/>
                <w:sz w:val="14"/>
              </w:rPr>
              <w:t>Very low for most outcomes; low for selected Co-A and Co-Gn/Co-A outcomes at age &gt;=18 years; moderate for Co-Gn/Co-A difference at end of growth</w:t>
            </w:r>
          </w:p>
        </w:tc>
        <w:tc>
          <w:tcPr>
            <w:tcW w:type="dxa" w:w="3960"/>
            <w:vAlign w:val="top"/>
          </w:tcPr>
          <w:p>
            <w:pPr>
              <w:spacing w:before="0" w:after="0" w:line="240" w:lineRule="auto"/>
            </w:pPr>
            <w:r>
              <w:rPr>
                <w:rFonts w:ascii="Times New Roman" w:hAnsi="Times New Roman"/>
                <w:sz w:val="14"/>
              </w:rPr>
              <w:t>The original review's outcome- and time-specific ratings are retained; no umbrella-level certainty category was calculated.</w:t>
            </w:r>
          </w:p>
        </w:tc>
      </w:tr>
      <w:tr>
        <w:trPr>
          <w:cantSplit/>
        </w:trPr>
        <w:tc>
          <w:tcPr>
            <w:tcW w:type="dxa" w:w="648"/>
            <w:vAlign w:val="top"/>
          </w:tcPr>
          <w:p>
            <w:pPr>
              <w:spacing w:before="0" w:after="0" w:line="240" w:lineRule="auto"/>
              <w:jc w:val="center"/>
            </w:pPr>
            <w:r>
              <w:rPr>
                <w:rFonts w:ascii="Times New Roman" w:hAnsi="Times New Roman"/>
                <w:b/>
                <w:sz w:val="14"/>
              </w:rPr>
              <w:t>R22</w:t>
            </w:r>
          </w:p>
        </w:tc>
        <w:tc>
          <w:tcPr>
            <w:tcW w:type="dxa" w:w="2376"/>
            <w:vAlign w:val="top"/>
          </w:tcPr>
          <w:p>
            <w:pPr>
              <w:spacing w:before="0" w:after="0" w:line="240" w:lineRule="auto"/>
            </w:pPr>
            <w:r>
              <w:rPr>
                <w:rFonts w:ascii="Times New Roman" w:hAnsi="Times New Roman"/>
                <w:b/>
                <w:sz w:val="14"/>
              </w:rPr>
              <w:t>Xu et al., 2024</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certainty framework was identified in the available report; no category was inferred.</w:t>
            </w:r>
          </w:p>
        </w:tc>
      </w:tr>
      <w:tr>
        <w:trPr>
          <w:cantSplit/>
        </w:trPr>
        <w:tc>
          <w:tcPr>
            <w:tcW w:type="dxa" w:w="648"/>
            <w:vAlign w:val="top"/>
          </w:tcPr>
          <w:p>
            <w:pPr>
              <w:spacing w:before="0" w:after="0" w:line="240" w:lineRule="auto"/>
              <w:jc w:val="center"/>
            </w:pPr>
            <w:r>
              <w:rPr>
                <w:rFonts w:ascii="Times New Roman" w:hAnsi="Times New Roman"/>
                <w:b/>
                <w:sz w:val="14"/>
              </w:rPr>
              <w:t>R23</w:t>
            </w:r>
          </w:p>
        </w:tc>
        <w:tc>
          <w:tcPr>
            <w:tcW w:type="dxa" w:w="2376"/>
            <w:vAlign w:val="top"/>
          </w:tcPr>
          <w:p>
            <w:pPr>
              <w:spacing w:before="0" w:after="0" w:line="240" w:lineRule="auto"/>
            </w:pPr>
            <w:r>
              <w:rPr>
                <w:rFonts w:ascii="Times New Roman" w:hAnsi="Times New Roman"/>
                <w:b/>
                <w:sz w:val="14"/>
              </w:rPr>
              <w:t>Chen et al., 2020</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Stepwise versus single-step mandibular advancement</w:t>
            </w:r>
          </w:p>
        </w:tc>
        <w:tc>
          <w:tcPr>
            <w:tcW w:type="dxa" w:w="3960"/>
            <w:vAlign w:val="top"/>
          </w:tcPr>
          <w:p>
            <w:pPr>
              <w:spacing w:before="0" w:after="0" w:line="240" w:lineRule="auto"/>
            </w:pPr>
            <w:r>
              <w:rPr>
                <w:rFonts w:ascii="Times New Roman" w:hAnsi="Times New Roman"/>
                <w:sz w:val="14"/>
              </w:rPr>
              <w:t>Low: mandibular length, SNB, overjet. Very low: Pog sagittal, ANB, L1-MP, mandibular plane angle</w:t>
            </w:r>
          </w:p>
        </w:tc>
        <w:tc>
          <w:tcPr>
            <w:tcW w:type="dxa" w:w="3960"/>
            <w:vAlign w:val="top"/>
          </w:tcPr>
          <w:p>
            <w:pPr>
              <w:spacing w:before="0" w:after="0" w:line="240" w:lineRule="auto"/>
            </w:pPr>
            <w:r>
              <w:rPr>
                <w:rFonts w:ascii="Times New Roman" w:hAnsi="Times New Roman"/>
                <w:sz w:val="14"/>
              </w:rPr>
              <w:t>The original review used GRADE to assess outcome-level evidence quality.</w:t>
            </w:r>
          </w:p>
        </w:tc>
      </w:tr>
      <w:tr>
        <w:trPr>
          <w:cantSplit/>
        </w:trPr>
        <w:tc>
          <w:tcPr>
            <w:tcW w:type="dxa" w:w="648"/>
            <w:vAlign w:val="top"/>
          </w:tcPr>
          <w:p>
            <w:pPr>
              <w:spacing w:before="0" w:after="0" w:line="240" w:lineRule="auto"/>
              <w:jc w:val="center"/>
            </w:pPr>
            <w:r>
              <w:rPr>
                <w:rFonts w:ascii="Times New Roman" w:hAnsi="Times New Roman"/>
                <w:b/>
                <w:sz w:val="14"/>
              </w:rPr>
              <w:t>R24</w:t>
            </w:r>
          </w:p>
        </w:tc>
        <w:tc>
          <w:tcPr>
            <w:tcW w:type="dxa" w:w="2376"/>
            <w:vAlign w:val="top"/>
          </w:tcPr>
          <w:p>
            <w:pPr>
              <w:spacing w:before="0" w:after="0" w:line="240" w:lineRule="auto"/>
            </w:pPr>
            <w:r>
              <w:rPr>
                <w:rFonts w:ascii="Times New Roman" w:hAnsi="Times New Roman"/>
                <w:b/>
                <w:sz w:val="14"/>
              </w:rPr>
              <w:t>Siva et al., 2021</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R25</w:t>
            </w:r>
          </w:p>
        </w:tc>
        <w:tc>
          <w:tcPr>
            <w:tcW w:type="dxa" w:w="2376"/>
            <w:vAlign w:val="top"/>
          </w:tcPr>
          <w:p>
            <w:pPr>
              <w:spacing w:before="0" w:after="0" w:line="240" w:lineRule="auto"/>
            </w:pPr>
            <w:r>
              <w:rPr>
                <w:rFonts w:ascii="Times New Roman" w:hAnsi="Times New Roman"/>
                <w:b/>
                <w:sz w:val="14"/>
              </w:rPr>
              <w:t>Li &amp; Meng, 2025</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R26</w:t>
            </w:r>
          </w:p>
        </w:tc>
        <w:tc>
          <w:tcPr>
            <w:tcW w:type="dxa" w:w="2376"/>
            <w:vAlign w:val="top"/>
          </w:tcPr>
          <w:p>
            <w:pPr>
              <w:spacing w:before="0" w:after="0" w:line="240" w:lineRule="auto"/>
            </w:pPr>
            <w:r>
              <w:rPr>
                <w:rFonts w:ascii="Times New Roman" w:hAnsi="Times New Roman"/>
                <w:b/>
                <w:sz w:val="14"/>
              </w:rPr>
              <w:t>Kumar et al., 2023</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ROBINS-I and meta-analysis were reported; no completed formal certainty assessment was identified in the available report.</w:t>
            </w:r>
          </w:p>
        </w:tc>
      </w:tr>
      <w:tr>
        <w:trPr>
          <w:cantSplit/>
        </w:trPr>
        <w:tc>
          <w:tcPr>
            <w:tcW w:type="dxa" w:w="648"/>
            <w:vAlign w:val="top"/>
          </w:tcPr>
          <w:p>
            <w:pPr>
              <w:spacing w:before="0" w:after="0" w:line="240" w:lineRule="auto"/>
              <w:jc w:val="center"/>
            </w:pPr>
            <w:r>
              <w:rPr>
                <w:rFonts w:ascii="Times New Roman" w:hAnsi="Times New Roman"/>
                <w:b/>
                <w:sz w:val="14"/>
              </w:rPr>
              <w:t>R27</w:t>
            </w:r>
          </w:p>
        </w:tc>
        <w:tc>
          <w:tcPr>
            <w:tcW w:type="dxa" w:w="2376"/>
            <w:vAlign w:val="top"/>
          </w:tcPr>
          <w:p>
            <w:pPr>
              <w:spacing w:before="0" w:after="0" w:line="240" w:lineRule="auto"/>
            </w:pPr>
            <w:r>
              <w:rPr>
                <w:rFonts w:ascii="Times New Roman" w:hAnsi="Times New Roman"/>
                <w:b/>
                <w:sz w:val="14"/>
              </w:rPr>
              <w:t>Jeha &amp; Haddad, 2024</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Risk-of-bias appraisal was reported, but no formal outcome-level certainty framework was identified in the available report.</w:t>
            </w:r>
          </w:p>
        </w:tc>
      </w:tr>
      <w:tr>
        <w:trPr>
          <w:cantSplit/>
        </w:trPr>
        <w:tc>
          <w:tcPr>
            <w:tcW w:type="dxa" w:w="648"/>
            <w:vAlign w:val="top"/>
          </w:tcPr>
          <w:p>
            <w:pPr>
              <w:spacing w:before="0" w:after="0" w:line="240" w:lineRule="auto"/>
              <w:jc w:val="center"/>
            </w:pPr>
            <w:r>
              <w:rPr>
                <w:rFonts w:ascii="Times New Roman" w:hAnsi="Times New Roman"/>
                <w:b/>
                <w:sz w:val="14"/>
              </w:rPr>
              <w:t>R28</w:t>
            </w:r>
          </w:p>
        </w:tc>
        <w:tc>
          <w:tcPr>
            <w:tcW w:type="dxa" w:w="2376"/>
            <w:vAlign w:val="top"/>
          </w:tcPr>
          <w:p>
            <w:pPr>
              <w:spacing w:before="0" w:after="0" w:line="240" w:lineRule="auto"/>
            </w:pPr>
            <w:r>
              <w:rPr>
                <w:rFonts w:ascii="Times New Roman" w:hAnsi="Times New Roman"/>
                <w:b/>
                <w:sz w:val="14"/>
              </w:rPr>
              <w:t>Matthaios et al., 2022</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Dentoskeletal outcomes comparing Herbst/Forsus with Class II elastics</w:t>
            </w:r>
          </w:p>
        </w:tc>
        <w:tc>
          <w:tcPr>
            <w:tcW w:type="dxa" w:w="3960"/>
            <w:vAlign w:val="top"/>
          </w:tcPr>
          <w:p>
            <w:pPr>
              <w:spacing w:before="0" w:after="0" w:line="240" w:lineRule="auto"/>
            </w:pPr>
            <w:r>
              <w:rPr>
                <w:rFonts w:ascii="Times New Roman" w:hAnsi="Times New Roman"/>
                <w:sz w:val="14"/>
              </w:rPr>
              <w:t>High: overbite, SNA, SNB, upper-incisor inclination. Low or very low: the remaining assessed outcomes</w:t>
            </w:r>
          </w:p>
        </w:tc>
        <w:tc>
          <w:tcPr>
            <w:tcW w:type="dxa" w:w="3960"/>
            <w:vAlign w:val="top"/>
          </w:tcPr>
          <w:p>
            <w:pPr>
              <w:spacing w:before="0" w:after="0" w:line="240" w:lineRule="auto"/>
            </w:pPr>
            <w:r>
              <w:rPr>
                <w:rFonts w:ascii="Times New Roman" w:hAnsi="Times New Roman"/>
                <w:sz w:val="14"/>
              </w:rPr>
              <w:t>The full report provides an outcome-level GRADE Summary of Findings; ratings were copied as reported, not recomputed.</w:t>
            </w:r>
          </w:p>
        </w:tc>
      </w:tr>
      <w:tr>
        <w:trPr>
          <w:cantSplit/>
        </w:trPr>
        <w:tc>
          <w:tcPr>
            <w:tcW w:type="dxa" w:w="648"/>
            <w:vAlign w:val="top"/>
          </w:tcPr>
          <w:p>
            <w:pPr>
              <w:spacing w:before="0" w:after="0" w:line="240" w:lineRule="auto"/>
              <w:jc w:val="center"/>
            </w:pPr>
            <w:r>
              <w:rPr>
                <w:rFonts w:ascii="Times New Roman" w:hAnsi="Times New Roman"/>
                <w:b/>
                <w:sz w:val="14"/>
              </w:rPr>
              <w:t>R29</w:t>
            </w:r>
          </w:p>
        </w:tc>
        <w:tc>
          <w:tcPr>
            <w:tcW w:type="dxa" w:w="2376"/>
            <w:vAlign w:val="top"/>
          </w:tcPr>
          <w:p>
            <w:pPr>
              <w:spacing w:before="0" w:after="0" w:line="240" w:lineRule="auto"/>
            </w:pPr>
            <w:r>
              <w:rPr>
                <w:rFonts w:ascii="Times New Roman" w:hAnsi="Times New Roman"/>
                <w:b/>
                <w:sz w:val="14"/>
              </w:rPr>
              <w:t>Almrayati et al., 2026</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Skeletal and dentoalveolar outcomes of removable and fixed functional appliances in growing Class II patients</w:t>
            </w:r>
          </w:p>
        </w:tc>
        <w:tc>
          <w:tcPr>
            <w:tcW w:type="dxa" w:w="3960"/>
            <w:vAlign w:val="top"/>
          </w:tcPr>
          <w:p>
            <w:pPr>
              <w:spacing w:before="0" w:after="0" w:line="240" w:lineRule="auto"/>
            </w:pPr>
            <w:r>
              <w:rPr>
                <w:rFonts w:ascii="Times New Roman" w:hAnsi="Times New Roman"/>
                <w:sz w:val="14"/>
              </w:rPr>
              <w:t>Overall certainty ranged from low to moderate</w:t>
            </w:r>
          </w:p>
        </w:tc>
        <w:tc>
          <w:tcPr>
            <w:tcW w:type="dxa" w:w="3960"/>
            <w:vAlign w:val="top"/>
          </w:tcPr>
          <w:p>
            <w:pPr>
              <w:spacing w:before="0" w:after="0" w:line="240" w:lineRule="auto"/>
            </w:pPr>
            <w:r>
              <w:rPr>
                <w:rFonts w:ascii="Times New Roman" w:hAnsi="Times New Roman"/>
                <w:sz w:val="14"/>
              </w:rPr>
              <w:t>The review explicitly used GRADE; limitations and inter-study heterogeneity were the main reasons for limited certainty.</w:t>
            </w:r>
          </w:p>
        </w:tc>
      </w:tr>
      <w:tr>
        <w:trPr>
          <w:cantSplit/>
        </w:trPr>
        <w:tc>
          <w:tcPr>
            <w:tcW w:type="dxa" w:w="648"/>
            <w:vAlign w:val="top"/>
          </w:tcPr>
          <w:p>
            <w:pPr>
              <w:spacing w:before="0" w:after="0" w:line="240" w:lineRule="auto"/>
              <w:jc w:val="center"/>
            </w:pPr>
            <w:r>
              <w:rPr>
                <w:rFonts w:ascii="Times New Roman" w:hAnsi="Times New Roman"/>
                <w:b/>
                <w:sz w:val="14"/>
              </w:rPr>
              <w:t>R30</w:t>
            </w:r>
          </w:p>
        </w:tc>
        <w:tc>
          <w:tcPr>
            <w:tcW w:type="dxa" w:w="2376"/>
            <w:vAlign w:val="top"/>
          </w:tcPr>
          <w:p>
            <w:pPr>
              <w:spacing w:before="0" w:after="0" w:line="240" w:lineRule="auto"/>
            </w:pPr>
            <w:r>
              <w:rPr>
                <w:rFonts w:ascii="Times New Roman" w:hAnsi="Times New Roman"/>
                <w:b/>
                <w:sz w:val="14"/>
              </w:rPr>
              <w:t>Singh et al., 2026</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R31</w:t>
            </w:r>
          </w:p>
        </w:tc>
        <w:tc>
          <w:tcPr>
            <w:tcW w:type="dxa" w:w="2376"/>
            <w:vAlign w:val="top"/>
          </w:tcPr>
          <w:p>
            <w:pPr>
              <w:spacing w:before="0" w:after="0" w:line="240" w:lineRule="auto"/>
            </w:pPr>
            <w:r>
              <w:rPr>
                <w:rFonts w:ascii="Times New Roman" w:hAnsi="Times New Roman"/>
                <w:b/>
                <w:sz w:val="14"/>
              </w:rPr>
              <w:t>Coronel-Zubiate et al., 2026</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Herbst versus Twin Block: skeletal, dental, occlusal, and soft-tissue outcomes</w:t>
            </w:r>
          </w:p>
        </w:tc>
        <w:tc>
          <w:tcPr>
            <w:tcW w:type="dxa" w:w="3960"/>
            <w:vAlign w:val="top"/>
          </w:tcPr>
          <w:p>
            <w:pPr>
              <w:spacing w:before="0" w:after="0" w:line="240" w:lineRule="auto"/>
            </w:pPr>
            <w:r>
              <w:rPr>
                <w:rFonts w:ascii="Times New Roman" w:hAnsi="Times New Roman"/>
                <w:sz w:val="14"/>
              </w:rPr>
              <w:t>High: mentolabial angle and molar relationship. Moderate: H angle. Other outcomes ranged from moderate to very low; very low included upper-lip thickness and condylar-head position</w:t>
            </w:r>
          </w:p>
        </w:tc>
        <w:tc>
          <w:tcPr>
            <w:tcW w:type="dxa" w:w="3960"/>
            <w:vAlign w:val="top"/>
          </w:tcPr>
          <w:p>
            <w:pPr>
              <w:spacing w:before="0" w:after="0" w:line="240" w:lineRule="auto"/>
            </w:pPr>
            <w:r>
              <w:rPr>
                <w:rFonts w:ascii="Times New Roman" w:hAnsi="Times New Roman"/>
                <w:sz w:val="14"/>
              </w:rPr>
              <w:t>The review used GRADEpro GDT and reported explicit reasons for downgrading, particularly imprecision and inconsistency.</w:t>
            </w:r>
          </w:p>
        </w:tc>
      </w:tr>
      <w:tr>
        <w:trPr>
          <w:cantSplit/>
        </w:trPr>
        <w:tc>
          <w:tcPr>
            <w:tcW w:type="dxa" w:w="648"/>
            <w:vAlign w:val="top"/>
          </w:tcPr>
          <w:p>
            <w:pPr>
              <w:spacing w:before="0" w:after="0" w:line="240" w:lineRule="auto"/>
              <w:jc w:val="center"/>
            </w:pPr>
            <w:r>
              <w:rPr>
                <w:rFonts w:ascii="Times New Roman" w:hAnsi="Times New Roman"/>
                <w:b/>
                <w:sz w:val="14"/>
              </w:rPr>
              <w:t>R32</w:t>
            </w:r>
          </w:p>
        </w:tc>
        <w:tc>
          <w:tcPr>
            <w:tcW w:type="dxa" w:w="2376"/>
            <w:vAlign w:val="top"/>
          </w:tcPr>
          <w:p>
            <w:pPr>
              <w:spacing w:before="0" w:after="0" w:line="240" w:lineRule="auto"/>
            </w:pPr>
            <w:r>
              <w:rPr>
                <w:rFonts w:ascii="Times New Roman" w:hAnsi="Times New Roman"/>
                <w:b/>
                <w:sz w:val="14"/>
              </w:rPr>
              <w:t>Varghese et al., 2023 (PowerScope)</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R33</w:t>
            </w:r>
          </w:p>
        </w:tc>
        <w:tc>
          <w:tcPr>
            <w:tcW w:type="dxa" w:w="2376"/>
            <w:vAlign w:val="top"/>
          </w:tcPr>
          <w:p>
            <w:pPr>
              <w:spacing w:before="0" w:after="0" w:line="240" w:lineRule="auto"/>
            </w:pPr>
            <w:r>
              <w:rPr>
                <w:rFonts w:ascii="Times New Roman" w:hAnsi="Times New Roman"/>
                <w:b/>
                <w:sz w:val="14"/>
              </w:rPr>
              <w:t>Mani et al., 2025</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Risk-of-bias results were presented, but no formal certainty framework was identified in the available report.</w:t>
            </w:r>
          </w:p>
        </w:tc>
      </w:tr>
      <w:tr>
        <w:trPr>
          <w:cantSplit/>
        </w:trPr>
        <w:tc>
          <w:tcPr>
            <w:tcW w:type="dxa" w:w="648"/>
            <w:vAlign w:val="top"/>
          </w:tcPr>
          <w:p>
            <w:pPr>
              <w:spacing w:before="0" w:after="0" w:line="240" w:lineRule="auto"/>
              <w:jc w:val="center"/>
            </w:pPr>
            <w:r>
              <w:rPr>
                <w:rFonts w:ascii="Times New Roman" w:hAnsi="Times New Roman"/>
                <w:b/>
                <w:sz w:val="14"/>
              </w:rPr>
              <w:t>R34</w:t>
            </w:r>
          </w:p>
        </w:tc>
        <w:tc>
          <w:tcPr>
            <w:tcW w:type="dxa" w:w="2376"/>
            <w:vAlign w:val="top"/>
          </w:tcPr>
          <w:p>
            <w:pPr>
              <w:spacing w:before="0" w:after="0" w:line="240" w:lineRule="auto"/>
            </w:pPr>
            <w:r>
              <w:rPr>
                <w:rFonts w:ascii="Times New Roman" w:hAnsi="Times New Roman"/>
                <w:b/>
                <w:sz w:val="14"/>
              </w:rPr>
              <w:t>Goonetilleke et al., 2023</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R35</w:t>
            </w:r>
          </w:p>
        </w:tc>
        <w:tc>
          <w:tcPr>
            <w:tcW w:type="dxa" w:w="2376"/>
            <w:vAlign w:val="top"/>
          </w:tcPr>
          <w:p>
            <w:pPr>
              <w:spacing w:before="0" w:after="0" w:line="240" w:lineRule="auto"/>
            </w:pPr>
            <w:r>
              <w:rPr>
                <w:rFonts w:ascii="Times New Roman" w:hAnsi="Times New Roman"/>
                <w:b/>
                <w:sz w:val="14"/>
              </w:rPr>
              <w:t>Bondemark et al., 2019</w:t>
            </w:r>
          </w:p>
        </w:tc>
        <w:tc>
          <w:tcPr>
            <w:tcW w:type="dxa" w:w="2088"/>
            <w:vAlign w:val="top"/>
          </w:tcPr>
          <w:p>
            <w:pPr>
              <w:spacing w:before="0" w:after="0" w:line="240" w:lineRule="auto"/>
            </w:pPr>
            <w:r>
              <w:rPr>
                <w:rFonts w:ascii="Times New Roman" w:hAnsi="Times New Roman"/>
                <w:sz w:val="14"/>
              </w:rPr>
              <w:t>GRADE</w:t>
            </w:r>
          </w:p>
        </w:tc>
        <w:tc>
          <w:tcPr>
            <w:tcW w:type="dxa" w:w="2664"/>
            <w:vAlign w:val="top"/>
          </w:tcPr>
          <w:p>
            <w:pPr>
              <w:spacing w:before="0" w:after="0" w:line="240" w:lineRule="auto"/>
            </w:pPr>
            <w:r>
              <w:rPr>
                <w:rFonts w:ascii="Times New Roman" w:hAnsi="Times New Roman"/>
                <w:sz w:val="14"/>
              </w:rPr>
              <w:t>Early Class II treatment outcomes</w:t>
            </w:r>
          </w:p>
        </w:tc>
        <w:tc>
          <w:tcPr>
            <w:tcW w:type="dxa" w:w="3960"/>
            <w:vAlign w:val="top"/>
          </w:tcPr>
          <w:p>
            <w:pPr>
              <w:spacing w:before="0" w:after="0" w:line="240" w:lineRule="auto"/>
            </w:pPr>
            <w:r>
              <w:rPr>
                <w:rFonts w:ascii="Times New Roman" w:hAnsi="Times New Roman"/>
                <w:sz w:val="14"/>
              </w:rPr>
              <w:t>High evidence: short-term overjet reduction and improvement in anteroposterior skeletal relationship. Moderate evidence: mandibular forward-position effect with Twin Block/Activator/Bionator. Insufficient evidence for several secondary and long-term outcomes</w:t>
            </w:r>
          </w:p>
        </w:tc>
        <w:tc>
          <w:tcPr>
            <w:tcW w:type="dxa" w:w="3960"/>
            <w:vAlign w:val="top"/>
          </w:tcPr>
          <w:p>
            <w:pPr>
              <w:spacing w:before="0" w:after="0" w:line="240" w:lineRule="auto"/>
            </w:pPr>
            <w:r>
              <w:rPr>
                <w:rFonts w:ascii="Times New Roman" w:hAnsi="Times New Roman"/>
                <w:sz w:val="14"/>
              </w:rPr>
              <w:t>The review used GRADE-based evidence-strength categories; ratings were retained using the authors' original terminology.</w:t>
            </w:r>
          </w:p>
        </w:tc>
      </w:tr>
      <w:tr>
        <w:trPr>
          <w:cantSplit/>
        </w:trPr>
        <w:tc>
          <w:tcPr>
            <w:tcW w:type="dxa" w:w="648"/>
            <w:vAlign w:val="top"/>
          </w:tcPr>
          <w:p>
            <w:pPr>
              <w:spacing w:before="0" w:after="0" w:line="240" w:lineRule="auto"/>
              <w:jc w:val="center"/>
            </w:pPr>
            <w:r>
              <w:rPr>
                <w:rFonts w:ascii="Times New Roman" w:hAnsi="Times New Roman"/>
                <w:b/>
                <w:sz w:val="14"/>
              </w:rPr>
              <w:t>R36</w:t>
            </w:r>
          </w:p>
        </w:tc>
        <w:tc>
          <w:tcPr>
            <w:tcW w:type="dxa" w:w="2376"/>
            <w:vAlign w:val="top"/>
          </w:tcPr>
          <w:p>
            <w:pPr>
              <w:spacing w:before="0" w:after="0" w:line="240" w:lineRule="auto"/>
            </w:pPr>
            <w:r>
              <w:rPr>
                <w:rFonts w:ascii="Times New Roman" w:hAnsi="Times New Roman"/>
                <w:b/>
                <w:sz w:val="14"/>
              </w:rPr>
              <w:t>Chavan et al., 2025</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The review reported primary-study risk of bias, but no formal certainty-of-evidence framework was identified.</w:t>
            </w:r>
          </w:p>
        </w:tc>
      </w:tr>
      <w:tr>
        <w:trPr>
          <w:cantSplit/>
        </w:trPr>
        <w:tc>
          <w:tcPr>
            <w:tcW w:type="dxa" w:w="648"/>
            <w:vAlign w:val="top"/>
          </w:tcPr>
          <w:p>
            <w:pPr>
              <w:spacing w:before="0" w:after="0" w:line="240" w:lineRule="auto"/>
              <w:jc w:val="center"/>
            </w:pPr>
            <w:r>
              <w:rPr>
                <w:rFonts w:ascii="Times New Roman" w:hAnsi="Times New Roman"/>
                <w:b/>
                <w:sz w:val="14"/>
              </w:rPr>
              <w:t>R37</w:t>
            </w:r>
          </w:p>
        </w:tc>
        <w:tc>
          <w:tcPr>
            <w:tcW w:type="dxa" w:w="2376"/>
            <w:vAlign w:val="top"/>
          </w:tcPr>
          <w:p>
            <w:pPr>
              <w:spacing w:before="0" w:after="0" w:line="240" w:lineRule="auto"/>
            </w:pPr>
            <w:r>
              <w:rPr>
                <w:rFonts w:ascii="Times New Roman" w:hAnsi="Times New Roman"/>
                <w:b/>
                <w:sz w:val="14"/>
              </w:rPr>
              <w:t>Lodd et al., 2024</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r>
        <w:trPr>
          <w:cantSplit/>
        </w:trPr>
        <w:tc>
          <w:tcPr>
            <w:tcW w:type="dxa" w:w="648"/>
            <w:vAlign w:val="top"/>
          </w:tcPr>
          <w:p>
            <w:pPr>
              <w:spacing w:before="0" w:after="0" w:line="240" w:lineRule="auto"/>
              <w:jc w:val="center"/>
            </w:pPr>
            <w:r>
              <w:rPr>
                <w:rFonts w:ascii="Times New Roman" w:hAnsi="Times New Roman"/>
                <w:b/>
                <w:sz w:val="14"/>
              </w:rPr>
              <w:t>R38</w:t>
            </w:r>
          </w:p>
        </w:tc>
        <w:tc>
          <w:tcPr>
            <w:tcW w:type="dxa" w:w="2376"/>
            <w:vAlign w:val="top"/>
          </w:tcPr>
          <w:p>
            <w:pPr>
              <w:spacing w:before="0" w:after="0" w:line="240" w:lineRule="auto"/>
            </w:pPr>
            <w:r>
              <w:rPr>
                <w:rFonts w:ascii="Times New Roman" w:hAnsi="Times New Roman"/>
                <w:b/>
                <w:sz w:val="14"/>
              </w:rPr>
              <w:t>Mangwade et al., 2022</w:t>
            </w:r>
          </w:p>
        </w:tc>
        <w:tc>
          <w:tcPr>
            <w:tcW w:type="dxa" w:w="2088"/>
            <w:vAlign w:val="top"/>
          </w:tcPr>
          <w:p>
            <w:pPr>
              <w:spacing w:before="0" w:after="0" w:line="240" w:lineRule="auto"/>
            </w:pPr>
            <w:r>
              <w:rPr>
                <w:rFonts w:ascii="Times New Roman" w:hAnsi="Times New Roman"/>
                <w:sz w:val="14"/>
              </w:rPr>
              <w:t>Not formally assessed/reported</w:t>
            </w:r>
          </w:p>
        </w:tc>
        <w:tc>
          <w:tcPr>
            <w:tcW w:type="dxa" w:w="2664"/>
            <w:vAlign w:val="top"/>
          </w:tcPr>
          <w:p>
            <w:pPr>
              <w:spacing w:before="0" w:after="0" w:line="240" w:lineRule="auto"/>
            </w:pPr>
            <w:r>
              <w:rPr>
                <w:rFonts w:ascii="Times New Roman" w:hAnsi="Times New Roman"/>
                <w:sz w:val="14"/>
              </w:rPr>
              <w:t>—</w:t>
            </w:r>
          </w:p>
        </w:tc>
        <w:tc>
          <w:tcPr>
            <w:tcW w:type="dxa" w:w="3960"/>
            <w:vAlign w:val="top"/>
          </w:tcPr>
          <w:p>
            <w:pPr>
              <w:spacing w:before="0" w:after="0" w:line="240" w:lineRule="auto"/>
            </w:pPr>
            <w:r>
              <w:rPr>
                <w:rFonts w:ascii="Times New Roman" w:hAnsi="Times New Roman"/>
                <w:sz w:val="14"/>
              </w:rPr>
              <w:t>No formal certainty rating extracted</w:t>
            </w:r>
          </w:p>
        </w:tc>
        <w:tc>
          <w:tcPr>
            <w:tcW w:type="dxa" w:w="3960"/>
            <w:vAlign w:val="top"/>
          </w:tcPr>
          <w:p>
            <w:pPr>
              <w:spacing w:before="0" w:after="0" w:line="240" w:lineRule="auto"/>
            </w:pPr>
            <w:r>
              <w:rPr>
                <w:rFonts w:ascii="Times New Roman" w:hAnsi="Times New Roman"/>
                <w:sz w:val="14"/>
              </w:rPr>
              <w:t>No formal outcome-level certainty framework was identified in the source material available to this overview.</w:t>
            </w:r>
          </w:p>
        </w:tc>
      </w:tr>
    </w:tbl>
    <w:p/>
    <w:p>
      <w:pPr>
        <w:spacing w:before="40" w:after="0" w:line="240" w:lineRule="auto"/>
      </w:pPr>
      <w:r>
        <w:rPr>
          <w:sz w:val="15"/>
        </w:rPr>
        <w:t>Abbreviations: GRADE, Grading of Recommendations Assessment, Development and Evaluation; SNA, sella-nasion-A point angle; SNB, sella-nasion-B point angle; ANB, A point-nasion-B point angle; L1-MP, lower-incisor to mandibular-plane angle. R identifiers correspond to the final 38-review set used throughout the overview.</w:t>
      </w:r>
    </w:p>
    <w:p>
      <w:pPr>
        <w:spacing w:before="20" w:after="0" w:line="240" w:lineRule="auto"/>
      </w:pPr>
      <w:r>
        <w:rPr>
          <w:i/>
          <w:sz w:val="15"/>
        </w:rPr>
        <w:t>Important: certainty categories are review- and outcome-specific and refer to different primary-study sets, comparators, time points, and outcome definitions. They should therefore not be interpreted as directly comparable or pooled across reviews.</w:t>
      </w:r>
    </w:p>
    <w:sectPr w:rsidR="00FC693F" w:rsidRPr="0006063C" w:rsidSect="00034616">
      <w:footerReference w:type="default" r:id="rId9"/>
      <w:headerReference w:type="default" r:id="rId10"/>
      <w:pgSz w:w="16838" w:h="11906" w:orient="landscape"/>
      <w:pgMar w:top="595" w:right="595" w:bottom="595" w:left="5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4"/>
      </w:rPr>
      <w:t>Supplementary Material 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