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0"/>
        </w:rPr>
        <w:t>Supplementary Material 2</w:t>
      </w:r>
    </w:p>
    <w:p>
      <w:pPr>
        <w:jc w:val="center"/>
      </w:pPr>
      <w:r>
        <w:rPr>
          <w:rFonts w:ascii="Arial" w:hAnsi="Arial"/>
          <w:b/>
          <w:sz w:val="23"/>
        </w:rPr>
        <w:t>Reports excluded after full-text assessment and reports not retrieved</w:t>
      </w:r>
    </w:p>
    <w:p>
      <w:pPr>
        <w:spacing w:after="140"/>
      </w:pPr>
      <w:r>
        <w:rPr>
          <w:b/>
        </w:rPr>
        <w:t xml:space="preserve">Updated eligibility assessment: </w:t>
      </w:r>
      <w:r>
        <w:t>reports were assessed against the predefined criteria for population (growing skeletal Class II), intervention (conventional fixed/removable functional orthopedic appliances), cephalometric skeletal/dentoalveolar outcomes, and the operational definition of an eligible systematic review. Earlier versions of the same review were not counted as independent units when a later update superseded them.</w:t>
      </w:r>
    </w:p>
    <w:p>
      <w:pPr>
        <w:spacing w:before="120" w:after="80"/>
      </w:pPr>
      <w:r>
        <w:rPr>
          <w:rFonts w:ascii="Arial" w:hAnsi="Arial"/>
          <w:b/>
          <w:sz w:val="22"/>
        </w:rPr>
        <w:t>A. Full-text reports excluded after screening of bibliographic databases (n = 16)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75"/>
        <w:gridCol w:w="4675"/>
        <w:gridCol w:w="4675"/>
      </w:tblGrid>
      <w:tr>
        <w:trPr>
          <w:tblHeader w:val="true"/>
          <w:cantSplit/>
        </w:trPr>
        <w:tc>
          <w:tcPr>
            <w:tcW w:type="dxa" w:w="567"/>
            <w:vAlign w:val="center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No.</w:t>
            </w:r>
          </w:p>
        </w:tc>
        <w:tc>
          <w:tcPr>
            <w:tcW w:type="dxa" w:w="6803"/>
            <w:vAlign w:val="center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Report</w:t>
            </w:r>
          </w:p>
        </w:tc>
        <w:tc>
          <w:tcPr>
            <w:tcW w:type="dxa" w:w="7483"/>
            <w:vAlign w:val="center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Reason for exclusion / status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Venkatesan K, Kailasam V, Padmanabhan S, Vaiid N. Coefficient of efficiency and effectiveness of functional appliances in Class II malocclusion treatment: a systematic review. Journal of Orofacial Orthopedics. Online 2025 / print 2026.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Mixed population and intervention evidence, including data from skeletally mature/late-adolescent or otherwise ineligible groups, with eligible growing-patient data not reliably separable for the outcomes of interest.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Longlax Triana C, Jaimes Monroy G, Arias Gonzalez A, et al. Dentoalveolar changes after treatments with functional appliances such as extraoral traction and Bionator in Class II division 1 malocclusions: systematic review. Avances en Odontoestomatologia. 2025.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Population defined as Class II division 1 rather than skeletal Class II due to a growth-modifiable skeletal discrepancy; eligible skeletal Class II data were not clearly separable.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Ferreira et al., 2025. Conference/meeting abstract identified during the updated search.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Conference/meeting abstract only; no full systematic-review report with sufficient methodological and outcome information was available for eligibility assessment.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4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Kuhlman et al., 2025. Conference abstract/update identified during the updated search.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Conference abstract/update rather than an independent full systematic-review report; insufficient information for inclusion as a review-level unit of analysis.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5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Rajamanickam R, Srinivasan B, Venkatesan K, Kailasam V. Prognostic factors for successful functional appliance therapy in skeletal Class II malocclusion: a systematic review. International Journal of Orthodontic Rehabilitation. 2025.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Review question focused on prognostic/predictive factors for treatment success rather than synthesis of treatment-induced skeletal and dentoalveolar cephalometric effects.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6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Bahamid AA, AlHudaithi FS. Clinical success, patients' satisfaction and dentoalveolar changes after using Twin Block and Bionator appliances: systematic review. Archives of Pharmacy Practice. 2023;14(2):147-152.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Study identification and selection methods were insufficiently reproducible and internally inconsistent with the predefined methodological definition of an eligible systematic review.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7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Knosel M, Espinoza-Espinoza GE, Sandoval-Vidal P, Zaror C. Angle Class II correction: stepwise mandibular advancement or bite jumping? A systematic review and meta-analysis of skeletal, dental and condylar effects. Journal of Orofacial Orthopedics. 2020;81(4):286-300.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Included growing and skeletally mature/late-adolescent patients in analyses that could not be reliably separated according to the predefined population criterion.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8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Santana LG, Avelar K, Flores-Mir C, Marques LS. Incremental or maximal mandibular advancement in the treatment of Class II malocclusion through functional appliances: a systematic review with meta-analysis. Orthodontics &amp; Craniofacial Research. 2020;23(4):371-384.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Included skeletally mature/late-adolescent participants in non-separable analyses; eligible growing-patient data could not be isolated consistently.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9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Batista KBSL, Thiruvenkatachari B, Harrison JE, O'Brien KD. Orthodontic treatment for prominent upper front teeth (Class II malocclusion) in children and adolescents. Cochrane Database of Systematic Reviews. 2018;3:CD003452.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Population was defined primarily by prominent upper incisors/Class II malocclusion rather than skeletal Class II; the eligible skeletal functional-orthopedic subgroup was not consistently separable.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10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Bock NC, von Bremen J, Ruf S. Stability of Class II fixed functional appliance therapy: a systematic review and meta-analysis. European Journal of Orthodontics. 2016;38(2):129-139.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Included pediatric/growing and adult or skeletally mature patients, with relevant outcome data not reliably separable by growth status.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11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Sunnak R, Johal A, Fleming PS. Is orthodontics prior to 11 years of age evidence-based? A systematic review and meta-analysis. Journal of Dentistry. 2015;43(5):477-486.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Broad early-orthodontic review covering multiple malocclusions/interventions; skeletal Class II functional-appliance evidence did not constitute a sufficiently separable review-level synthesis for the predefined question.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12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Thiruvenkatachari B, Harrison JE, Worthington HV, O'Brien KD. Orthodontic treatment for prominent upper front teeth (Class II malocclusion) in children. Cochrane Database of Systematic Reviews. 2013;11:CD003452.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Earlier version of the Cochrane review and population not restricted to skeletal Class II; superseded by a later update and not retained as an independent review-level unit.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13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Poletti L, Monti B, Esposito L, Farronato G. Effectiveness of functional appliances in Class II malocclusion treatment. Part I. Mondo Ortodontico. 2012;37(5):142-151.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Literature review rather than a fully reproducible systematic review according to the predefined methodological definition (search strategy and selection process insufficiently reproducible).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14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Poletti L, Tripodi SM, Esposito L, Farronato G. Effectiveness of functional appliances in association with extraoral traction in Class II malocclusion treatment. Part II. Mondo Ortodontico. 2012;37(5):152-158.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Literature review rather than a fully reproducible systematic review according to the predefined methodological definition; also focused on combined functional appliance plus extraoral traction.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15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Pavoni C, Cozza P. Rational choice of functional/orthopaedic appliances for the correction of Class II malocclusion. Mondo Ortodontico. 2011;36(4):146-158.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Narrative/structured literature review without a sufficiently reproducible search and study-selection process to meet the predefined systematic-review definition.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16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Harrison JE, O'Brien KD, Worthington HV. Orthodontic treatment for prominent upper front teeth in children. Cochrane Database of Systematic Reviews. Earlier version/update preceding the 2013/2018 reports.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Earlier/superseded Cochrane report and population not restricted to skeletal Class II; not retained as an independent review-level unit.</w:t>
            </w:r>
          </w:p>
        </w:tc>
      </w:tr>
    </w:tbl>
    <w:p/>
    <w:p>
      <w:pPr>
        <w:spacing w:before="120" w:after="80"/>
      </w:pPr>
      <w:r>
        <w:rPr>
          <w:rFonts w:ascii="Arial" w:hAnsi="Arial"/>
          <w:b/>
          <w:sz w:val="22"/>
        </w:rPr>
        <w:t>B. Full-text reports excluded after supplementary Google Scholar screening (n = 3)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75"/>
        <w:gridCol w:w="4675"/>
        <w:gridCol w:w="4675"/>
      </w:tblGrid>
      <w:tr>
        <w:trPr>
          <w:tblHeader w:val="true"/>
          <w:cantSplit/>
        </w:trPr>
        <w:tc>
          <w:tcPr>
            <w:tcW w:type="dxa" w:w="567"/>
            <w:vAlign w:val="center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No.</w:t>
            </w:r>
          </w:p>
        </w:tc>
        <w:tc>
          <w:tcPr>
            <w:tcW w:type="dxa" w:w="6803"/>
            <w:vAlign w:val="center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Report</w:t>
            </w:r>
          </w:p>
        </w:tc>
        <w:tc>
          <w:tcPr>
            <w:tcW w:type="dxa" w:w="7483"/>
            <w:vAlign w:val="center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Reason for exclusion / status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Vaid NR, Doshi VM, Vandekar MJ. Class II treatment with functional appliances: a meta-analysis of short-term treatment effects. Seminars in Orthodontics. 2014;20(4):324-338.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Secondary re-analysis of primary studies derived from previously published systematic reviews; primary-study identification and selection were not independently conducted and did not meet the predefined methodological criteria for an eligible systematic review.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Patil PS, Agrawal J, Agrawal M, Nanjannawar L, Fulari S, Shetti S. Skeletal, dental and soft tissue effects of fixed functional appliances in Class II malocclusion: a systematic review and meta analysis. European Chemical Bulletin. 2023;12(S3):5282-5306.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Included postpubertal, late-adolescent and adult Class II patients, with adult data contributing to the quantitative synthesis and not reliably separable from growing-patient data.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3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Niu Y, Zhou H. Effect of functional appliances on mandibular growth in skeletal Class II malocclusion: a systematic review. West China Journal of Stomatology. 2011.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Available methodological information was insufficient to verify compliance with the predefined criteria for an eligible systematic review, particularly reproducibility of the search and study-selection process.</w:t>
            </w:r>
          </w:p>
        </w:tc>
      </w:tr>
    </w:tbl>
    <w:p/>
    <w:p>
      <w:pPr>
        <w:spacing w:before="120" w:after="80"/>
      </w:pPr>
      <w:r>
        <w:rPr>
          <w:rFonts w:ascii="Arial" w:hAnsi="Arial"/>
          <w:b/>
          <w:sz w:val="22"/>
        </w:rPr>
        <w:t>C. Reports sought for retrieval but not retrieved (n = 2)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675"/>
        <w:gridCol w:w="4675"/>
        <w:gridCol w:w="4675"/>
      </w:tblGrid>
      <w:tr>
        <w:trPr>
          <w:tblHeader w:val="true"/>
          <w:cantSplit/>
        </w:trPr>
        <w:tc>
          <w:tcPr>
            <w:tcW w:type="dxa" w:w="567"/>
            <w:vAlign w:val="center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No.</w:t>
            </w:r>
          </w:p>
        </w:tc>
        <w:tc>
          <w:tcPr>
            <w:tcW w:type="dxa" w:w="6803"/>
            <w:vAlign w:val="center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Report</w:t>
            </w:r>
          </w:p>
        </w:tc>
        <w:tc>
          <w:tcPr>
            <w:tcW w:type="dxa" w:w="7483"/>
            <w:vAlign w:val="center"/>
            <w:shd w:fill="D9EAF7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Reason for exclusion / status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1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Bertl MH, Mandl C, Crismani AG. Do functional orthodontic appliances stimulate mandibular growth in Class II division 1 patients? A systematic review of the literature. 2011.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Full report could not be retrieved after reasonable attempts.</w:t>
            </w:r>
          </w:p>
        </w:tc>
      </w:tr>
      <w:tr>
        <w:trPr>
          <w:cantSplit/>
        </w:trPr>
        <w:tc>
          <w:tcPr>
            <w:tcW w:type="dxa" w:w="567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8"/>
              </w:rPr>
              <w:t>2</w:t>
            </w:r>
          </w:p>
        </w:tc>
        <w:tc>
          <w:tcPr>
            <w:tcW w:type="dxa" w:w="680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Sonawane S, et al. Evaluation of treatment effects of fixed functional appliances in skeletal Class II growing patients through a systematic review and meta-analysis. 2026.</w:t>
            </w:r>
          </w:p>
        </w:tc>
        <w:tc>
          <w:tcPr>
            <w:tcW w:type="dxa" w:w="7483"/>
            <w:vAlign w:val="top"/>
            <w:tcMar>
              <w:top w:w="80" w:type="dxa"/>
              <w:start w:w="80" w:type="dxa"/>
              <w:bottom w:w="80" w:type="dxa"/>
              <w:end w:w="80" w:type="dxa"/>
            </w:tcMar>
          </w:tcPr>
          <w:p>
            <w:pPr>
              <w:jc w:val="left"/>
            </w:pPr>
            <w:r>
              <w:rPr>
                <w:rFonts w:ascii="Arial" w:hAnsi="Arial"/>
                <w:sz w:val="18"/>
              </w:rPr>
              <w:t>Full report could not be retrieved after reasonable attempts.</w:t>
            </w:r>
          </w:p>
        </w:tc>
      </w:tr>
    </w:tbl>
    <w:p>
      <w:pPr>
        <w:spacing w:before="140" w:after="0"/>
      </w:pPr>
      <w:r>
        <w:rPr>
          <w:b/>
        </w:rPr>
        <w:t xml:space="preserve">Note. </w:t>
      </w:r>
      <w:r>
        <w:t>The two reports in Section C are not counted among full-text exclusions. They should be represented in the PRISMA 2020 flow diagram under “Reports not retrieved”.</w:t>
      </w:r>
    </w:p>
    <w:sectPr w:rsidR="00FC693F" w:rsidRPr="0006063C" w:rsidSect="00034616">
      <w:footerReference w:type="default" r:id="rId9"/>
      <w:pgSz w:w="15840" w:h="12240" w:orient="landscape"/>
      <w:pgMar w:top="907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