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6"/>
        </w:rPr>
        <w:t>Supplementary Material 4</w:t>
      </w:r>
    </w:p>
    <w:p>
      <w:pPr>
        <w:jc w:val="center"/>
      </w:pPr>
      <w:r>
        <w:rPr>
          <w:rFonts w:ascii="Arial" w:hAnsi="Arial"/>
          <w:b/>
          <w:sz w:val="22"/>
        </w:rPr>
        <w:t>ROBIS risk-of-bias assessment of the included systematic reviews</w:t>
      </w:r>
    </w:p>
    <w:p>
      <w:pPr>
        <w:spacing w:after="80"/>
      </w:pPr>
      <w:r>
        <w:rPr>
          <w:b/>
        </w:rPr>
        <w:t xml:space="preserve">Assessment framework. </w:t>
      </w:r>
      <w:r>
        <w:t>ROBIS was applied at the systematic-review level. Phase 1 (relevance) was not formally undertaken because all included reviews addressed the overview question. Phase 2 domains were: D1, study eligibility criteria; D2, identification and selection of studies; D3, data collection and study appraisal; and D4, synthesis and findings. Domain-level judgments informed the Phase 3 overall risk-of-bias judgment. Primary-study risk-of-bias assessments were not repeated de novo; the methods and judgments reported by each review were considered particularly in D3 and, where relevant, D4.</w:t>
      </w:r>
    </w:p>
    <w:p>
      <w:pPr>
        <w:spacing w:after="120"/>
      </w:pPr>
      <w:r>
        <w:rPr>
          <w:b/>
        </w:rPr>
        <w:t xml:space="preserve">Overall judgments: </w:t>
      </w:r>
      <w:r>
        <w:t>Low risk, 13/38; Unclear risk, 15/38; High risk, 10/38. Judgments were reassessed after the final eligibility update and were not carried forward automatically from earlier versions of the overview.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605"/>
            <w:vAlign w:val="center"/>
            <w:shd w:fill="D9E1F2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ID</w:t>
            </w:r>
          </w:p>
        </w:tc>
        <w:tc>
          <w:tcPr>
            <w:tcW w:type="dxa" w:w="1944"/>
            <w:vAlign w:val="center"/>
            <w:shd w:fill="D9E1F2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Systematic review</w:t>
            </w:r>
          </w:p>
        </w:tc>
        <w:tc>
          <w:tcPr>
            <w:tcW w:type="dxa" w:w="3096"/>
            <w:vAlign w:val="center"/>
            <w:shd w:fill="D9E1F2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D1: Eligibility criteria</w:t>
            </w:r>
          </w:p>
        </w:tc>
        <w:tc>
          <w:tcPr>
            <w:tcW w:type="dxa" w:w="3096"/>
            <w:vAlign w:val="center"/>
            <w:shd w:fill="D9E1F2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D2: Identification &amp; selection</w:t>
            </w:r>
          </w:p>
        </w:tc>
        <w:tc>
          <w:tcPr>
            <w:tcW w:type="dxa" w:w="3096"/>
            <w:vAlign w:val="center"/>
            <w:shd w:fill="D9E1F2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D3: Data collection &amp; appraisal</w:t>
            </w:r>
          </w:p>
        </w:tc>
        <w:tc>
          <w:tcPr>
            <w:tcW w:type="dxa" w:w="3096"/>
            <w:vAlign w:val="center"/>
            <w:shd w:fill="D9E1F2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D4: Synthesis &amp; findings</w:t>
            </w:r>
          </w:p>
        </w:tc>
        <w:tc>
          <w:tcPr>
            <w:tcW w:type="dxa" w:w="1008"/>
            <w:vAlign w:val="center"/>
            <w:shd w:fill="D9E1F2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Overall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R01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Chen et al., 2002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Review question and eligibility criteria for functional-appliance effects were defined.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Database searching was reported, but search completeness and supplementary/grey-literature methods were insufficiently documented.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A formal primary-study risk-of-bias appraisal was not reported; methodological quality was therefore insufficiently assessed.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Conclusions were based on a small, heterogeneous evidence base and the handling of study limitations was incompletely reported.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R02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Antonarakis &amp; Kiliaridis, 2007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criteria and targeted Class II treatment question were sufficiently 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Multiple sources were searched, but reporting of grey literature, registries, and full selection procedures was incomplete.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Primary-study risk of bias/quality appraisal was not clearly reported, limiting assessment of the credibility of included evidence.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Synthesis was broadly aligned with the evidence, but limitations of the underlying studies were not consistently integrated into interpretation.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R03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Marsico et al., 2011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Population, intervention, comparator, and cephalometric outcomes were 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Multiple databases, Google Scholar, hand-searching and no language restriction were reported, with structured study selection.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Study quality was assessed, but the appraisal approach was older/custom rather than a contemporary domain-based risk-of-bias tool.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Quantitative synthesis and sensitivity analyses were reported and conclusions were generally proportionate to the evidence.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R04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Nucera et al., 2016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Explicit eligibility criteria were prespecified for short-term maxillary effects.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Broad multi-database search and reference checking were reported with duplicate selection procedures.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Study appraisal was conducted independently with an established risk-of-bias approach appropriate to the included designs.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Random-effects synthesis and heterogeneity assessment were appropriate and conclusions reflected the reported evidence.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R05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Santamaria-Villegas et al., 2017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was clearly restricted to growing Class II patients and removable functional appliances.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Several databases were searched, but supplementary/grey-literature coverage and search completeness were not fully documented.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Independent extraction and primary-study risk-of-bias assessment were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Synthesis and interpretation were generally consistent with the included evidence and its limitations.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R06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Perinetti et al., 2015 (removable)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criteria, growth stage and removable functional-appliance comparisons were clearly defined.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Broad search methods and structured study selection were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Data extraction and appraisal procedures were explicit and used established tools for different study designs.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Meta-analytic methods, heterogeneity, sensitivity analyses, reporting bias and certainty were handled transparently.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R07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Koretsi et al., 2015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Detailed PICOS eligibility criteria were defined a priori.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Extensive database, grey-literature, register and manual searches were undertaken; authors were contacted where needed.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Duplicate extraction and established appraisal tools were used for randomized and non-randomized evidence.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Random-effects, subgroup/sensitivity analyses, reporting-bias assessment and GRADE were transparently reported.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R08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Ehsani et al., 2015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Population, intervention and short-term outcome eligibility were clearly stated.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Search methods were reasonably broad, but protocol/supplementary-search reporting was less complete than in later reviews.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Study quality was assessed, but the modified scoring approach provides less robust domain-level risk-of-bias information.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Synthesis methods were appropriate to the available evidence and conclusions were generally cautious.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R09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Perillo et al., 2011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The review question and eligibility for Frankel-related mandibular outcomes were identifiable.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Search and selection methods were reported but incompletely documented by current standards.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Primary-study risk-of-bias appraisal was not clearly reported and heterogeneous designs were combined without a sufficiently transparent bias framework.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Interpretation acknowledged some limitations, but the influence of study quality on pooled conclusions was insufficiently integrated.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R10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Xie et al., 2021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criteria for activator treatment and skeletal Class II outcomes were 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Multiple sources were searched, but completeness of supplementary searching and selection reporting remained uncertain.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Primary-study risk of bias was assessed with established methods and extraction procedures were described.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Quantitative synthesis and heterogeneity were addressed and conclusions were broadly consistent with the results.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R11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Flores-Mir et al., 2007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criteria for splint-type Herbst skeletal/dental outcomes were defined.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Search methods were reported, but grey-literature/registry coverage and current-standard selection detail were limited.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A formal, clearly reproducible primary-study risk-of-bias appraisal was not adequately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Narrative synthesis was coherent, but the methodological limitations of the included studies were not systematically incorporated.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R12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Barnett et al., 2008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criteria for crown/banded Herbst effects were sufficiently identifiable.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Study identification methods were reported but were limited in breadth and detail by current standards.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Primary-study risk-of-bias appraisal was not clearly reported; methodological limitations of the included evidence were therefore insufficiently characterized.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Findings were summarized coherently, but interpretation could not be firmly anchored to a structured bias assessment.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R13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Linjawi &amp; Abbassy, 2018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criteria for Forsus treatment effects were clearly stated.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Multiple databases and manual searches were used, but date/search restrictions and incomplete grey-literature reporting may have limited comprehensiveness.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A modified methodological score was used rather than a fully validated design-specific domain-based risk-of-bias tool.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Meta-analysis was reported, but limitations from mixed study designs and methodological quality were not consistently incorporated into conclusions.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R14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Ishaq et al., 2016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Growing Class II population, FFA plus multibracket intervention, comparator and skeletal outcomes were prespecified.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PubMed, Cochrane, Embase, Web of Science, manual and grey-literature searches were reported within a registered protocol.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Independent selection/extraction and formal appraisal of included studies were undertaken.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Synthesis was appropriate to the available evidence and methodological limitations were considered in interpretation.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R15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Zymperdikas et al., 2016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criteria were detailed and aligned with the review question.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Very broad database searching plus additional sources was reported with a transparent PRISMA flow.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Primary-study risk of bias was formally assessed and incorporated into analyses.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Random-effects modelling, subgroup/meta-regression and sensitivity analyses were used where appropriate.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R16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Al-Jewair, 2015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criteria for MARA-related mandibular dimensional outcomes were 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Database searching was reported, but supplementary/grey-literature coverage and search reproducibility were not fully documented.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Included studies underwent a structured methodological appraisal.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Meta-analytic methods were generally appropriate and conclusions were proportionate to the limited evidence base.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R17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Perinetti et al., 2015 (fixed)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Fixed functional-appliance eligibility, comparators and outcomes were clearly prespecified.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Broad literature searching and structured study selection were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Data extraction and design-appropriate quality/risk-of-bias appraisal were explicit.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Quantitative synthesis, heterogeneity and study-design limitations were handled transparently.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R18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Yang et al., 2016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RCT/CCT eligibility and Herbst cephalometric outcomes were clearly prespecified.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PubMed, Web of Science, Embase, CENTRAL, SIGLE and ClinicalTrials.gov were searched with no reliance on a single source.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Screening, extraction, risk-of-bias appraisal and GRADE were performed independently.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Sensitivity/subgroup analyses were used to evaluate robustness and interpretation was linked to certainty.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R19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Cozza et al., 2006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The review question and criteria for mandibular changes with functional appliances were clearly framed.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The search was systematic but supplementary/grey-literature and protocol reporting were limited by current standards.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Study quality was considered, but the appraisal framework was not as explicit or domain-based as contemporary risk-of-bias tools.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Synthesis was structured and conclusions were generally consistent with the evidence and reported limitations.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R20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Pacha et al., 2016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and the fixed-versus-removable comparison were prespecified in a registered protocol.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Broad unrestricted search and duplicate study selection were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Formal risk-of-bias appraisal was undertaken and incorporated into evidence selection/interpretation.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Quantitative synthesis was restricted to sufficiently compatible evidence and conclusions were cautious where pooling was not justified.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R21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Cacciatore et al., 2019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criteria for long-term treated versus untreated Class II evidence were explicit.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Extensive bibliographic, non-bibliographic, unpublished and manual searching was reported without language/status restriction.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Dual screening/extraction and formal risk-of-bias appraisal were conducted; authors were contacted for missing information.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Synthesis, heterogeneity, risk of bias and GRADE were integrated into the interpretation.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R22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Xu et al., 2024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Twin Block versus Herbst eligibility and relevant outcomes were clearly defined.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Multiple English and Chinese databases were searched, but language restrictions and some reporting inconsistencies leave uncertainty about completeness.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Modified Jadad/NOS-type quality assessment was used; adequacy across mixed designs and some reporting details were uncertain.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Fixed/random-effects synthesis was reported, but high heterogeneity and limitations of the underlying designs constrain confidence in comparative conclusions.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R23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Chen et al., 2020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Stepwise versus single-step advancement eligibility and outcomes were prespecified.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PubMed, Embase, CENTRAL, Web of Science and grey-literature searching were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Risk-of-bias appraisal was performed for randomized and non-randomized evidence.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Meta-analysis, heterogeneity and robustness analyses were reported and conclusions were suitably qualified.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R24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Siva et al., 2021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Basic eligibility criteria were provided, but no registered protocol and some criteria were broad or insufficiently 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Search coverage and reporting were limited, and independent duplicate screening could not be verified.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Quality appraisal relied on older/checklist approaches and reporting of extraction and appraisal procedures was incomplete.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Synthesis was mainly narrative with ad hoc calculations and limited structured handling of heterogeneity and reporting bias.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R25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Li &amp; Meng, 2025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Eligibility criteria were internally inconsistent: methods indicated RCT-only eligibility while included-study characteristics contained retrospective designs.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Database coverage was limited and the search relied heavily on Google Scholar, increasing risk of missed eligible evidence.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Independent assessment was suggested, but the risk-of-bias approach was non-standard and not clearly aligned with all included designs.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Random-effects synthesis was reported, but small samples and limited power reduce robustness and were not fully reflected in conclusions.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R26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Kumar et al., 2023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Protocol registration and explicit eligibility criteria were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Multiple databases were searched, but restriction to English-language studies could introduce selection bias.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Screening/extraction by two reviewers and ROBINS-I assessment were reported with dispute resolution.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Some planned robustness/certainty analyses were not performed, limiting confidence in the synthesis.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R27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Jeha &amp; Haddad, 2024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Eligibility for growing Class II patients and Forsus versus Twin Block comparisons was 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Multiple databases, registries and grey-literature sources were searched, but some search/selection reporting remained incomplete or internally inconsistent.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Design-appropriate risk-of-bias appraisal and structured data extraction were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Substantial heterogeneity and limited numbers of studies constrain the robustness of comparative conclusions.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R28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Matthaios et al., 2022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Protocol and eligibility criteria were clearly defined.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Broad multi-database search, unpublished literature and reference checking were reported without language restriction.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Duplicate extraction and RoB 2/ROBINS-I were used with consensus procedures; GRADE was also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Random-effects synthesis and subgroup/sensitivity analyses were used appropriately and reporting limitations were transparent.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R29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Almrayati et al., 2026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Growing skeletal Class II population, functional-appliance interventions, controlled designs and cephalometric outcomes were prespecified.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A comprehensive search across eight electronic databases was reported and the protocol was prospectively registered.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Study selection, extraction and design-appropriate Cochrane risk-of-bias assessments were conducted independently.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Results were synthesized with explicit consideration of heterogeneity and certainty using GRADE; conclusions were appropriately qualified.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R30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Singh et al., 2026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The comparison of Twin Block and Forsus in Class II treatment was clearly defined with explicit eligibility criteria.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Multiple major databases and supplementary screening were reported without language restriction.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Study selection and design-appropriate risk-of-bias assessment (RoB 2/ROBINS-I) were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Evidence was predominantly non-randomized and several outcomes were synthesized descriptively; the strength of some appliance-specific conclusions remains uncertain.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R31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Coronel-Zubiate et al., 2026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RCT eligibility for Herbst versus Twin Block in growing patients was clearly prespecified.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Multiple major databases and additional sources were searched with no language/date restriction.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RoB 2 was used for included trials and evidence certainty was evaluated with GRADE.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Random-effects synthesis was appropriate and interpretation reflected the controlled evidence and certainty assessment.</w:t>
            </w:r>
          </w:p>
        </w:tc>
        <w:tc>
          <w:tcPr>
            <w:tcW w:type="dxa" w:w="1008"/>
            <w:vAlign w:val="top"/>
            <w:shd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R32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Varghese et al., 2023 (PowerScope)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The treatment question, population and PowerScope comparisons were explicitly defined.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Extensive searching was reported, but English/published-study restrictions introduce possible selection bias.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Different appraisal methods were used for randomized and non-randomized studies and study selection was structured.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Quantitative and narrative conclusions were based on a small heterogeneous evidence base with limited power for some comparisons.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R33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Mani et al., 2025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Review question, PICOS criteria and eligible randomized/non-randomized comparative designs were prespecified in a PROSPERO-registered protocol.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Four electronic resources were searched; the full-text availability criterion and relatively narrow source coverage may have excluded relevant evidence.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ROBINS-I was explicitly described for non-randomized studies and RCT risk-of-bias results were presented, but the RCT appraisal method was insufficiently specified in the methods.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Meta-analysis and heterogeneity procedures were described and conclusions were generally consistent with the pooled results.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R34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Goonetilleke et al., 2023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Eligibility and included design/population characteristics were heterogeneous and not consistently aligned with a focused causal treatment question.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Search restrictions and limited source coverage increase the risk that relevant studies were missed.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Methodological appraisal was reported, but adequacy across the heterogeneous included designs was uncertain.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Treatment-effect conclusions were drawn from heterogeneous, partly uncontrolled evidence and analyses that could not adequately address confounding.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R35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Bondemark et al., 2019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A prespecified PICO question and controlled-trial eligibility criteria were clearly defined.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Four databases were searched with librarian support and references hand-searched, but registry/grey-literature searching was not comprehensively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Three reviewers extracted data and applied predefined study-quality criteria, but the custom quality framework was not a contemporary domain-based risk-of-bias tool.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Low-quality studies were excluded from evidence grading and GRADE was used; conclusions were appropriately tied to evidence strength.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R36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Chavan et al., 2025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PROSPERO registration and explicit eligibility criteria for skeletal Class II, Twin Block/fixed appliances and lower-incisor outcomes were reported.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PubMed, CENTRAL and Google Scholar plus ClinicalTrials.gov/reference lists were searched, but database coverage and the 2000-2023 time restriction may reduce completeness.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Dual screening and predefined extraction were reported; ROBINS-I was used for the predominantly non-randomized evidence.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The synthesis was narrative and based on only six mostly retrospective studies; strong comparative wording requires caution.</w:t>
            </w:r>
          </w:p>
        </w:tc>
        <w:tc>
          <w:tcPr>
            <w:tcW w:type="dxa" w:w="1008"/>
            <w:vAlign w:val="top"/>
            <w:shd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R37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Lodd et al., 2024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The review question and eligibility criteria for AdvanSync/Class II evidence were specified and the protocol was registered.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Multiple databases were searched and dual screening was reported, but search completeness and use of supplementary sources were not fully convincing.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ROBINS-I was reported but only a subset of its domains was applied, constituting an incomplete risk-of-bias appraisal.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Narrative interpretation acknowledged limitations, but the incomplete bias assessment reduces confidence in conclusions.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05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R38</w:t>
            </w:r>
          </w:p>
        </w:tc>
        <w:tc>
          <w:tcPr>
            <w:tcW w:type="dxa" w:w="1944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b/>
                <w:sz w:val="13"/>
              </w:rPr>
              <w:t>Mangwade et al., 2022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The comparative review question was not consistently matched by eligibility, which allowed uncontrolled case-report/case-series evidence.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Unclear - Several databases, hand-searching and grey literature were reported, but restrictions and heterogeneous retrieval methods leave some uncertainty.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Low - Study appraisal used design-specific tools (NOS and Cochrane risk-of-bias approaches) and extraction procedures were described.</w:t>
            </w:r>
          </w:p>
        </w:tc>
        <w:tc>
          <w:tcPr>
            <w:tcW w:type="dxa" w:w="3096"/>
            <w:vAlign w:val="top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</w:pPr>
            <w:r>
              <w:rPr>
                <w:rFonts w:ascii="Arial" w:hAnsi="Arial"/>
                <w:sz w:val="13"/>
              </w:rPr>
              <w:t>High - Conclusions comparing magnetic and non-magnetic appliances relied on indirect, heterogeneous and partly uncontrolled evidence without a valid comparative meta-analysis.</w:t>
            </w:r>
          </w:p>
        </w:tc>
        <w:tc>
          <w:tcPr>
            <w:tcW w:type="dxa" w:w="1008"/>
            <w:vAlign w:val="top"/>
            <w:shd w:fill="F4CCCC"/>
            <w:tcMar>
              <w:top w:w="40" w:type="dxa"/>
              <w:left w:w="45" w:type="dxa"/>
              <w:bottom w:w="40" w:type="dxa"/>
              <w:right w:w="45" w:type="dxa"/>
            </w:tcMar>
          </w:tcPr>
          <w:p>
            <w:pPr>
              <w:spacing w:after="0" w:line="221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</w:tbl>
    <w:p>
      <w:pPr>
        <w:spacing w:before="100" w:after="0"/>
      </w:pPr>
      <w:r>
        <w:rPr>
          <w:b/>
        </w:rPr>
        <w:t xml:space="preserve">Note. </w:t>
      </w:r>
      <w:r>
        <w:t>Low, Unclear, and High refer to ROBIS risk-of-bias judgments at the review level, not to the risk of bias of the primary studies themselves. An Unclear judgment was used when reporting was insufficient to support a confident Low or High judgment. A High overall judgment was assigned when important concerns in one or more domains were judged likely to compromise the reliability of the review findings.</w:t>
      </w:r>
    </w:p>
    <w:sectPr w:rsidR="00FC693F" w:rsidRPr="0006063C" w:rsidSect="00034616">
      <w:footerReference w:type="default" r:id="rId9"/>
      <w:headerReference w:type="default" r:id="rId10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Supplementary Material 4 - ROBIS assessment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