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Supplementary Material 3</w:t>
        <w:br/>
        <w:t>Citation matrix and primary-study overlap</w:t>
      </w:r>
    </w:p>
    <w:p>
      <w:r>
        <w:rPr>
          <w:b/>
        </w:rPr>
        <w:t xml:space="preserve">Purpose. </w:t>
      </w:r>
      <w:r>
        <w:t>This supplementary material documents the citation-matrix procedure used to quantify overlap of primary evidence across the included systematic reviews. The accompanying spreadsheet contains the complete binary citation matrix.</w:t>
      </w:r>
    </w:p>
    <w:p>
      <w:pPr>
        <w:pStyle w:val="Heading1"/>
      </w:pPr>
      <w:r>
        <w:t>Construction of the citation matrix</w:t>
      </w:r>
    </w:p>
    <w:p>
      <w:r>
        <w:t>Systematic reviews constituted the columns of the matrix and unique primary-study families constituted the rows. For each included review, primary reports contributing to eligible conventional functional-appliance skeletal or dentoalveolar evidence were extracted. Multiple publications arising from the same underlying trial, cohort, or study population were collapsed into a single primary-study family when the relationship could be established. When a relationship could not be established with sufficient confidence, reports were conservatively retained as separate families.</w:t>
      </w:r>
    </w:p>
    <w:p>
      <w:r>
        <w:t>When an included review also contained clearly separable ineligible evidence (for example TAD-supported devices, clear aligners, airway-only or soft-tissue-only reports, non-human studies, or other outcomes/interventions outside the predefined eligibility criteria), those reports were not entered into the citation matrix. The audit trail in the accompanying spreadsheet records these decisions.</w:t>
      </w:r>
    </w:p>
    <w:p>
      <w:pPr>
        <w:pStyle w:val="Heading1"/>
      </w:pPr>
      <w:r>
        <w:t>Corrected Covered Area (CCA)</w:t>
      </w:r>
    </w:p>
    <w:p>
      <w:r>
        <w:rPr>
          <w:b/>
        </w:rPr>
        <w:t xml:space="preserve">CCA was calculated as: </w:t>
      </w:r>
      <w:r>
        <w:t>CCA = (N − r) / [(r × c) − r] × 100, where N is the total number of primary-study-family occurrences across reviews, r is the number of unique primary-study families, and c is the number of included systematic reviews.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sz w:val="17"/>
              </w:rPr>
              <w:t>Parameter</w:t>
            </w:r>
          </w:p>
        </w:tc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sz w:val="17"/>
              </w:rPr>
              <w:t>Value</w:t>
            </w:r>
          </w:p>
        </w:tc>
        <w:tc>
          <w:tcPr>
            <w:tcW w:type="dxa" w:w="3408"/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sz w:val="17"/>
              </w:rPr>
              <w:t>Interpretation</w:t>
            </w:r>
          </w:p>
        </w:tc>
      </w:tr>
      <w:tr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7"/>
              </w:rPr>
              <w:t>Included systematic reviews (c)</w:t>
            </w:r>
          </w:p>
        </w:tc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7"/>
              </w:rPr>
              <w:t>38</w:t>
            </w:r>
          </w:p>
        </w:tc>
        <w:tc>
          <w:tcPr>
            <w:tcW w:type="dxa" w:w="3408"/>
            <w:vAlign w:val="center"/>
          </w:tcPr>
          <w:p>
            <w:pPr>
              <w:jc w:val="left"/>
            </w:pPr>
            <w:r>
              <w:rPr>
                <w:rFonts w:ascii="Arial" w:hAnsi="Arial"/>
                <w:b w:val="0"/>
                <w:sz w:val="17"/>
              </w:rPr>
              <w:t>Review-level units included in the final analytic sample</w:t>
            </w:r>
          </w:p>
        </w:tc>
      </w:tr>
      <w:tr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7"/>
              </w:rPr>
              <w:t>Primary-study-family occurrences (N)</w:t>
            </w:r>
          </w:p>
        </w:tc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7"/>
              </w:rPr>
              <w:t>294</w:t>
            </w:r>
          </w:p>
        </w:tc>
        <w:tc>
          <w:tcPr>
            <w:tcW w:type="dxa" w:w="3408"/>
            <w:vAlign w:val="center"/>
          </w:tcPr>
          <w:p>
            <w:pPr>
              <w:jc w:val="left"/>
            </w:pPr>
            <w:r>
              <w:rPr>
                <w:rFonts w:ascii="Arial" w:hAnsi="Arial"/>
                <w:b w:val="0"/>
                <w:sz w:val="17"/>
              </w:rPr>
              <w:t>Total eligible family occurrences across the 38 reviews</w:t>
            </w:r>
          </w:p>
        </w:tc>
      </w:tr>
      <w:tr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7"/>
              </w:rPr>
              <w:t>Unique primary-study families (r)</w:t>
            </w:r>
          </w:p>
        </w:tc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7"/>
              </w:rPr>
              <w:t>161</w:t>
            </w:r>
          </w:p>
        </w:tc>
        <w:tc>
          <w:tcPr>
            <w:tcW w:type="dxa" w:w="3408"/>
            <w:vAlign w:val="center"/>
          </w:tcPr>
          <w:p>
            <w:pPr>
              <w:jc w:val="left"/>
            </w:pPr>
            <w:r>
              <w:rPr>
                <w:rFonts w:ascii="Arial" w:hAnsi="Arial"/>
                <w:b w:val="0"/>
                <w:sz w:val="17"/>
              </w:rPr>
              <w:t>Distinct underlying trial/cohort families</w:t>
            </w:r>
          </w:p>
        </w:tc>
      </w:tr>
      <w:tr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7"/>
              </w:rPr>
              <w:t>CCA</w:t>
            </w:r>
          </w:p>
        </w:tc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7"/>
              </w:rPr>
              <w:t>2.23%</w:t>
            </w:r>
          </w:p>
        </w:tc>
        <w:tc>
          <w:tcPr>
            <w:tcW w:type="dxa" w:w="3408"/>
            <w:vAlign w:val="center"/>
          </w:tcPr>
          <w:p>
            <w:pPr>
              <w:jc w:val="left"/>
            </w:pPr>
            <w:r>
              <w:rPr>
                <w:rFonts w:ascii="Arial" w:hAnsi="Arial"/>
                <w:b w:val="0"/>
                <w:sz w:val="17"/>
              </w:rPr>
              <w:t>Slight/low global overlap (0–5%)</w:t>
            </w:r>
          </w:p>
        </w:tc>
      </w:tr>
    </w:tbl>
    <w:p>
      <w:r>
        <w:rPr>
          <w:b/>
        </w:rPr>
        <w:t xml:space="preserve">Interpretation. </w:t>
      </w:r>
      <w:r>
        <w:t>The global CCA of 2.23% indicates slight overlap overall. However, overlap was concentrated in several recurrent trial families. Therefore, review-level estimates were considered potentially dependent despite the low global CCA, and no second-order statistical pooling of review-level estimates was performed.</w:t>
      </w:r>
    </w:p>
    <w:p>
      <w:pPr>
        <w:pStyle w:val="Heading1"/>
      </w:pPr>
      <w:r>
        <w:t>Review-level family counts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sz w:val="16"/>
              </w:rPr>
              <w:t>ID</w:t>
            </w:r>
          </w:p>
        </w:tc>
        <w:tc>
          <w:tcPr>
            <w:tcW w:type="dxa" w:w="3408"/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sz w:val="16"/>
              </w:rPr>
              <w:t>Included systematic review</w:t>
            </w:r>
          </w:p>
        </w:tc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sz w:val="16"/>
              </w:rPr>
              <w:t>Eligible primary-study families</w:t>
            </w:r>
          </w:p>
        </w:tc>
      </w:tr>
      <w:tr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R01</w:t>
            </w:r>
          </w:p>
        </w:tc>
        <w:tc>
          <w:tcPr>
            <w:tcW w:type="dxa" w:w="3408"/>
            <w:vAlign w:val="center"/>
          </w:tcPr>
          <w:p>
            <w:pPr>
              <w:jc w:val="left"/>
            </w:pPr>
            <w:r>
              <w:rPr>
                <w:rFonts w:ascii="Arial" w:hAnsi="Arial"/>
                <w:b w:val="0"/>
                <w:sz w:val="16"/>
              </w:rPr>
              <w:t>Chen et al., 2002</w:t>
            </w:r>
          </w:p>
        </w:tc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5</w:t>
            </w:r>
          </w:p>
        </w:tc>
      </w:tr>
      <w:tr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R02</w:t>
            </w:r>
          </w:p>
        </w:tc>
        <w:tc>
          <w:tcPr>
            <w:tcW w:type="dxa" w:w="3408"/>
            <w:vAlign w:val="center"/>
          </w:tcPr>
          <w:p>
            <w:pPr>
              <w:jc w:val="left"/>
            </w:pPr>
            <w:r>
              <w:rPr>
                <w:rFonts w:ascii="Arial" w:hAnsi="Arial"/>
                <w:b w:val="0"/>
                <w:sz w:val="16"/>
              </w:rPr>
              <w:t>Antonarakis &amp; Kiliaridis, 2007</w:t>
            </w:r>
          </w:p>
        </w:tc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7</w:t>
            </w:r>
          </w:p>
        </w:tc>
      </w:tr>
      <w:tr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R03</w:t>
            </w:r>
          </w:p>
        </w:tc>
        <w:tc>
          <w:tcPr>
            <w:tcW w:type="dxa" w:w="3408"/>
            <w:vAlign w:val="center"/>
          </w:tcPr>
          <w:p>
            <w:pPr>
              <w:jc w:val="left"/>
            </w:pPr>
            <w:r>
              <w:rPr>
                <w:rFonts w:ascii="Arial" w:hAnsi="Arial"/>
                <w:b w:val="0"/>
                <w:sz w:val="16"/>
              </w:rPr>
              <w:t>Marsico et al., 2011</w:t>
            </w:r>
          </w:p>
        </w:tc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4</w:t>
            </w:r>
          </w:p>
        </w:tc>
      </w:tr>
      <w:tr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R04</w:t>
            </w:r>
          </w:p>
        </w:tc>
        <w:tc>
          <w:tcPr>
            <w:tcW w:type="dxa" w:w="3408"/>
            <w:vAlign w:val="center"/>
          </w:tcPr>
          <w:p>
            <w:pPr>
              <w:jc w:val="left"/>
            </w:pPr>
            <w:r>
              <w:rPr>
                <w:rFonts w:ascii="Arial" w:hAnsi="Arial"/>
                <w:b w:val="0"/>
                <w:sz w:val="16"/>
              </w:rPr>
              <w:t>Nucera et al., 2016</w:t>
            </w:r>
          </w:p>
        </w:tc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14</w:t>
            </w:r>
          </w:p>
        </w:tc>
      </w:tr>
      <w:tr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R05</w:t>
            </w:r>
          </w:p>
        </w:tc>
        <w:tc>
          <w:tcPr>
            <w:tcW w:type="dxa" w:w="3408"/>
            <w:vAlign w:val="center"/>
          </w:tcPr>
          <w:p>
            <w:pPr>
              <w:jc w:val="left"/>
            </w:pPr>
            <w:r>
              <w:rPr>
                <w:rFonts w:ascii="Arial" w:hAnsi="Arial"/>
                <w:b w:val="0"/>
                <w:sz w:val="16"/>
              </w:rPr>
              <w:t>Santamaría-Villegas et al., 2017</w:t>
            </w:r>
          </w:p>
        </w:tc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5</w:t>
            </w:r>
          </w:p>
        </w:tc>
      </w:tr>
      <w:tr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R06</w:t>
            </w:r>
          </w:p>
        </w:tc>
        <w:tc>
          <w:tcPr>
            <w:tcW w:type="dxa" w:w="3408"/>
            <w:vAlign w:val="center"/>
          </w:tcPr>
          <w:p>
            <w:pPr>
              <w:jc w:val="left"/>
            </w:pPr>
            <w:r>
              <w:rPr>
                <w:rFonts w:ascii="Arial" w:hAnsi="Arial"/>
                <w:b w:val="0"/>
                <w:sz w:val="16"/>
              </w:rPr>
              <w:t>Perinetti et al., 2015 (removable)</w:t>
            </w:r>
          </w:p>
        </w:tc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11</w:t>
            </w:r>
          </w:p>
        </w:tc>
      </w:tr>
      <w:tr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R07</w:t>
            </w:r>
          </w:p>
        </w:tc>
        <w:tc>
          <w:tcPr>
            <w:tcW w:type="dxa" w:w="3408"/>
            <w:vAlign w:val="center"/>
          </w:tcPr>
          <w:p>
            <w:pPr>
              <w:jc w:val="left"/>
            </w:pPr>
            <w:r>
              <w:rPr>
                <w:rFonts w:ascii="Arial" w:hAnsi="Arial"/>
                <w:b w:val="0"/>
                <w:sz w:val="16"/>
              </w:rPr>
              <w:t>Koretsi et al., 2015</w:t>
            </w:r>
          </w:p>
        </w:tc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17</w:t>
            </w:r>
          </w:p>
        </w:tc>
      </w:tr>
      <w:tr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R08</w:t>
            </w:r>
          </w:p>
        </w:tc>
        <w:tc>
          <w:tcPr>
            <w:tcW w:type="dxa" w:w="3408"/>
            <w:vAlign w:val="center"/>
          </w:tcPr>
          <w:p>
            <w:pPr>
              <w:jc w:val="left"/>
            </w:pPr>
            <w:r>
              <w:rPr>
                <w:rFonts w:ascii="Arial" w:hAnsi="Arial"/>
                <w:b w:val="0"/>
                <w:sz w:val="16"/>
              </w:rPr>
              <w:t>Ehsani et al., 2015</w:t>
            </w:r>
          </w:p>
        </w:tc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9</w:t>
            </w:r>
          </w:p>
        </w:tc>
      </w:tr>
      <w:tr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R09</w:t>
            </w:r>
          </w:p>
        </w:tc>
        <w:tc>
          <w:tcPr>
            <w:tcW w:type="dxa" w:w="3408"/>
            <w:vAlign w:val="center"/>
          </w:tcPr>
          <w:p>
            <w:pPr>
              <w:jc w:val="left"/>
            </w:pPr>
            <w:r>
              <w:rPr>
                <w:rFonts w:ascii="Arial" w:hAnsi="Arial"/>
                <w:b w:val="0"/>
                <w:sz w:val="16"/>
              </w:rPr>
              <w:t>Perillo et al., 2011</w:t>
            </w:r>
          </w:p>
        </w:tc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9</w:t>
            </w:r>
          </w:p>
        </w:tc>
      </w:tr>
      <w:tr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R10</w:t>
            </w:r>
          </w:p>
        </w:tc>
        <w:tc>
          <w:tcPr>
            <w:tcW w:type="dxa" w:w="3408"/>
            <w:vAlign w:val="center"/>
          </w:tcPr>
          <w:p>
            <w:pPr>
              <w:jc w:val="left"/>
            </w:pPr>
            <w:r>
              <w:rPr>
                <w:rFonts w:ascii="Arial" w:hAnsi="Arial"/>
                <w:b w:val="0"/>
                <w:sz w:val="16"/>
              </w:rPr>
              <w:t>Xie et al., 2021</w:t>
            </w:r>
          </w:p>
        </w:tc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15</w:t>
            </w:r>
          </w:p>
        </w:tc>
      </w:tr>
      <w:tr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R11</w:t>
            </w:r>
          </w:p>
        </w:tc>
        <w:tc>
          <w:tcPr>
            <w:tcW w:type="dxa" w:w="3408"/>
            <w:vAlign w:val="center"/>
          </w:tcPr>
          <w:p>
            <w:pPr>
              <w:jc w:val="left"/>
            </w:pPr>
            <w:r>
              <w:rPr>
                <w:rFonts w:ascii="Arial" w:hAnsi="Arial"/>
                <w:b w:val="0"/>
                <w:sz w:val="16"/>
              </w:rPr>
              <w:t>Flores-Mir et al., 2007</w:t>
            </w:r>
          </w:p>
        </w:tc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3</w:t>
            </w:r>
          </w:p>
        </w:tc>
      </w:tr>
      <w:tr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R12</w:t>
            </w:r>
          </w:p>
        </w:tc>
        <w:tc>
          <w:tcPr>
            <w:tcW w:type="dxa" w:w="3408"/>
            <w:vAlign w:val="center"/>
          </w:tcPr>
          <w:p>
            <w:pPr>
              <w:jc w:val="left"/>
            </w:pPr>
            <w:r>
              <w:rPr>
                <w:rFonts w:ascii="Arial" w:hAnsi="Arial"/>
                <w:b w:val="0"/>
                <w:sz w:val="16"/>
              </w:rPr>
              <w:t>Barnett et al., 2008</w:t>
            </w:r>
          </w:p>
        </w:tc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2</w:t>
            </w:r>
          </w:p>
        </w:tc>
      </w:tr>
      <w:tr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R13</w:t>
            </w:r>
          </w:p>
        </w:tc>
        <w:tc>
          <w:tcPr>
            <w:tcW w:type="dxa" w:w="3408"/>
            <w:vAlign w:val="center"/>
          </w:tcPr>
          <w:p>
            <w:pPr>
              <w:jc w:val="left"/>
            </w:pPr>
            <w:r>
              <w:rPr>
                <w:rFonts w:ascii="Arial" w:hAnsi="Arial"/>
                <w:b w:val="0"/>
                <w:sz w:val="16"/>
              </w:rPr>
              <w:t>Linjawi &amp; Abbassy, 2018</w:t>
            </w:r>
          </w:p>
        </w:tc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6</w:t>
            </w:r>
          </w:p>
        </w:tc>
      </w:tr>
      <w:tr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R14</w:t>
            </w:r>
          </w:p>
        </w:tc>
        <w:tc>
          <w:tcPr>
            <w:tcW w:type="dxa" w:w="3408"/>
            <w:vAlign w:val="center"/>
          </w:tcPr>
          <w:p>
            <w:pPr>
              <w:jc w:val="left"/>
            </w:pPr>
            <w:r>
              <w:rPr>
                <w:rFonts w:ascii="Arial" w:hAnsi="Arial"/>
                <w:b w:val="0"/>
                <w:sz w:val="16"/>
              </w:rPr>
              <w:t>Ishaq et al., 2016</w:t>
            </w:r>
          </w:p>
        </w:tc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6</w:t>
            </w:r>
          </w:p>
        </w:tc>
      </w:tr>
      <w:tr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R15</w:t>
            </w:r>
          </w:p>
        </w:tc>
        <w:tc>
          <w:tcPr>
            <w:tcW w:type="dxa" w:w="3408"/>
            <w:vAlign w:val="center"/>
          </w:tcPr>
          <w:p>
            <w:pPr>
              <w:jc w:val="left"/>
            </w:pPr>
            <w:r>
              <w:rPr>
                <w:rFonts w:ascii="Arial" w:hAnsi="Arial"/>
                <w:b w:val="0"/>
                <w:sz w:val="16"/>
              </w:rPr>
              <w:t>Zymperdikas et al., 2016</w:t>
            </w:r>
          </w:p>
        </w:tc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10</w:t>
            </w:r>
          </w:p>
        </w:tc>
      </w:tr>
      <w:tr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R16</w:t>
            </w:r>
          </w:p>
        </w:tc>
        <w:tc>
          <w:tcPr>
            <w:tcW w:type="dxa" w:w="3408"/>
            <w:vAlign w:val="center"/>
          </w:tcPr>
          <w:p>
            <w:pPr>
              <w:jc w:val="left"/>
            </w:pPr>
            <w:r>
              <w:rPr>
                <w:rFonts w:ascii="Arial" w:hAnsi="Arial"/>
                <w:b w:val="0"/>
                <w:sz w:val="16"/>
              </w:rPr>
              <w:t>Al-Jewair, 2015</w:t>
            </w:r>
          </w:p>
        </w:tc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7</w:t>
            </w:r>
          </w:p>
        </w:tc>
      </w:tr>
      <w:tr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R17</w:t>
            </w:r>
          </w:p>
        </w:tc>
        <w:tc>
          <w:tcPr>
            <w:tcW w:type="dxa" w:w="3408"/>
            <w:vAlign w:val="center"/>
          </w:tcPr>
          <w:p>
            <w:pPr>
              <w:jc w:val="left"/>
            </w:pPr>
            <w:r>
              <w:rPr>
                <w:rFonts w:ascii="Arial" w:hAnsi="Arial"/>
                <w:b w:val="0"/>
                <w:sz w:val="16"/>
              </w:rPr>
              <w:t>Perinetti et al., 2015 (fixed)</w:t>
            </w:r>
          </w:p>
        </w:tc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11</w:t>
            </w:r>
          </w:p>
        </w:tc>
      </w:tr>
      <w:tr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R18</w:t>
            </w:r>
          </w:p>
        </w:tc>
        <w:tc>
          <w:tcPr>
            <w:tcW w:type="dxa" w:w="3408"/>
            <w:vAlign w:val="center"/>
          </w:tcPr>
          <w:p>
            <w:pPr>
              <w:jc w:val="left"/>
            </w:pPr>
            <w:r>
              <w:rPr>
                <w:rFonts w:ascii="Arial" w:hAnsi="Arial"/>
                <w:b w:val="0"/>
                <w:sz w:val="16"/>
              </w:rPr>
              <w:t>Yang et al., 2016</w:t>
            </w:r>
          </w:p>
        </w:tc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10</w:t>
            </w:r>
          </w:p>
        </w:tc>
      </w:tr>
      <w:tr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R19</w:t>
            </w:r>
          </w:p>
        </w:tc>
        <w:tc>
          <w:tcPr>
            <w:tcW w:type="dxa" w:w="3408"/>
            <w:vAlign w:val="center"/>
          </w:tcPr>
          <w:p>
            <w:pPr>
              <w:jc w:val="left"/>
            </w:pPr>
            <w:r>
              <w:rPr>
                <w:rFonts w:ascii="Arial" w:hAnsi="Arial"/>
                <w:b w:val="0"/>
                <w:sz w:val="16"/>
              </w:rPr>
              <w:t>Cozza et al., 2006</w:t>
            </w:r>
          </w:p>
        </w:tc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22</w:t>
            </w:r>
          </w:p>
        </w:tc>
      </w:tr>
      <w:tr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R20</w:t>
            </w:r>
          </w:p>
        </w:tc>
        <w:tc>
          <w:tcPr>
            <w:tcW w:type="dxa" w:w="3408"/>
            <w:vAlign w:val="center"/>
          </w:tcPr>
          <w:p>
            <w:pPr>
              <w:jc w:val="left"/>
            </w:pPr>
            <w:r>
              <w:rPr>
                <w:rFonts w:ascii="Arial" w:hAnsi="Arial"/>
                <w:b w:val="0"/>
                <w:sz w:val="16"/>
              </w:rPr>
              <w:t>Pacha et al., 2016</w:t>
            </w:r>
          </w:p>
        </w:tc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4</w:t>
            </w:r>
          </w:p>
        </w:tc>
      </w:tr>
      <w:tr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R21</w:t>
            </w:r>
          </w:p>
        </w:tc>
        <w:tc>
          <w:tcPr>
            <w:tcW w:type="dxa" w:w="3408"/>
            <w:vAlign w:val="center"/>
          </w:tcPr>
          <w:p>
            <w:pPr>
              <w:jc w:val="left"/>
            </w:pPr>
            <w:r>
              <w:rPr>
                <w:rFonts w:ascii="Arial" w:hAnsi="Arial"/>
                <w:b w:val="0"/>
                <w:sz w:val="16"/>
              </w:rPr>
              <w:t>Cacciatore et al., 2019</w:t>
            </w:r>
          </w:p>
        </w:tc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6</w:t>
            </w:r>
          </w:p>
        </w:tc>
      </w:tr>
      <w:tr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R22</w:t>
            </w:r>
          </w:p>
        </w:tc>
        <w:tc>
          <w:tcPr>
            <w:tcW w:type="dxa" w:w="3408"/>
            <w:vAlign w:val="center"/>
          </w:tcPr>
          <w:p>
            <w:pPr>
              <w:jc w:val="left"/>
            </w:pPr>
            <w:r>
              <w:rPr>
                <w:rFonts w:ascii="Arial" w:hAnsi="Arial"/>
                <w:b w:val="0"/>
                <w:sz w:val="16"/>
              </w:rPr>
              <w:t>Xu et al., 2024</w:t>
            </w:r>
          </w:p>
        </w:tc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7</w:t>
            </w:r>
          </w:p>
        </w:tc>
      </w:tr>
      <w:tr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R23</w:t>
            </w:r>
          </w:p>
        </w:tc>
        <w:tc>
          <w:tcPr>
            <w:tcW w:type="dxa" w:w="3408"/>
            <w:vAlign w:val="center"/>
          </w:tcPr>
          <w:p>
            <w:pPr>
              <w:jc w:val="left"/>
            </w:pPr>
            <w:r>
              <w:rPr>
                <w:rFonts w:ascii="Arial" w:hAnsi="Arial"/>
                <w:b w:val="0"/>
                <w:sz w:val="16"/>
              </w:rPr>
              <w:t>Chen et al., 2020</w:t>
            </w:r>
          </w:p>
        </w:tc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7</w:t>
            </w:r>
          </w:p>
        </w:tc>
      </w:tr>
      <w:tr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R24</w:t>
            </w:r>
          </w:p>
        </w:tc>
        <w:tc>
          <w:tcPr>
            <w:tcW w:type="dxa" w:w="3408"/>
            <w:vAlign w:val="center"/>
          </w:tcPr>
          <w:p>
            <w:pPr>
              <w:jc w:val="left"/>
            </w:pPr>
            <w:r>
              <w:rPr>
                <w:rFonts w:ascii="Arial" w:hAnsi="Arial"/>
                <w:b w:val="0"/>
                <w:sz w:val="16"/>
              </w:rPr>
              <w:t>Siva et al., 2021</w:t>
            </w:r>
          </w:p>
        </w:tc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6</w:t>
            </w:r>
          </w:p>
        </w:tc>
      </w:tr>
      <w:tr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R25</w:t>
            </w:r>
          </w:p>
        </w:tc>
        <w:tc>
          <w:tcPr>
            <w:tcW w:type="dxa" w:w="3408"/>
            <w:vAlign w:val="center"/>
          </w:tcPr>
          <w:p>
            <w:pPr>
              <w:jc w:val="left"/>
            </w:pPr>
            <w:r>
              <w:rPr>
                <w:rFonts w:ascii="Arial" w:hAnsi="Arial"/>
                <w:b w:val="0"/>
                <w:sz w:val="16"/>
              </w:rPr>
              <w:t>Li &amp; Meng, 2025</w:t>
            </w:r>
          </w:p>
        </w:tc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7</w:t>
            </w:r>
          </w:p>
        </w:tc>
      </w:tr>
      <w:tr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R26</w:t>
            </w:r>
          </w:p>
        </w:tc>
        <w:tc>
          <w:tcPr>
            <w:tcW w:type="dxa" w:w="3408"/>
            <w:vAlign w:val="center"/>
          </w:tcPr>
          <w:p>
            <w:pPr>
              <w:jc w:val="left"/>
            </w:pPr>
            <w:r>
              <w:rPr>
                <w:rFonts w:ascii="Arial" w:hAnsi="Arial"/>
                <w:b w:val="0"/>
                <w:sz w:val="16"/>
              </w:rPr>
              <w:t>Kumar et al., 2023</w:t>
            </w:r>
          </w:p>
        </w:tc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6</w:t>
            </w:r>
          </w:p>
        </w:tc>
      </w:tr>
      <w:tr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R27</w:t>
            </w:r>
          </w:p>
        </w:tc>
        <w:tc>
          <w:tcPr>
            <w:tcW w:type="dxa" w:w="3408"/>
            <w:vAlign w:val="center"/>
          </w:tcPr>
          <w:p>
            <w:pPr>
              <w:jc w:val="left"/>
            </w:pPr>
            <w:r>
              <w:rPr>
                <w:rFonts w:ascii="Arial" w:hAnsi="Arial"/>
                <w:b w:val="0"/>
                <w:sz w:val="16"/>
              </w:rPr>
              <w:t>Jeha &amp; Haddad, 2024</w:t>
            </w:r>
          </w:p>
        </w:tc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5</w:t>
            </w:r>
          </w:p>
        </w:tc>
      </w:tr>
      <w:tr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R28</w:t>
            </w:r>
          </w:p>
        </w:tc>
        <w:tc>
          <w:tcPr>
            <w:tcW w:type="dxa" w:w="3408"/>
            <w:vAlign w:val="center"/>
          </w:tcPr>
          <w:p>
            <w:pPr>
              <w:jc w:val="left"/>
            </w:pPr>
            <w:r>
              <w:rPr>
                <w:rFonts w:ascii="Arial" w:hAnsi="Arial"/>
                <w:b w:val="0"/>
                <w:sz w:val="16"/>
              </w:rPr>
              <w:t>Matthaios et al., 2022</w:t>
            </w:r>
          </w:p>
        </w:tc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9</w:t>
            </w:r>
          </w:p>
        </w:tc>
      </w:tr>
      <w:tr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R29</w:t>
            </w:r>
          </w:p>
        </w:tc>
        <w:tc>
          <w:tcPr>
            <w:tcW w:type="dxa" w:w="3408"/>
            <w:vAlign w:val="center"/>
          </w:tcPr>
          <w:p>
            <w:pPr>
              <w:jc w:val="left"/>
            </w:pPr>
            <w:r>
              <w:rPr>
                <w:rFonts w:ascii="Arial" w:hAnsi="Arial"/>
                <w:b w:val="0"/>
                <w:sz w:val="16"/>
              </w:rPr>
              <w:t>Almrayati et al., 2026</w:t>
            </w:r>
          </w:p>
        </w:tc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6</w:t>
            </w:r>
          </w:p>
        </w:tc>
      </w:tr>
      <w:tr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R30</w:t>
            </w:r>
          </w:p>
        </w:tc>
        <w:tc>
          <w:tcPr>
            <w:tcW w:type="dxa" w:w="3408"/>
            <w:vAlign w:val="center"/>
          </w:tcPr>
          <w:p>
            <w:pPr>
              <w:jc w:val="left"/>
            </w:pPr>
            <w:r>
              <w:rPr>
                <w:rFonts w:ascii="Arial" w:hAnsi="Arial"/>
                <w:b w:val="0"/>
                <w:sz w:val="16"/>
              </w:rPr>
              <w:t>Singh et al., 2026</w:t>
            </w:r>
          </w:p>
        </w:tc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8</w:t>
            </w:r>
          </w:p>
        </w:tc>
      </w:tr>
      <w:tr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R31</w:t>
            </w:r>
          </w:p>
        </w:tc>
        <w:tc>
          <w:tcPr>
            <w:tcW w:type="dxa" w:w="3408"/>
            <w:vAlign w:val="center"/>
          </w:tcPr>
          <w:p>
            <w:pPr>
              <w:jc w:val="left"/>
            </w:pPr>
            <w:r>
              <w:rPr>
                <w:rFonts w:ascii="Arial" w:hAnsi="Arial"/>
                <w:b w:val="0"/>
                <w:sz w:val="16"/>
              </w:rPr>
              <w:t>Coronel-Zubiate et al., 2026</w:t>
            </w:r>
          </w:p>
        </w:tc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3</w:t>
            </w:r>
          </w:p>
        </w:tc>
      </w:tr>
      <w:tr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R32</w:t>
            </w:r>
          </w:p>
        </w:tc>
        <w:tc>
          <w:tcPr>
            <w:tcW w:type="dxa" w:w="3408"/>
            <w:vAlign w:val="center"/>
          </w:tcPr>
          <w:p>
            <w:pPr>
              <w:jc w:val="left"/>
            </w:pPr>
            <w:r>
              <w:rPr>
                <w:rFonts w:ascii="Arial" w:hAnsi="Arial"/>
                <w:b w:val="0"/>
                <w:sz w:val="16"/>
              </w:rPr>
              <w:t>Varghese et al., 2023 (PowerScope)</w:t>
            </w:r>
          </w:p>
        </w:tc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6</w:t>
            </w:r>
          </w:p>
        </w:tc>
      </w:tr>
      <w:tr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R33</w:t>
            </w:r>
          </w:p>
        </w:tc>
        <w:tc>
          <w:tcPr>
            <w:tcW w:type="dxa" w:w="3408"/>
            <w:vAlign w:val="center"/>
          </w:tcPr>
          <w:p>
            <w:pPr>
              <w:jc w:val="left"/>
            </w:pPr>
            <w:r>
              <w:rPr>
                <w:rFonts w:ascii="Arial" w:hAnsi="Arial"/>
                <w:b w:val="0"/>
                <w:sz w:val="16"/>
              </w:rPr>
              <w:t>Mani et al., 2025</w:t>
            </w:r>
          </w:p>
        </w:tc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6</w:t>
            </w:r>
          </w:p>
        </w:tc>
      </w:tr>
      <w:tr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R34</w:t>
            </w:r>
          </w:p>
        </w:tc>
        <w:tc>
          <w:tcPr>
            <w:tcW w:type="dxa" w:w="3408"/>
            <w:vAlign w:val="center"/>
          </w:tcPr>
          <w:p>
            <w:pPr>
              <w:jc w:val="left"/>
            </w:pPr>
            <w:r>
              <w:rPr>
                <w:rFonts w:ascii="Arial" w:hAnsi="Arial"/>
                <w:b w:val="0"/>
                <w:sz w:val="16"/>
              </w:rPr>
              <w:t>Goonetilleke et al., 2023</w:t>
            </w:r>
          </w:p>
        </w:tc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13</w:t>
            </w:r>
          </w:p>
        </w:tc>
      </w:tr>
      <w:tr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R35</w:t>
            </w:r>
          </w:p>
        </w:tc>
        <w:tc>
          <w:tcPr>
            <w:tcW w:type="dxa" w:w="3408"/>
            <w:vAlign w:val="center"/>
          </w:tcPr>
          <w:p>
            <w:pPr>
              <w:jc w:val="left"/>
            </w:pPr>
            <w:r>
              <w:rPr>
                <w:rFonts w:ascii="Arial" w:hAnsi="Arial"/>
                <w:b w:val="0"/>
                <w:sz w:val="16"/>
              </w:rPr>
              <w:t>Bondemark et al., 2019</w:t>
            </w:r>
          </w:p>
        </w:tc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4</w:t>
            </w:r>
          </w:p>
        </w:tc>
      </w:tr>
      <w:tr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R36</w:t>
            </w:r>
          </w:p>
        </w:tc>
        <w:tc>
          <w:tcPr>
            <w:tcW w:type="dxa" w:w="3408"/>
            <w:vAlign w:val="center"/>
          </w:tcPr>
          <w:p>
            <w:pPr>
              <w:jc w:val="left"/>
            </w:pPr>
            <w:r>
              <w:rPr>
                <w:rFonts w:ascii="Arial" w:hAnsi="Arial"/>
                <w:b w:val="0"/>
                <w:sz w:val="16"/>
              </w:rPr>
              <w:t>Chavan et al., 2025</w:t>
            </w:r>
          </w:p>
        </w:tc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5</w:t>
            </w:r>
          </w:p>
        </w:tc>
      </w:tr>
      <w:tr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R37</w:t>
            </w:r>
          </w:p>
        </w:tc>
        <w:tc>
          <w:tcPr>
            <w:tcW w:type="dxa" w:w="3408"/>
            <w:vAlign w:val="center"/>
          </w:tcPr>
          <w:p>
            <w:pPr>
              <w:jc w:val="left"/>
            </w:pPr>
            <w:r>
              <w:rPr>
                <w:rFonts w:ascii="Arial" w:hAnsi="Arial"/>
                <w:b w:val="0"/>
                <w:sz w:val="16"/>
              </w:rPr>
              <w:t>Lodd et al., 2024</w:t>
            </w:r>
          </w:p>
        </w:tc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6</w:t>
            </w:r>
          </w:p>
        </w:tc>
      </w:tr>
      <w:tr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R38</w:t>
            </w:r>
          </w:p>
        </w:tc>
        <w:tc>
          <w:tcPr>
            <w:tcW w:type="dxa" w:w="3408"/>
            <w:vAlign w:val="center"/>
          </w:tcPr>
          <w:p>
            <w:pPr>
              <w:jc w:val="left"/>
            </w:pPr>
            <w:r>
              <w:rPr>
                <w:rFonts w:ascii="Arial" w:hAnsi="Arial"/>
                <w:b w:val="0"/>
                <w:sz w:val="16"/>
              </w:rPr>
              <w:t>Mangwade et al., 2022</w:t>
            </w:r>
          </w:p>
        </w:tc>
        <w:tc>
          <w:tcPr>
            <w:tcW w:type="dxa" w:w="3408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6"/>
              </w:rPr>
              <w:t>7</w:t>
            </w:r>
          </w:p>
        </w:tc>
      </w:tr>
    </w:tbl>
    <w:p>
      <w:pPr>
        <w:pStyle w:val="Heading1"/>
      </w:pPr>
      <w:r>
        <w:t>Most recurrent primary-study families</w:t>
      </w:r>
    </w:p>
    <w:p>
      <w:r>
        <w:t>The table below lists families occurring in at least three included reviews. The complete 161-family list and 38-review binary matrix are provided in the accompanying citation-matrix spreadsheet.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/>
                <w:sz w:val="15"/>
              </w:rPr>
              <w:t>Family ID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/>
                <w:sz w:val="15"/>
              </w:rPr>
              <w:t>Primary-study family</w:t>
            </w:r>
          </w:p>
        </w:tc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/>
                <w:sz w:val="15"/>
              </w:rPr>
              <w:t>Occurrence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/>
                <w:sz w:val="15"/>
              </w:rPr>
              <w:t>Review IDs</w:t>
            </w:r>
          </w:p>
        </w:tc>
      </w:tr>
      <w:tr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F001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Baysal/Uysal family</w:t>
            </w:r>
          </w:p>
        </w:tc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11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R04, R06, R07, R15, R17, R18, R20, R22, R31, R34, R36</w:t>
            </w:r>
          </w:p>
        </w:tc>
      </w:tr>
      <w:tr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F002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O’Brien, 2003</w:t>
            </w:r>
          </w:p>
        </w:tc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9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R02, R03, R04, R05, R06, R08, R19, R35, R38</w:t>
            </w:r>
          </w:p>
        </w:tc>
      </w:tr>
      <w:tr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F003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Tulloch et al. 1997 family</w:t>
            </w:r>
          </w:p>
        </w:tc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9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R01, R02, R03, R04, R05, R06, R07, R19, R35</w:t>
            </w:r>
          </w:p>
        </w:tc>
      </w:tr>
      <w:tr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F004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Illing/Morris family</w:t>
            </w:r>
          </w:p>
        </w:tc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8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R01, R02, R04, R05, R07, R08, R19, R25</w:t>
            </w:r>
          </w:p>
        </w:tc>
      </w:tr>
      <w:tr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F005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Nelson/Courtney/Webster family</w:t>
            </w:r>
          </w:p>
        </w:tc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8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R01, R02, R03, R04, R05, R07, R09, R10</w:t>
            </w:r>
          </w:p>
        </w:tc>
      </w:tr>
      <w:tr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F006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Bilgiç et al. family</w:t>
            </w:r>
          </w:p>
        </w:tc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5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R04, R10, R13, R14, R20</w:t>
            </w:r>
          </w:p>
        </w:tc>
      </w:tr>
      <w:tr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F007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Jakobsson, 1967</w:t>
            </w:r>
          </w:p>
        </w:tc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5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R03, R04, R07, R19, R35</w:t>
            </w:r>
          </w:p>
        </w:tc>
      </w:tr>
      <w:tr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F008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de Almeida, 2005</w:t>
            </w:r>
          </w:p>
        </w:tc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4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R12, R15, R18, R34</w:t>
            </w:r>
          </w:p>
        </w:tc>
      </w:tr>
      <w:tr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F009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Franchi, 1999</w:t>
            </w:r>
          </w:p>
        </w:tc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4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R11, R17, R18, R19</w:t>
            </w:r>
          </w:p>
        </w:tc>
      </w:tr>
      <w:tr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F010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Giuntini, 2015</w:t>
            </w:r>
          </w:p>
        </w:tc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4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R24, R27, R30, R36</w:t>
            </w:r>
          </w:p>
        </w:tc>
      </w:tr>
      <w:tr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F011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Hanoun, 2014</w:t>
            </w:r>
          </w:p>
        </w:tc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4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R13, R27, R30, R36</w:t>
            </w:r>
          </w:p>
        </w:tc>
      </w:tr>
      <w:tr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F012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Lund, 1998</w:t>
            </w:r>
          </w:p>
        </w:tc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4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R02, R04, R07, R08</w:t>
            </w:r>
          </w:p>
        </w:tc>
      </w:tr>
      <w:tr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F013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Martina, 2013</w:t>
            </w:r>
          </w:p>
        </w:tc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4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R04, R05, R06, R07</w:t>
            </w:r>
          </w:p>
        </w:tc>
      </w:tr>
      <w:tr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F014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Oztoprak, 2012</w:t>
            </w:r>
          </w:p>
        </w:tc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4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R13, R14, R15, R17</w:t>
            </w:r>
          </w:p>
        </w:tc>
      </w:tr>
      <w:tr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F015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Pancherz 1982 family</w:t>
            </w:r>
          </w:p>
        </w:tc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4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R12, R17, R18, R19</w:t>
            </w:r>
          </w:p>
        </w:tc>
      </w:tr>
      <w:tr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F016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Quintao, 2006</w:t>
            </w:r>
          </w:p>
        </w:tc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4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R04, R06, R07, R29</w:t>
            </w:r>
          </w:p>
        </w:tc>
      </w:tr>
      <w:tr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F017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Varlik, 2008</w:t>
            </w:r>
          </w:p>
        </w:tc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4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R07, R08, R10, R29</w:t>
            </w:r>
          </w:p>
        </w:tc>
      </w:tr>
      <w:tr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F018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Al-Jewair, 2012</w:t>
            </w:r>
          </w:p>
        </w:tc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3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R16, R17, R37</w:t>
            </w:r>
          </w:p>
        </w:tc>
      </w:tr>
      <w:tr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F019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Almeida-Pedrin, 2007</w:t>
            </w:r>
          </w:p>
        </w:tc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3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R06, R07, R25</w:t>
            </w:r>
          </w:p>
        </w:tc>
      </w:tr>
      <w:tr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F020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Baccetti, 2000</w:t>
            </w:r>
          </w:p>
        </w:tc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3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R06, R08, R19</w:t>
            </w:r>
          </w:p>
        </w:tc>
      </w:tr>
      <w:tr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F021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De Almeida R, 2002</w:t>
            </w:r>
          </w:p>
        </w:tc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3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R09, R19, R25</w:t>
            </w:r>
          </w:p>
        </w:tc>
      </w:tr>
      <w:tr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F022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Janson, 2003</w:t>
            </w:r>
          </w:p>
        </w:tc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3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R07, R09, R19</w:t>
            </w:r>
          </w:p>
        </w:tc>
      </w:tr>
      <w:tr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F023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Karacay, 2006</w:t>
            </w:r>
          </w:p>
        </w:tc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3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R13, R14, R15</w:t>
            </w:r>
          </w:p>
        </w:tc>
      </w:tr>
      <w:tr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F024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Mahamad et al., 2012</w:t>
            </w:r>
          </w:p>
        </w:tc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3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R24, R30, R36</w:t>
            </w:r>
          </w:p>
        </w:tc>
      </w:tr>
      <w:tr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F025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McNamara, 1990</w:t>
            </w:r>
          </w:p>
        </w:tc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3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R18, R19, R34</w:t>
            </w:r>
          </w:p>
        </w:tc>
      </w:tr>
      <w:tr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F026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O'Brien et al. 2003 direct Herbst vs Twin Block trial</w:t>
            </w:r>
          </w:p>
        </w:tc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3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R20, R22, R31</w:t>
            </w:r>
          </w:p>
        </w:tc>
      </w:tr>
      <w:tr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F027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Phelan, 2012</w:t>
            </w:r>
          </w:p>
        </w:tc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3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R15, R17, R38</w:t>
            </w:r>
          </w:p>
        </w:tc>
      </w:tr>
      <w:tr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F028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Schaefer, 2004</w:t>
            </w:r>
          </w:p>
        </w:tc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3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R22, R24, R34</w:t>
            </w:r>
          </w:p>
        </w:tc>
      </w:tr>
      <w:tr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F029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Siara-Olds, 2010</w:t>
            </w:r>
          </w:p>
        </w:tc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3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R16, R24, R25</w:t>
            </w:r>
          </w:p>
        </w:tc>
      </w:tr>
      <w:tr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F030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Tarvade et al., 2014</w:t>
            </w:r>
          </w:p>
        </w:tc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3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R27, R30, R36</w:t>
            </w:r>
          </w:p>
        </w:tc>
      </w:tr>
      <w:tr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F031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Toth, 1999</w:t>
            </w:r>
          </w:p>
        </w:tc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3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R08, R09, R19</w:t>
            </w:r>
          </w:p>
        </w:tc>
      </w:tr>
      <w:tr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F032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Tumer, 1999</w:t>
            </w:r>
          </w:p>
        </w:tc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3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R04, R10, R19</w:t>
            </w:r>
          </w:p>
        </w:tc>
      </w:tr>
      <w:tr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F033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Wigal et al. family</w:t>
            </w:r>
          </w:p>
        </w:tc>
        <w:tc>
          <w:tcPr>
            <w:tcW w:type="dxa" w:w="2556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15"/>
              </w:rPr>
              <w:t>3</w:t>
            </w:r>
          </w:p>
        </w:tc>
        <w:tc>
          <w:tcPr>
            <w:tcW w:type="dxa" w:w="2556"/>
          </w:tcPr>
          <w:p>
            <w:pPr>
              <w:jc w:val="left"/>
            </w:pPr>
            <w:r>
              <w:rPr>
                <w:rFonts w:ascii="Arial" w:hAnsi="Arial"/>
                <w:b w:val="0"/>
                <w:sz w:val="15"/>
              </w:rPr>
              <w:t>R18, R21, R34</w:t>
            </w:r>
          </w:p>
        </w:tc>
      </w:tr>
    </w:tbl>
    <w:p>
      <w:r>
        <w:br w:type="page"/>
      </w:r>
    </w:p>
    <w:p>
      <w:pPr>
        <w:pStyle w:val="Heading1"/>
      </w:pPr>
      <w:r>
        <w:t>Primary-study family consolidation rules</w:t>
      </w:r>
    </w:p>
    <w:p>
      <w:r>
        <w:t>The following are the principal family-level consolidations and deliberate distinctions applied during deduplication.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</w:tcPr>
          <w:p>
            <w:r>
              <w:rPr>
                <w:rFonts w:ascii="Arial" w:hAnsi="Arial"/>
                <w:b/>
                <w:sz w:val="15"/>
              </w:rPr>
              <w:t>Canonical family / distinction</w:t>
            </w:r>
          </w:p>
        </w:tc>
        <w:tc>
          <w:tcPr>
            <w:tcW w:type="dxa" w:w="3408"/>
          </w:tcPr>
          <w:p>
            <w:r>
              <w:rPr>
                <w:rFonts w:ascii="Arial" w:hAnsi="Arial"/>
                <w:b/>
                <w:sz w:val="15"/>
              </w:rPr>
              <w:t>Reports</w:t>
            </w:r>
          </w:p>
        </w:tc>
        <w:tc>
          <w:tcPr>
            <w:tcW w:type="dxa" w:w="3408"/>
          </w:tcPr>
          <w:p>
            <w:r>
              <w:rPr>
                <w:rFonts w:ascii="Arial" w:hAnsi="Arial"/>
                <w:b/>
                <w:sz w:val="15"/>
              </w:rPr>
              <w:t>Rationale</w:t>
            </w:r>
          </w:p>
        </w:tc>
      </w:tr>
      <w:tr>
        <w:tc>
          <w:tcPr>
            <w:tcW w:type="dxa" w:w="3408"/>
          </w:tcPr>
          <w:p>
            <w:r>
              <w:rPr>
                <w:rFonts w:ascii="Arial" w:hAnsi="Arial"/>
                <w:b w:val="0"/>
                <w:sz w:val="15"/>
              </w:rPr>
              <w:t>Nelson/Courtney/Webster family</w:t>
            </w:r>
          </w:p>
        </w:tc>
        <w:tc>
          <w:tcPr>
            <w:tcW w:type="dxa" w:w="3408"/>
          </w:tcPr>
          <w:p>
            <w:r>
              <w:rPr>
                <w:rFonts w:ascii="Arial" w:hAnsi="Arial"/>
                <w:b w:val="0"/>
                <w:sz w:val="15"/>
              </w:rPr>
              <w:t>Nelson 1993; Courtney 1996; Webster 1996</w:t>
            </w:r>
          </w:p>
        </w:tc>
        <w:tc>
          <w:tcPr>
            <w:tcW w:type="dxa" w:w="3408"/>
          </w:tcPr>
          <w:p>
            <w:r>
              <w:rPr>
                <w:rFonts w:ascii="Arial" w:hAnsi="Arial"/>
                <w:b w:val="0"/>
                <w:sz w:val="15"/>
              </w:rPr>
              <w:t>Reports treated as one underlying trial/cohort family.</w:t>
            </w:r>
          </w:p>
        </w:tc>
      </w:tr>
      <w:tr>
        <w:tc>
          <w:tcPr>
            <w:tcW w:type="dxa" w:w="3408"/>
          </w:tcPr>
          <w:p>
            <w:r>
              <w:rPr>
                <w:rFonts w:ascii="Arial" w:hAnsi="Arial"/>
                <w:b w:val="0"/>
                <w:sz w:val="15"/>
              </w:rPr>
              <w:t>Illing/Morris family</w:t>
            </w:r>
          </w:p>
        </w:tc>
        <w:tc>
          <w:tcPr>
            <w:tcW w:type="dxa" w:w="3408"/>
          </w:tcPr>
          <w:p>
            <w:r>
              <w:rPr>
                <w:rFonts w:ascii="Arial" w:hAnsi="Arial"/>
                <w:b w:val="0"/>
                <w:sz w:val="15"/>
              </w:rPr>
              <w:t>Illing 1998; Morris 1998</w:t>
            </w:r>
          </w:p>
        </w:tc>
        <w:tc>
          <w:tcPr>
            <w:tcW w:type="dxa" w:w="3408"/>
          </w:tcPr>
          <w:p>
            <w:r>
              <w:rPr>
                <w:rFonts w:ascii="Arial" w:hAnsi="Arial"/>
                <w:b w:val="0"/>
                <w:sz w:val="15"/>
              </w:rPr>
              <w:t>Hard- and soft-tissue reports from the same study population.</w:t>
            </w:r>
          </w:p>
        </w:tc>
      </w:tr>
      <w:tr>
        <w:tc>
          <w:tcPr>
            <w:tcW w:type="dxa" w:w="3408"/>
          </w:tcPr>
          <w:p>
            <w:r>
              <w:rPr>
                <w:rFonts w:ascii="Arial" w:hAnsi="Arial"/>
                <w:b w:val="0"/>
                <w:sz w:val="15"/>
              </w:rPr>
              <w:t>Baysal/Uysal family</w:t>
            </w:r>
          </w:p>
        </w:tc>
        <w:tc>
          <w:tcPr>
            <w:tcW w:type="dxa" w:w="3408"/>
          </w:tcPr>
          <w:p>
            <w:r>
              <w:rPr>
                <w:rFonts w:ascii="Arial" w:hAnsi="Arial"/>
                <w:b w:val="0"/>
                <w:sz w:val="15"/>
              </w:rPr>
              <w:t>Baysal 2013; Baysal 2014 (and miscited 2011 variants)</w:t>
            </w:r>
          </w:p>
        </w:tc>
        <w:tc>
          <w:tcPr>
            <w:tcW w:type="dxa" w:w="3408"/>
          </w:tcPr>
          <w:p>
            <w:r>
              <w:rPr>
                <w:rFonts w:ascii="Arial" w:hAnsi="Arial"/>
                <w:b w:val="0"/>
                <w:sz w:val="15"/>
              </w:rPr>
              <w:t>Soft-tissue and dentoskeletal reports from the same underlying sample.</w:t>
            </w:r>
          </w:p>
        </w:tc>
      </w:tr>
      <w:tr>
        <w:tc>
          <w:tcPr>
            <w:tcW w:type="dxa" w:w="3408"/>
          </w:tcPr>
          <w:p>
            <w:r>
              <w:rPr>
                <w:rFonts w:ascii="Arial" w:hAnsi="Arial"/>
                <w:b w:val="0"/>
                <w:sz w:val="15"/>
              </w:rPr>
              <w:t>Bilgiç family</w:t>
            </w:r>
          </w:p>
        </w:tc>
        <w:tc>
          <w:tcPr>
            <w:tcW w:type="dxa" w:w="3408"/>
          </w:tcPr>
          <w:p>
            <w:r>
              <w:rPr>
                <w:rFonts w:ascii="Arial" w:hAnsi="Arial"/>
                <w:b w:val="0"/>
                <w:sz w:val="15"/>
              </w:rPr>
              <w:t>Bilgiç 2011; Bilgiç 2014/2015</w:t>
            </w:r>
          </w:p>
        </w:tc>
        <w:tc>
          <w:tcPr>
            <w:tcW w:type="dxa" w:w="3408"/>
          </w:tcPr>
          <w:p>
            <w:r>
              <w:rPr>
                <w:rFonts w:ascii="Arial" w:hAnsi="Arial"/>
                <w:b w:val="0"/>
                <w:sz w:val="15"/>
              </w:rPr>
              <w:t>Reports treated as one underlying study family.</w:t>
            </w:r>
          </w:p>
        </w:tc>
      </w:tr>
      <w:tr>
        <w:tc>
          <w:tcPr>
            <w:tcW w:type="dxa" w:w="3408"/>
          </w:tcPr>
          <w:p>
            <w:r>
              <w:rPr>
                <w:rFonts w:ascii="Arial" w:hAnsi="Arial"/>
                <w:b w:val="0"/>
                <w:sz w:val="15"/>
              </w:rPr>
              <w:t>Mills/McCulloch family</w:t>
            </w:r>
          </w:p>
        </w:tc>
        <w:tc>
          <w:tcPr>
            <w:tcW w:type="dxa" w:w="3408"/>
          </w:tcPr>
          <w:p>
            <w:r>
              <w:rPr>
                <w:rFonts w:ascii="Arial" w:hAnsi="Arial"/>
                <w:b w:val="0"/>
                <w:sz w:val="15"/>
              </w:rPr>
              <w:t>Mills 1998; Mills 2000</w:t>
            </w:r>
          </w:p>
        </w:tc>
        <w:tc>
          <w:tcPr>
            <w:tcW w:type="dxa" w:w="3408"/>
          </w:tcPr>
          <w:p>
            <w:r>
              <w:rPr>
                <w:rFonts w:ascii="Arial" w:hAnsi="Arial"/>
                <w:b w:val="0"/>
                <w:sz w:val="15"/>
              </w:rPr>
              <w:t>Treatment and post-treatment reports from the same sample.</w:t>
            </w:r>
          </w:p>
        </w:tc>
      </w:tr>
      <w:tr>
        <w:tc>
          <w:tcPr>
            <w:tcW w:type="dxa" w:w="3408"/>
          </w:tcPr>
          <w:p>
            <w:r>
              <w:rPr>
                <w:rFonts w:ascii="Arial" w:hAnsi="Arial"/>
                <w:b w:val="0"/>
                <w:sz w:val="15"/>
              </w:rPr>
              <w:t>Wigal family</w:t>
            </w:r>
          </w:p>
        </w:tc>
        <w:tc>
          <w:tcPr>
            <w:tcW w:type="dxa" w:w="3408"/>
          </w:tcPr>
          <w:p>
            <w:r>
              <w:rPr>
                <w:rFonts w:ascii="Arial" w:hAnsi="Arial"/>
                <w:b w:val="0"/>
                <w:sz w:val="15"/>
              </w:rPr>
              <w:t>Wigal thesis 2008; Wigal et al. 2011</w:t>
            </w:r>
          </w:p>
        </w:tc>
        <w:tc>
          <w:tcPr>
            <w:tcW w:type="dxa" w:w="3408"/>
          </w:tcPr>
          <w:p>
            <w:r>
              <w:rPr>
                <w:rFonts w:ascii="Arial" w:hAnsi="Arial"/>
                <w:b w:val="0"/>
                <w:sz w:val="15"/>
              </w:rPr>
              <w:t>Thesis/publication from same underlying cohort.</w:t>
            </w:r>
          </w:p>
        </w:tc>
      </w:tr>
      <w:tr>
        <w:tc>
          <w:tcPr>
            <w:tcW w:type="dxa" w:w="3408"/>
          </w:tcPr>
          <w:p>
            <w:r>
              <w:rPr>
                <w:rFonts w:ascii="Arial" w:hAnsi="Arial"/>
                <w:b w:val="0"/>
                <w:sz w:val="15"/>
              </w:rPr>
              <w:t>Keeling/Dolce family</w:t>
            </w:r>
          </w:p>
        </w:tc>
        <w:tc>
          <w:tcPr>
            <w:tcW w:type="dxa" w:w="3408"/>
          </w:tcPr>
          <w:p>
            <w:r>
              <w:rPr>
                <w:rFonts w:ascii="Arial" w:hAnsi="Arial"/>
                <w:b w:val="0"/>
                <w:sz w:val="15"/>
              </w:rPr>
              <w:t>Keeling 1998; Dolce et al. 2002</w:t>
            </w:r>
          </w:p>
        </w:tc>
        <w:tc>
          <w:tcPr>
            <w:tcW w:type="dxa" w:w="3408"/>
          </w:tcPr>
          <w:p>
            <w:r>
              <w:rPr>
                <w:rFonts w:ascii="Arial" w:hAnsi="Arial"/>
                <w:b w:val="0"/>
                <w:sz w:val="15"/>
              </w:rPr>
              <w:t>Reports from the same early Class II treatment trial.</w:t>
            </w:r>
          </w:p>
        </w:tc>
      </w:tr>
      <w:tr>
        <w:tc>
          <w:tcPr>
            <w:tcW w:type="dxa" w:w="3408"/>
          </w:tcPr>
          <w:p>
            <w:r>
              <w:rPr>
                <w:rFonts w:ascii="Arial" w:hAnsi="Arial"/>
                <w:b w:val="0"/>
                <w:sz w:val="15"/>
              </w:rPr>
              <w:t>Pancherz 1982 family</w:t>
            </w:r>
          </w:p>
        </w:tc>
        <w:tc>
          <w:tcPr>
            <w:tcW w:type="dxa" w:w="3408"/>
          </w:tcPr>
          <w:p>
            <w:r>
              <w:rPr>
                <w:rFonts w:ascii="Arial" w:hAnsi="Arial"/>
                <w:b w:val="0"/>
                <w:sz w:val="15"/>
              </w:rPr>
              <w:t>Pancherz 1982 vertical-change report; mechanism-of-correction report</w:t>
            </w:r>
          </w:p>
        </w:tc>
        <w:tc>
          <w:tcPr>
            <w:tcW w:type="dxa" w:w="3408"/>
          </w:tcPr>
          <w:p>
            <w:r>
              <w:rPr>
                <w:rFonts w:ascii="Arial" w:hAnsi="Arial"/>
                <w:b w:val="0"/>
                <w:sz w:val="15"/>
              </w:rPr>
              <w:t>Multiple publications from the same Herbst treatment sample.</w:t>
            </w:r>
          </w:p>
        </w:tc>
      </w:tr>
      <w:tr>
        <w:tc>
          <w:tcPr>
            <w:tcW w:type="dxa" w:w="3408"/>
          </w:tcPr>
          <w:p>
            <w:r>
              <w:rPr>
                <w:rFonts w:ascii="Arial" w:hAnsi="Arial"/>
                <w:b w:val="0"/>
                <w:sz w:val="15"/>
              </w:rPr>
              <w:t>Tulloch 1997 family</w:t>
            </w:r>
          </w:p>
        </w:tc>
        <w:tc>
          <w:tcPr>
            <w:tcW w:type="dxa" w:w="3408"/>
          </w:tcPr>
          <w:p>
            <w:r>
              <w:rPr>
                <w:rFonts w:ascii="Arial" w:hAnsi="Arial"/>
                <w:b w:val="0"/>
                <w:sz w:val="15"/>
              </w:rPr>
              <w:t>Tulloch et al. 1997 related reports</w:t>
            </w:r>
          </w:p>
        </w:tc>
        <w:tc>
          <w:tcPr>
            <w:tcW w:type="dxa" w:w="3408"/>
          </w:tcPr>
          <w:p>
            <w:r>
              <w:rPr>
                <w:rFonts w:ascii="Arial" w:hAnsi="Arial"/>
                <w:b w:val="0"/>
                <w:sz w:val="15"/>
              </w:rPr>
              <w:t>Multiple publications from the same early-treatment trial treated as one family.</w:t>
            </w:r>
          </w:p>
        </w:tc>
      </w:tr>
      <w:tr>
        <w:tc>
          <w:tcPr>
            <w:tcW w:type="dxa" w:w="3408"/>
          </w:tcPr>
          <w:p>
            <w:r>
              <w:rPr>
                <w:rFonts w:ascii="Arial" w:hAnsi="Arial"/>
                <w:b w:val="0"/>
                <w:sz w:val="15"/>
              </w:rPr>
              <w:t>Burhan family</w:t>
            </w:r>
          </w:p>
        </w:tc>
        <w:tc>
          <w:tcPr>
            <w:tcW w:type="dxa" w:w="3408"/>
          </w:tcPr>
          <w:p>
            <w:r>
              <w:rPr>
                <w:rFonts w:ascii="Arial" w:hAnsi="Arial"/>
                <w:b w:val="0"/>
                <w:sz w:val="15"/>
              </w:rPr>
              <w:t>Burhan 2014; Burhan 2015</w:t>
            </w:r>
          </w:p>
        </w:tc>
        <w:tc>
          <w:tcPr>
            <w:tcW w:type="dxa" w:w="3408"/>
          </w:tcPr>
          <w:p>
            <w:r>
              <w:rPr>
                <w:rFonts w:ascii="Arial" w:hAnsi="Arial"/>
                <w:b w:val="0"/>
                <w:sz w:val="15"/>
              </w:rPr>
              <w:t>Publication-year variants/same randomized trial.</w:t>
            </w:r>
          </w:p>
        </w:tc>
      </w:tr>
      <w:tr>
        <w:tc>
          <w:tcPr>
            <w:tcW w:type="dxa" w:w="3408"/>
          </w:tcPr>
          <w:p>
            <w:r>
              <w:rPr>
                <w:rFonts w:ascii="Arial" w:hAnsi="Arial"/>
                <w:b w:val="0"/>
                <w:sz w:val="15"/>
              </w:rPr>
              <w:t>Pacha family</w:t>
            </w:r>
          </w:p>
        </w:tc>
        <w:tc>
          <w:tcPr>
            <w:tcW w:type="dxa" w:w="3408"/>
          </w:tcPr>
          <w:p>
            <w:r>
              <w:rPr>
                <w:rFonts w:ascii="Arial" w:hAnsi="Arial"/>
                <w:b w:val="0"/>
                <w:sz w:val="15"/>
              </w:rPr>
              <w:t>Pacha 2023; Pacha 2024</w:t>
            </w:r>
          </w:p>
        </w:tc>
        <w:tc>
          <w:tcPr>
            <w:tcW w:type="dxa" w:w="3408"/>
          </w:tcPr>
          <w:p>
            <w:r>
              <w:rPr>
                <w:rFonts w:ascii="Arial" w:hAnsi="Arial"/>
                <w:b w:val="0"/>
                <w:sz w:val="15"/>
              </w:rPr>
              <w:t>Related publications from the same underlying trial.</w:t>
            </w:r>
          </w:p>
        </w:tc>
      </w:tr>
      <w:tr>
        <w:tc>
          <w:tcPr>
            <w:tcW w:type="dxa" w:w="3408"/>
          </w:tcPr>
          <w:p>
            <w:r>
              <w:rPr>
                <w:rFonts w:ascii="Arial" w:hAnsi="Arial"/>
                <w:b w:val="0"/>
                <w:sz w:val="15"/>
              </w:rPr>
              <w:t>O'Brien 2003 direct trial</w:t>
            </w:r>
          </w:p>
        </w:tc>
        <w:tc>
          <w:tcPr>
            <w:tcW w:type="dxa" w:w="3408"/>
          </w:tcPr>
          <w:p>
            <w:r>
              <w:rPr>
                <w:rFonts w:ascii="Arial" w:hAnsi="Arial"/>
                <w:b w:val="0"/>
                <w:sz w:val="15"/>
              </w:rPr>
              <w:t>AJODO 124:128–137</w:t>
            </w:r>
          </w:p>
        </w:tc>
        <w:tc>
          <w:tcPr>
            <w:tcW w:type="dxa" w:w="3408"/>
          </w:tcPr>
          <w:p>
            <w:r>
              <w:rPr>
                <w:rFonts w:ascii="Arial" w:hAnsi="Arial"/>
                <w:b w:val="0"/>
                <w:sz w:val="15"/>
              </w:rPr>
              <w:t>Kept separate from O'Brien et al. 2003 Twin-Block early-treatment trial (AJODO 124:234–243).</w:t>
            </w:r>
          </w:p>
        </w:tc>
      </w:tr>
      <w:tr>
        <w:tc>
          <w:tcPr>
            <w:tcW w:type="dxa" w:w="3408"/>
          </w:tcPr>
          <w:p>
            <w:r>
              <w:rPr>
                <w:rFonts w:ascii="Arial" w:hAnsi="Arial"/>
                <w:b w:val="0"/>
                <w:sz w:val="15"/>
              </w:rPr>
              <w:t>O'Brien 2003 Twin-Block trial</w:t>
            </w:r>
          </w:p>
        </w:tc>
        <w:tc>
          <w:tcPr>
            <w:tcW w:type="dxa" w:w="3408"/>
          </w:tcPr>
          <w:p>
            <w:r>
              <w:rPr>
                <w:rFonts w:ascii="Arial" w:hAnsi="Arial"/>
                <w:b w:val="0"/>
                <w:sz w:val="15"/>
              </w:rPr>
              <w:t>AJODO 124:234–243</w:t>
            </w:r>
          </w:p>
        </w:tc>
        <w:tc>
          <w:tcPr>
            <w:tcW w:type="dxa" w:w="3408"/>
          </w:tcPr>
          <w:p>
            <w:r>
              <w:rPr>
                <w:rFonts w:ascii="Arial" w:hAnsi="Arial"/>
                <w:b w:val="0"/>
                <w:sz w:val="15"/>
              </w:rPr>
              <w:t>Kept separate from the direct Herbst-versus-Twin-Block trial.</w:t>
            </w:r>
          </w:p>
        </w:tc>
      </w:tr>
      <w:tr>
        <w:tc>
          <w:tcPr>
            <w:tcW w:type="dxa" w:w="3408"/>
          </w:tcPr>
          <w:p>
            <w:r>
              <w:rPr>
                <w:rFonts w:ascii="Arial" w:hAnsi="Arial"/>
                <w:b w:val="0"/>
                <w:sz w:val="15"/>
              </w:rPr>
              <w:t>Singh 2010 reports</w:t>
            </w:r>
          </w:p>
        </w:tc>
        <w:tc>
          <w:tcPr>
            <w:tcW w:type="dxa" w:w="3408"/>
          </w:tcPr>
          <w:p>
            <w:r>
              <w:rPr>
                <w:rFonts w:ascii="Arial" w:hAnsi="Arial"/>
                <w:b w:val="0"/>
                <w:sz w:val="15"/>
              </w:rPr>
              <w:t>Timing of myofunctional therapy vs Twin Block/Jasper Jumper paper</w:t>
            </w:r>
          </w:p>
        </w:tc>
        <w:tc>
          <w:tcPr>
            <w:tcW w:type="dxa" w:w="3408"/>
          </w:tcPr>
          <w:p>
            <w:r>
              <w:rPr>
                <w:rFonts w:ascii="Arial" w:hAnsi="Arial"/>
                <w:b w:val="0"/>
                <w:sz w:val="15"/>
              </w:rPr>
              <w:t>Same first author/year but distinct studies; deliberately kept separate.</w:t>
            </w:r>
          </w:p>
        </w:tc>
      </w:tr>
      <w:tr>
        <w:tc>
          <w:tcPr>
            <w:tcW w:type="dxa" w:w="3408"/>
          </w:tcPr>
          <w:p>
            <w:r>
              <w:rPr>
                <w:rFonts w:ascii="Arial" w:hAnsi="Arial"/>
                <w:b w:val="0"/>
                <w:sz w:val="15"/>
              </w:rPr>
              <w:t>Aras 2017 reports</w:t>
            </w:r>
          </w:p>
        </w:tc>
        <w:tc>
          <w:tcPr>
            <w:tcW w:type="dxa" w:w="3408"/>
          </w:tcPr>
          <w:p>
            <w:r>
              <w:rPr>
                <w:rFonts w:ascii="Arial" w:hAnsi="Arial"/>
                <w:b w:val="0"/>
                <w:sz w:val="15"/>
              </w:rPr>
              <w:t>FMA advancement-protocol trial vs Forsus/Class II elastics subdivision study</w:t>
            </w:r>
          </w:p>
        </w:tc>
        <w:tc>
          <w:tcPr>
            <w:tcW w:type="dxa" w:w="3408"/>
          </w:tcPr>
          <w:p>
            <w:r>
              <w:rPr>
                <w:rFonts w:ascii="Arial" w:hAnsi="Arial"/>
                <w:b w:val="0"/>
                <w:sz w:val="15"/>
              </w:rPr>
              <w:t>Same first author/year but distinct studies; deliberately kept separate.</w:t>
            </w:r>
          </w:p>
        </w:tc>
      </w:tr>
    </w:tbl>
    <w:p>
      <w:pPr>
        <w:pStyle w:val="Heading1"/>
      </w:pPr>
      <w:r>
        <w:t>Accompanying citation-matrix spreadsheet</w:t>
      </w:r>
    </w:p>
    <w:p>
      <w:r>
        <w:t>The accompanying XLSX file contains the full 161 × 38 binary citation matrix, review-level family counts, a formula-driven CCA summary, family-consolidation rules, and an audit trail for clearly separable primary reports not entered in the eligible skeletal/dentoalveolar matrix.</w:t>
      </w:r>
    </w:p>
    <w:sectPr w:rsidR="00FC693F" w:rsidRPr="0006063C" w:rsidSect="00034616">
      <w:footerReference w:type="default" r:id="rId9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Supplementary Material 3 — Citation matrix and CCA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