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FF9" w:rsidRDefault="00645FF9" w:rsidP="00645FF9">
      <w:pPr>
        <w:pStyle w:val="Geenafstand"/>
        <w:rPr>
          <w:rFonts w:asciiTheme="minorHAnsi" w:hAnsiTheme="minorHAnsi"/>
          <w:b/>
          <w:lang w:val="en-GB"/>
        </w:rPr>
      </w:pPr>
      <w:r>
        <w:rPr>
          <w:b/>
          <w:lang w:val="en-GB"/>
        </w:rPr>
        <w:t>Additional file</w:t>
      </w:r>
      <w:r w:rsidRPr="00B91916">
        <w:rPr>
          <w:b/>
          <w:lang w:val="en-GB"/>
        </w:rPr>
        <w:t xml:space="preserve"> 3. </w:t>
      </w:r>
      <w:r w:rsidRPr="0053627E">
        <w:rPr>
          <w:rFonts w:asciiTheme="minorHAnsi" w:hAnsiTheme="minorHAnsi"/>
          <w:b/>
          <w:lang w:val="en-GB"/>
        </w:rPr>
        <w:t>Examples of reported strategies and tools</w:t>
      </w:r>
    </w:p>
    <w:p w:rsidR="00645FF9" w:rsidRPr="0053627E" w:rsidRDefault="00645FF9" w:rsidP="00645FF9">
      <w:pPr>
        <w:pStyle w:val="Geenafstand"/>
        <w:rPr>
          <w:b/>
          <w:lang w:val="en-GB"/>
        </w:rPr>
      </w:pPr>
    </w:p>
    <w:p w:rsidR="00645FF9" w:rsidRPr="003B65B0" w:rsidRDefault="00645FF9" w:rsidP="00645FF9">
      <w:pPr>
        <w:pStyle w:val="Geenafstand"/>
        <w:rPr>
          <w:rFonts w:asciiTheme="minorHAnsi" w:hAnsiTheme="minorHAnsi"/>
          <w:lang w:val="en-GB"/>
        </w:rPr>
      </w:pPr>
      <w:r w:rsidRPr="00DB2C35">
        <w:rPr>
          <w:rFonts w:asciiTheme="minorHAnsi" w:hAnsiTheme="minorHAnsi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1304D0" wp14:editId="61AC73B5">
                <wp:simplePos x="0" y="0"/>
                <wp:positionH relativeFrom="column">
                  <wp:posOffset>14605</wp:posOffset>
                </wp:positionH>
                <wp:positionV relativeFrom="paragraph">
                  <wp:posOffset>85753</wp:posOffset>
                </wp:positionV>
                <wp:extent cx="5804452" cy="5247860"/>
                <wp:effectExtent l="0" t="0" r="25400" b="1016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4452" cy="5247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5FF9" w:rsidRDefault="00645FF9" w:rsidP="00645FF9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/>
                                <w:lang w:val="en-GB"/>
                              </w:rPr>
                            </w:pPr>
                            <w:r w:rsidRPr="00DB1D4E">
                              <w:rPr>
                                <w:rFonts w:asciiTheme="minorHAnsi" w:hAnsiTheme="minorHAnsi"/>
                                <w:lang w:val="en-US"/>
                              </w:rPr>
                              <w:t xml:space="preserve">Chou </w:t>
                            </w:r>
                            <w:r>
                              <w:rPr>
                                <w:rFonts w:asciiTheme="minorHAnsi" w:hAnsiTheme="minorHAnsi"/>
                                <w:lang w:val="en-US"/>
                              </w:rPr>
                              <w:t xml:space="preserve">et al. </w:t>
                            </w:r>
                            <w:r>
                              <w:rPr>
                                <w:rFonts w:asciiTheme="minorHAnsi" w:hAnsiTheme="minorHAnsi"/>
                                <w:lang w:val="en-GB"/>
                              </w:rPr>
                              <w:t>[19]</w:t>
                            </w:r>
                            <w:r w:rsidRPr="00DB1D4E">
                              <w:rPr>
                                <w:rFonts w:asciiTheme="minorHAnsi" w:hAnsiTheme="minorHAnsi"/>
                                <w:lang w:val="en-US"/>
                              </w:rPr>
                              <w:t xml:space="preserve"> mention </w:t>
                            </w:r>
                            <w:r>
                              <w:rPr>
                                <w:rFonts w:asciiTheme="minorHAnsi" w:hAnsiTheme="minorHAnsi"/>
                                <w:lang w:val="en-US"/>
                              </w:rPr>
                              <w:t xml:space="preserve">two studies in which </w:t>
                            </w:r>
                            <w:r>
                              <w:rPr>
                                <w:rFonts w:asciiTheme="minorHAnsi" w:hAnsiTheme="minorHAnsi"/>
                                <w:lang w:val="en-GB"/>
                              </w:rPr>
                              <w:t xml:space="preserve"> video formats  may enhance understanding of end-of-life care options, including palliative care. For example, to elicit patient preference for care one study presented a verbal description of the disease and three available care options to participants, and also showed a video depicting a patient with that disease and the different treatments associated with the three available care options</w:t>
                            </w:r>
                            <w:r w:rsidRPr="007A2B38">
                              <w:rPr>
                                <w:rFonts w:asciiTheme="minorHAnsi" w:hAnsiTheme="minorHAnsi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lang w:val="en-GB"/>
                              </w:rPr>
                              <w:t>to the same participants. After watching the video more participants (89% versus 50%) preferred comfort care, also in the group of minorities and lower educated people.</w:t>
                            </w:r>
                          </w:p>
                          <w:p w:rsidR="00645FF9" w:rsidRDefault="00645FF9" w:rsidP="00645FF9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/>
                                <w:lang w:val="en-GB"/>
                              </w:rPr>
                            </w:pPr>
                            <w:r w:rsidRPr="00275AB3">
                              <w:rPr>
                                <w:rFonts w:asciiTheme="minorHAnsi" w:hAnsiTheme="minorHAnsi"/>
                                <w:lang w:val="en-US"/>
                              </w:rPr>
                              <w:t xml:space="preserve">Chou </w:t>
                            </w:r>
                            <w:r>
                              <w:rPr>
                                <w:rFonts w:asciiTheme="minorHAnsi" w:hAnsiTheme="minorHAnsi"/>
                                <w:lang w:val="en-US"/>
                              </w:rPr>
                              <w:t>et al.</w:t>
                            </w:r>
                            <w:r>
                              <w:rPr>
                                <w:rFonts w:asciiTheme="minorHAnsi" w:hAnsiTheme="minorHAnsi"/>
                                <w:lang w:val="en-GB"/>
                              </w:rPr>
                              <w:t>[19</w:t>
                            </w:r>
                            <w:r w:rsidRPr="00275AB3">
                              <w:rPr>
                                <w:rFonts w:asciiTheme="minorHAnsi" w:hAnsiTheme="minorHAnsi"/>
                                <w:lang w:val="en-GB"/>
                              </w:rPr>
                              <w:t>]</w:t>
                            </w:r>
                            <w:r w:rsidRPr="00275AB3">
                              <w:rPr>
                                <w:rFonts w:asciiTheme="minorHAnsi" w:hAnsiTheme="minorHAnsi"/>
                                <w:lang w:val="en-US"/>
                              </w:rPr>
                              <w:t xml:space="preserve"> mention</w:t>
                            </w:r>
                            <w:r>
                              <w:rPr>
                                <w:rFonts w:asciiTheme="minorHAnsi" w:hAnsiTheme="minorHAnsi"/>
                                <w:lang w:val="en-US"/>
                              </w:rPr>
                              <w:t xml:space="preserve"> examples of</w:t>
                            </w:r>
                            <w:r w:rsidRPr="00275AB3">
                              <w:rPr>
                                <w:rFonts w:asciiTheme="minorHAnsi" w:hAnsiTheme="minorHAnsi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lang w:val="en-US"/>
                              </w:rPr>
                              <w:t>previous studies that found</w:t>
                            </w:r>
                            <w:r w:rsidRPr="00275AB3">
                              <w:rPr>
                                <w:rFonts w:asciiTheme="minorHAnsi" w:hAnsiTheme="minorHAnsi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lang w:val="en-US"/>
                              </w:rPr>
                              <w:t>to facilitate patient understanding by providing</w:t>
                            </w:r>
                            <w:r>
                              <w:rPr>
                                <w:rFonts w:asciiTheme="minorHAnsi" w:hAnsiTheme="minorHAnsi"/>
                                <w:lang w:val="en-GB"/>
                              </w:rPr>
                              <w:t>:</w:t>
                            </w:r>
                            <w:r w:rsidRPr="00275AB3">
                              <w:rPr>
                                <w:rFonts w:asciiTheme="minorHAnsi" w:hAnsiTheme="minorHAnsi"/>
                                <w:lang w:val="en-GB"/>
                              </w:rPr>
                              <w:t xml:space="preserve"> probabilistic information presented as frequency </w:t>
                            </w:r>
                            <w:r>
                              <w:rPr>
                                <w:rFonts w:asciiTheme="minorHAnsi" w:hAnsiTheme="minorHAnsi"/>
                                <w:lang w:val="en-GB"/>
                              </w:rPr>
                              <w:t>(e.g. ‘4 out of 10 patients’’) instead of</w:t>
                            </w:r>
                            <w:r w:rsidRPr="00275AB3">
                              <w:rPr>
                                <w:rFonts w:asciiTheme="minorHAnsi" w:hAnsiTheme="minorHAnsi"/>
                                <w:lang w:val="en-GB"/>
                              </w:rPr>
                              <w:t xml:space="preserve"> presented as percentage</w:t>
                            </w:r>
                            <w:r>
                              <w:rPr>
                                <w:rFonts w:asciiTheme="minorHAnsi" w:hAnsiTheme="minorHAnsi"/>
                                <w:lang w:val="en-GB"/>
                              </w:rPr>
                              <w:t xml:space="preserve"> (e.g. ‘40% of patients’); w</w:t>
                            </w:r>
                            <w:r w:rsidRPr="00275AB3">
                              <w:rPr>
                                <w:rFonts w:asciiTheme="minorHAnsi" w:hAnsiTheme="minorHAnsi"/>
                                <w:lang w:val="en-GB"/>
                              </w:rPr>
                              <w:t xml:space="preserve">hen comparing treatment options, risks described in terms of their absolute levels </w:t>
                            </w:r>
                            <w:r>
                              <w:rPr>
                                <w:rFonts w:asciiTheme="minorHAnsi" w:hAnsiTheme="minorHAnsi"/>
                                <w:lang w:val="en-GB"/>
                              </w:rPr>
                              <w:t xml:space="preserve">(e.g. ‘the number of patients who experience the side effect would increase from 1 in 1,000 to 2 in 1,000) </w:t>
                            </w:r>
                            <w:r w:rsidRPr="00275AB3">
                              <w:rPr>
                                <w:rFonts w:asciiTheme="minorHAnsi" w:hAnsiTheme="minorHAnsi"/>
                                <w:lang w:val="en-GB"/>
                              </w:rPr>
                              <w:t>are preferable to those described in relative levels</w:t>
                            </w:r>
                            <w:r>
                              <w:rPr>
                                <w:rFonts w:asciiTheme="minorHAnsi" w:hAnsiTheme="minorHAnsi"/>
                                <w:lang w:val="en-GB"/>
                              </w:rPr>
                              <w:t xml:space="preserve"> (‘the risk would double’);</w:t>
                            </w:r>
                            <w:r w:rsidRPr="00275AB3">
                              <w:rPr>
                                <w:rFonts w:asciiTheme="minorHAnsi" w:hAnsiTheme="minorHAnsi"/>
                                <w:lang w:val="en-GB"/>
                              </w:rPr>
                              <w:t xml:space="preserve"> and using a consistent denominator when comparing risks</w:t>
                            </w:r>
                            <w:r>
                              <w:rPr>
                                <w:rFonts w:asciiTheme="minorHAnsi" w:hAnsiTheme="minorHAnsi"/>
                                <w:lang w:val="en-GB"/>
                              </w:rPr>
                              <w:t xml:space="preserve"> (e.g. ‘1 in 100’ vs. ‘10 in 100’).</w:t>
                            </w:r>
                          </w:p>
                          <w:p w:rsidR="00645FF9" w:rsidRDefault="00645FF9" w:rsidP="00645FF9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lang w:val="en-GB"/>
                              </w:rPr>
                              <w:t>Fage-Butler et al. [37] provide the example of end-of-life leaflets, which should be written in a way that promotes understanding and meet palliative care patients’ physical needs (indirectly), intellectual, emotional and spiritual needs, and access to information.</w:t>
                            </w:r>
                          </w:p>
                          <w:p w:rsidR="00645FF9" w:rsidRPr="00275AB3" w:rsidRDefault="00645FF9" w:rsidP="00645FF9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lang w:val="en-GB"/>
                              </w:rPr>
                              <w:t xml:space="preserve">Kidd and colleagues [38] </w:t>
                            </w:r>
                            <w:r w:rsidRPr="0073584E">
                              <w:rPr>
                                <w:rFonts w:asciiTheme="minorHAnsi" w:hAnsiTheme="minorHAnsi"/>
                                <w:lang w:val="en-GB"/>
                              </w:rPr>
                              <w:t>formulated specific health literacy demands concerning three topics for HCPs: medicines, providing care to patients and navigating the palliative care system</w:t>
                            </w:r>
                            <w:r>
                              <w:rPr>
                                <w:rFonts w:asciiTheme="minorHAnsi" w:hAnsiTheme="minorHAnsi"/>
                                <w:lang w:val="en-GB"/>
                              </w:rPr>
                              <w:t xml:space="preserve"> (knowledge &amp; tasks). For example with respect to ‘providing care to patients’ some tasks are: work in partnership with their significant other(s) and other health professionals; monitor patient’s physical, mental and spiritual wellbeing.</w:t>
                            </w:r>
                          </w:p>
                          <w:p w:rsidR="00645FF9" w:rsidRDefault="00645FF9" w:rsidP="00645FF9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lang w:val="en-GB"/>
                              </w:rPr>
                              <w:t>Rawlings et al. [39] mention a checklist, with 10 items, for consideration in the web environment, e.g. what readability levels have been set and how are they decided; are images appropriate to reinforce the message; could the message be delivered in another format e.g. video.</w:t>
                            </w:r>
                          </w:p>
                          <w:p w:rsidR="00645FF9" w:rsidRDefault="00645FF9" w:rsidP="00645FF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.15pt;margin-top:6.75pt;width:457.05pt;height:41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">
                <v:textbox>
                  <w:txbxContent>
                    <w:p w:rsidR="00645FF9" w:rsidRDefault="00645FF9" w:rsidP="00645FF9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/>
                          <w:lang w:val="en-GB"/>
                        </w:rPr>
                      </w:pPr>
                      <w:r w:rsidRPr="00DB1D4E">
                        <w:rPr>
                          <w:rFonts w:asciiTheme="minorHAnsi" w:hAnsiTheme="minorHAnsi"/>
                          <w:lang w:val="en-US"/>
                        </w:rPr>
                        <w:t xml:space="preserve">Chou </w:t>
                      </w:r>
                      <w:r>
                        <w:rPr>
                          <w:rFonts w:asciiTheme="minorHAnsi" w:hAnsiTheme="minorHAnsi"/>
                          <w:lang w:val="en-US"/>
                        </w:rPr>
                        <w:t xml:space="preserve">et al. </w:t>
                      </w:r>
                      <w:r>
                        <w:rPr>
                          <w:rFonts w:asciiTheme="minorHAnsi" w:hAnsiTheme="minorHAnsi"/>
                          <w:lang w:val="en-GB"/>
                        </w:rPr>
                        <w:t>[19]</w:t>
                      </w:r>
                      <w:r w:rsidRPr="00DB1D4E">
                        <w:rPr>
                          <w:rFonts w:asciiTheme="minorHAnsi" w:hAnsiTheme="minorHAnsi"/>
                          <w:lang w:val="en-US"/>
                        </w:rPr>
                        <w:t xml:space="preserve"> mention </w:t>
                      </w:r>
                      <w:r>
                        <w:rPr>
                          <w:rFonts w:asciiTheme="minorHAnsi" w:hAnsiTheme="minorHAnsi"/>
                          <w:lang w:val="en-US"/>
                        </w:rPr>
                        <w:t xml:space="preserve">two studies in which </w:t>
                      </w:r>
                      <w:r>
                        <w:rPr>
                          <w:rFonts w:asciiTheme="minorHAnsi" w:hAnsiTheme="minorHAnsi"/>
                          <w:lang w:val="en-GB"/>
                        </w:rPr>
                        <w:t xml:space="preserve"> video formats  may enhance understanding of end-of-life care options, including palliative care. For example, to elicit patient preference for care one study presented a verbal description of the disease and three available care options to participants, and also showed a video depicting a patient with that disease and the different treatments associated with the three available care options</w:t>
                      </w:r>
                      <w:r w:rsidRPr="007A2B38">
                        <w:rPr>
                          <w:rFonts w:asciiTheme="minorHAnsi" w:hAnsiTheme="minorHAnsi"/>
                          <w:lang w:val="en-GB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lang w:val="en-GB"/>
                        </w:rPr>
                        <w:t>to the same participants. After watching the video more participants (89% versus 50%) preferred comfort care, also in the group of minorities and lower educated people.</w:t>
                      </w:r>
                    </w:p>
                    <w:p w:rsidR="00645FF9" w:rsidRDefault="00645FF9" w:rsidP="00645FF9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/>
                          <w:lang w:val="en-GB"/>
                        </w:rPr>
                      </w:pPr>
                      <w:r w:rsidRPr="00275AB3">
                        <w:rPr>
                          <w:rFonts w:asciiTheme="minorHAnsi" w:hAnsiTheme="minorHAnsi"/>
                          <w:lang w:val="en-US"/>
                        </w:rPr>
                        <w:t xml:space="preserve">Chou </w:t>
                      </w:r>
                      <w:r>
                        <w:rPr>
                          <w:rFonts w:asciiTheme="minorHAnsi" w:hAnsiTheme="minorHAnsi"/>
                          <w:lang w:val="en-US"/>
                        </w:rPr>
                        <w:t>et al.</w:t>
                      </w:r>
                      <w:r>
                        <w:rPr>
                          <w:rFonts w:asciiTheme="minorHAnsi" w:hAnsiTheme="minorHAnsi"/>
                          <w:lang w:val="en-GB"/>
                        </w:rPr>
                        <w:t>[19</w:t>
                      </w:r>
                      <w:r w:rsidRPr="00275AB3">
                        <w:rPr>
                          <w:rFonts w:asciiTheme="minorHAnsi" w:hAnsiTheme="minorHAnsi"/>
                          <w:lang w:val="en-GB"/>
                        </w:rPr>
                        <w:t>]</w:t>
                      </w:r>
                      <w:r w:rsidRPr="00275AB3">
                        <w:rPr>
                          <w:rFonts w:asciiTheme="minorHAnsi" w:hAnsiTheme="minorHAnsi"/>
                          <w:lang w:val="en-US"/>
                        </w:rPr>
                        <w:t xml:space="preserve"> mention</w:t>
                      </w:r>
                      <w:r>
                        <w:rPr>
                          <w:rFonts w:asciiTheme="minorHAnsi" w:hAnsiTheme="minorHAnsi"/>
                          <w:lang w:val="en-US"/>
                        </w:rPr>
                        <w:t xml:space="preserve"> examples of</w:t>
                      </w:r>
                      <w:r w:rsidRPr="00275AB3">
                        <w:rPr>
                          <w:rFonts w:asciiTheme="minorHAnsi" w:hAnsiTheme="minorHAnsi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lang w:val="en-US"/>
                        </w:rPr>
                        <w:t>previous studies that found</w:t>
                      </w:r>
                      <w:r w:rsidRPr="00275AB3">
                        <w:rPr>
                          <w:rFonts w:asciiTheme="minorHAnsi" w:hAnsiTheme="minorHAnsi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lang w:val="en-US"/>
                        </w:rPr>
                        <w:t>to facilitate patient understanding by providing</w:t>
                      </w:r>
                      <w:r>
                        <w:rPr>
                          <w:rFonts w:asciiTheme="minorHAnsi" w:hAnsiTheme="minorHAnsi"/>
                          <w:lang w:val="en-GB"/>
                        </w:rPr>
                        <w:t>:</w:t>
                      </w:r>
                      <w:r w:rsidRPr="00275AB3">
                        <w:rPr>
                          <w:rFonts w:asciiTheme="minorHAnsi" w:hAnsiTheme="minorHAnsi"/>
                          <w:lang w:val="en-GB"/>
                        </w:rPr>
                        <w:t xml:space="preserve"> probabilistic information presented as frequency </w:t>
                      </w:r>
                      <w:r>
                        <w:rPr>
                          <w:rFonts w:asciiTheme="minorHAnsi" w:hAnsiTheme="minorHAnsi"/>
                          <w:lang w:val="en-GB"/>
                        </w:rPr>
                        <w:t>(e.g. ‘4 out of 10 patients’’) instead of</w:t>
                      </w:r>
                      <w:r w:rsidRPr="00275AB3">
                        <w:rPr>
                          <w:rFonts w:asciiTheme="minorHAnsi" w:hAnsiTheme="minorHAnsi"/>
                          <w:lang w:val="en-GB"/>
                        </w:rPr>
                        <w:t xml:space="preserve"> presented as percentage</w:t>
                      </w:r>
                      <w:r>
                        <w:rPr>
                          <w:rFonts w:asciiTheme="minorHAnsi" w:hAnsiTheme="minorHAnsi"/>
                          <w:lang w:val="en-GB"/>
                        </w:rPr>
                        <w:t xml:space="preserve"> (e.g. ‘40% of patients’); w</w:t>
                      </w:r>
                      <w:r w:rsidRPr="00275AB3">
                        <w:rPr>
                          <w:rFonts w:asciiTheme="minorHAnsi" w:hAnsiTheme="minorHAnsi"/>
                          <w:lang w:val="en-GB"/>
                        </w:rPr>
                        <w:t xml:space="preserve">hen comparing treatment options, risks described in terms of their absolute levels </w:t>
                      </w:r>
                      <w:r>
                        <w:rPr>
                          <w:rFonts w:asciiTheme="minorHAnsi" w:hAnsiTheme="minorHAnsi"/>
                          <w:lang w:val="en-GB"/>
                        </w:rPr>
                        <w:t xml:space="preserve">(e.g. ‘the number of patients who experience the side effect would increase from 1 in 1,000 to 2 in 1,000) </w:t>
                      </w:r>
                      <w:r w:rsidRPr="00275AB3">
                        <w:rPr>
                          <w:rFonts w:asciiTheme="minorHAnsi" w:hAnsiTheme="minorHAnsi"/>
                          <w:lang w:val="en-GB"/>
                        </w:rPr>
                        <w:t>are preferable to those described in relative levels</w:t>
                      </w:r>
                      <w:r>
                        <w:rPr>
                          <w:rFonts w:asciiTheme="minorHAnsi" w:hAnsiTheme="minorHAnsi"/>
                          <w:lang w:val="en-GB"/>
                        </w:rPr>
                        <w:t xml:space="preserve"> (‘the risk would double’);</w:t>
                      </w:r>
                      <w:r w:rsidRPr="00275AB3">
                        <w:rPr>
                          <w:rFonts w:asciiTheme="minorHAnsi" w:hAnsiTheme="minorHAnsi"/>
                          <w:lang w:val="en-GB"/>
                        </w:rPr>
                        <w:t xml:space="preserve"> and using a consistent denominator when comparing risks</w:t>
                      </w:r>
                      <w:r>
                        <w:rPr>
                          <w:rFonts w:asciiTheme="minorHAnsi" w:hAnsiTheme="minorHAnsi"/>
                          <w:lang w:val="en-GB"/>
                        </w:rPr>
                        <w:t xml:space="preserve"> (e.g. ‘1 in 100’ vs. ‘10 in 100’).</w:t>
                      </w:r>
                    </w:p>
                    <w:p w:rsidR="00645FF9" w:rsidRDefault="00645FF9" w:rsidP="00645FF9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lang w:val="en-GB"/>
                        </w:rPr>
                        <w:t>Fage-Butler et al. [37] provide the example of end-of-life leaflets, which should be written in a way that promotes understanding and meet palliative care patients’ physical needs (indirectly), intellectual, emotional and spiritual needs, and access to information.</w:t>
                      </w:r>
                    </w:p>
                    <w:p w:rsidR="00645FF9" w:rsidRPr="00275AB3" w:rsidRDefault="00645FF9" w:rsidP="00645FF9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lang w:val="en-GB"/>
                        </w:rPr>
                        <w:t xml:space="preserve">Kidd and colleagues [38] </w:t>
                      </w:r>
                      <w:r w:rsidRPr="0073584E">
                        <w:rPr>
                          <w:rFonts w:asciiTheme="minorHAnsi" w:hAnsiTheme="minorHAnsi"/>
                          <w:lang w:val="en-GB"/>
                        </w:rPr>
                        <w:t>formulated specific health literacy demands concerning three topics for HCPs: medicines, providing care to patients and navigating the palliative care system</w:t>
                      </w:r>
                      <w:r>
                        <w:rPr>
                          <w:rFonts w:asciiTheme="minorHAnsi" w:hAnsiTheme="minorHAnsi"/>
                          <w:lang w:val="en-GB"/>
                        </w:rPr>
                        <w:t xml:space="preserve"> (knowledge &amp; tasks). For example with respect to ‘providing care to patients’ some tasks are: work in partnership with their significant other(s) and other health professionals; monitor patient’s physical, mental and spiritual wellbeing.</w:t>
                      </w:r>
                    </w:p>
                    <w:p w:rsidR="00645FF9" w:rsidRDefault="00645FF9" w:rsidP="00645FF9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/>
                          <w:lang w:val="en-GB"/>
                        </w:rPr>
                      </w:pPr>
                      <w:r>
                        <w:rPr>
                          <w:rFonts w:asciiTheme="minorHAnsi" w:hAnsiTheme="minorHAnsi"/>
                          <w:lang w:val="en-GB"/>
                        </w:rPr>
                        <w:t>Rawlings et al. [39] mention a checklist, with 10 items, for consideration in the web environment, e.g. what readability levels have been set and how are they decided; are images appropriate to reinforce the message; could the message be delivered in another format e.g. video.</w:t>
                      </w:r>
                    </w:p>
                    <w:p w:rsidR="00645FF9" w:rsidRDefault="00645FF9" w:rsidP="00645FF9"/>
                  </w:txbxContent>
                </v:textbox>
              </v:shape>
            </w:pict>
          </mc:Fallback>
        </mc:AlternateContent>
      </w:r>
    </w:p>
    <w:p w:rsidR="00645FF9" w:rsidRPr="003B65B0" w:rsidRDefault="00645FF9" w:rsidP="00645FF9">
      <w:pPr>
        <w:contextualSpacing/>
        <w:rPr>
          <w:rFonts w:asciiTheme="minorHAnsi" w:hAnsiTheme="minorHAnsi" w:cs="Times New Roman"/>
          <w:lang w:val="en-GB"/>
        </w:rPr>
      </w:pPr>
    </w:p>
    <w:p w:rsidR="007347DC" w:rsidRDefault="007347DC" w:rsidP="009F73CA">
      <w:pPr>
        <w:pStyle w:val="Geenafstand"/>
      </w:pPr>
      <w:bookmarkStart w:id="0" w:name="_GoBack"/>
      <w:bookmarkEnd w:id="0"/>
    </w:p>
    <w:sectPr w:rsidR="007347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D6126"/>
    <w:multiLevelType w:val="hybridMultilevel"/>
    <w:tmpl w:val="1196F498"/>
    <w:lvl w:ilvl="0" w:tplc="161211E0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FF9"/>
    <w:rsid w:val="00645FF9"/>
    <w:rsid w:val="007347DC"/>
    <w:rsid w:val="007D070D"/>
    <w:rsid w:val="009F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F73C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7D070D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645FF9"/>
    <w:pPr>
      <w:ind w:left="720"/>
      <w:contextualSpacing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645F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F73C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7D070D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645FF9"/>
    <w:pPr>
      <w:ind w:left="720"/>
      <w:contextualSpacing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645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NIVEL</Company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Janneke Noordman</dc:creator>
  <cp:lastModifiedBy>Janneke Noordman</cp:lastModifiedBy>
  <cp:revision>1</cp:revision>
  <dcterms:created xsi:type="dcterms:W3CDTF">2019-03-25T09:30:00Z</dcterms:created>
  <dcterms:modified xsi:type="dcterms:W3CDTF">2019-03-25T09:30:00Z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