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11CE" w:rsidRDefault="00F211CE" w:rsidP="00F211CE">
      <w:pPr>
        <w:widowControl w:val="0"/>
        <w:spacing w:after="200" w:line="480" w:lineRule="auto"/>
        <w:ind w:left="640" w:hanging="640"/>
        <w:rPr>
          <w:b/>
          <w:color w:val="000000"/>
        </w:rPr>
      </w:pPr>
      <w:bookmarkStart w:id="0" w:name="_GoBack"/>
      <w:r w:rsidRPr="00C0732F">
        <w:rPr>
          <w:b/>
          <w:color w:val="000000"/>
        </w:rPr>
        <w:t>Supplementary document:</w:t>
      </w:r>
    </w:p>
    <w:p w:rsidR="00F211CE" w:rsidRPr="00C0732F" w:rsidRDefault="00F211CE" w:rsidP="00F211CE">
      <w:pPr>
        <w:widowControl w:val="0"/>
        <w:pBdr>
          <w:top w:val="nil"/>
          <w:left w:val="nil"/>
          <w:bottom w:val="nil"/>
          <w:right w:val="nil"/>
          <w:between w:val="nil"/>
        </w:pBdr>
        <w:spacing w:after="200" w:line="480" w:lineRule="auto"/>
        <w:ind w:left="640" w:hanging="640"/>
        <w:rPr>
          <w:color w:val="000000"/>
        </w:rPr>
      </w:pPr>
      <w:r>
        <w:rPr>
          <w:b/>
          <w:color w:val="000000"/>
        </w:rPr>
        <w:t>A</w:t>
      </w:r>
      <w:r w:rsidRPr="00580E23">
        <w:rPr>
          <w:b/>
          <w:color w:val="000000"/>
        </w:rPr>
        <w:t>ppendix</w:t>
      </w:r>
      <w:r>
        <w:rPr>
          <w:b/>
          <w:color w:val="000000"/>
        </w:rPr>
        <w:t xml:space="preserve"> 1</w:t>
      </w:r>
      <w:r w:rsidRPr="00C0732F">
        <w:rPr>
          <w:b/>
          <w:color w:val="000000"/>
        </w:rPr>
        <w:t>.</w:t>
      </w:r>
      <w:r w:rsidRPr="00C0732F">
        <w:rPr>
          <w:color w:val="000000"/>
        </w:rPr>
        <w:t xml:space="preserve"> Colombian legal framework related to palliative care</w:t>
      </w:r>
    </w:p>
    <w:tbl>
      <w:tblPr>
        <w:tblW w:w="8978"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2"/>
        <w:gridCol w:w="802"/>
        <w:gridCol w:w="5184"/>
      </w:tblGrid>
      <w:tr w:rsidR="00F211CE" w:rsidRPr="00C0732F" w:rsidTr="00984FB0">
        <w:tc>
          <w:tcPr>
            <w:tcW w:w="2992" w:type="dxa"/>
            <w:tcBorders>
              <w:left w:val="nil"/>
              <w:bottom w:val="single" w:sz="4" w:space="0" w:color="000000"/>
              <w:right w:val="nil"/>
            </w:tcBorders>
          </w:tcPr>
          <w:p w:rsidR="00F211CE" w:rsidRPr="00C0732F" w:rsidRDefault="00F211CE" w:rsidP="00984FB0">
            <w:pPr>
              <w:pBdr>
                <w:top w:val="nil"/>
                <w:left w:val="nil"/>
                <w:bottom w:val="nil"/>
                <w:right w:val="nil"/>
                <w:between w:val="nil"/>
              </w:pBdr>
              <w:spacing w:line="480" w:lineRule="auto"/>
              <w:jc w:val="center"/>
              <w:rPr>
                <w:b/>
              </w:rPr>
            </w:pPr>
            <w:r w:rsidRPr="00C0732F">
              <w:rPr>
                <w:b/>
              </w:rPr>
              <w:t>Framework</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center"/>
              <w:rPr>
                <w:b/>
              </w:rPr>
            </w:pPr>
            <w:r w:rsidRPr="00C0732F">
              <w:rPr>
                <w:b/>
              </w:rPr>
              <w:t>Year</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jc w:val="center"/>
              <w:rPr>
                <w:b/>
              </w:rPr>
            </w:pPr>
            <w:r w:rsidRPr="00C0732F">
              <w:rPr>
                <w:b/>
              </w:rPr>
              <w:t>Description</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Law 1384</w:t>
            </w:r>
          </w:p>
          <w:p w:rsidR="00F211CE" w:rsidRPr="00C0732F" w:rsidRDefault="00F211CE" w:rsidP="00984FB0">
            <w:pPr>
              <w:pBdr>
                <w:top w:val="nil"/>
                <w:left w:val="nil"/>
                <w:bottom w:val="nil"/>
                <w:right w:val="nil"/>
                <w:between w:val="nil"/>
              </w:pBdr>
              <w:spacing w:line="480" w:lineRule="auto"/>
              <w:jc w:val="both"/>
              <w:rPr>
                <w:i/>
              </w:rPr>
            </w:pPr>
            <w:r w:rsidRPr="00C0732F">
              <w:rPr>
                <w:i/>
              </w:rPr>
              <w:t>“Ley Sandra Ceballos”</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2010</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Specifically supports the diffusion and guarantees palliative care assistance</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Resolution 1841</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2013</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Ten-Year Public Health Plan 2012- 2021</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Resolution 1383</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2013</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 xml:space="preserve">Ten-Year Cancer Control Plan 2012 -2021 </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Law 1733</w:t>
            </w:r>
          </w:p>
          <w:p w:rsidR="00F211CE" w:rsidRPr="00C0732F" w:rsidRDefault="00F211CE" w:rsidP="00984FB0">
            <w:pPr>
              <w:pBdr>
                <w:top w:val="nil"/>
                <w:left w:val="nil"/>
                <w:bottom w:val="nil"/>
                <w:right w:val="nil"/>
                <w:between w:val="nil"/>
              </w:pBdr>
              <w:spacing w:line="480" w:lineRule="auto"/>
              <w:jc w:val="both"/>
              <w:rPr>
                <w:i/>
              </w:rPr>
            </w:pPr>
            <w:r w:rsidRPr="00C0732F">
              <w:rPr>
                <w:i/>
              </w:rPr>
              <w:t>“Ley Consuelo Deivis”</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2014</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Regulate palliative care services for comprehensive management of patients with terminal, chronic, degenerative, and irreversible diseases in any phase of the disease ensuring quality of life.</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Law 1753</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2015</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The base for the issue of the National Development Plan. Strengthens human resource capacities of health providers that attend older adults, relating social health determinants, rights focus, life course, primary health care (palliative care, home care, and caregiver care)</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Resolution 429</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2016</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 xml:space="preserve">Regulates the comprehensive health care policy </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Circular 022</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2016</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 xml:space="preserve">Guidelines that manage access to opioid medication and pain management </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Circular 023</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2016</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pPr>
            <w:r w:rsidRPr="00C0732F">
              <w:t>Instructions to guarantee palliative care rights for requiring patients</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lastRenderedPageBreak/>
              <w:t>Resolution 1477</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2016</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Childhood Cancer Care Unit (CCCU)</w:t>
            </w:r>
          </w:p>
        </w:tc>
      </w:tr>
      <w:tr w:rsidR="00F211CE" w:rsidRPr="00C0732F" w:rsidTr="00984FB0">
        <w:tc>
          <w:tcPr>
            <w:tcW w:w="299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Resolution 825</w:t>
            </w:r>
          </w:p>
        </w:tc>
        <w:tc>
          <w:tcPr>
            <w:tcW w:w="802"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2018</w:t>
            </w:r>
          </w:p>
        </w:tc>
        <w:tc>
          <w:tcPr>
            <w:tcW w:w="5184" w:type="dxa"/>
            <w:tcBorders>
              <w:left w:val="nil"/>
              <w:right w:val="nil"/>
            </w:tcBorders>
          </w:tcPr>
          <w:p w:rsidR="00F211CE" w:rsidRPr="00C0732F" w:rsidRDefault="00F211CE" w:rsidP="00984FB0">
            <w:pPr>
              <w:pBdr>
                <w:top w:val="nil"/>
                <w:left w:val="nil"/>
                <w:bottom w:val="nil"/>
                <w:right w:val="nil"/>
                <w:between w:val="nil"/>
              </w:pBdr>
              <w:spacing w:line="480" w:lineRule="auto"/>
              <w:jc w:val="both"/>
            </w:pPr>
            <w:r w:rsidRPr="00C0732F">
              <w:t xml:space="preserve">Right for children and adolescents to die with dignity </w:t>
            </w:r>
          </w:p>
        </w:tc>
      </w:tr>
      <w:bookmarkEnd w:id="0"/>
    </w:tbl>
    <w:p w:rsidR="00F211CE" w:rsidRPr="00C0732F" w:rsidRDefault="00F211CE" w:rsidP="001B26D5">
      <w:pPr>
        <w:pBdr>
          <w:top w:val="nil"/>
          <w:left w:val="nil"/>
          <w:bottom w:val="nil"/>
          <w:right w:val="nil"/>
          <w:between w:val="nil"/>
        </w:pBdr>
        <w:spacing w:line="480" w:lineRule="auto"/>
        <w:jc w:val="both"/>
        <w:rPr>
          <w:b/>
          <w:color w:val="000000"/>
        </w:rPr>
      </w:pPr>
    </w:p>
    <w:sectPr w:rsidR="00F211CE" w:rsidRPr="00C0732F" w:rsidSect="001B26D5">
      <w:footerReference w:type="default" r:id="rId6"/>
      <w:pgSz w:w="12240" w:h="15840"/>
      <w:pgMar w:top="1417" w:right="1701"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A13" w:rsidRDefault="00354A13" w:rsidP="00354A13">
      <w:r>
        <w:separator/>
      </w:r>
    </w:p>
  </w:endnote>
  <w:endnote w:type="continuationSeparator" w:id="0">
    <w:p w:rsidR="00354A13" w:rsidRDefault="00354A13" w:rsidP="0035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5285" w:rsidRDefault="00354A13">
    <w:pPr>
      <w:pBdr>
        <w:top w:val="nil"/>
        <w:left w:val="nil"/>
        <w:bottom w:val="nil"/>
        <w:right w:val="nil"/>
        <w:between w:val="nil"/>
      </w:pBdr>
      <w:tabs>
        <w:tab w:val="center" w:pos="4419"/>
        <w:tab w:val="right" w:pos="8838"/>
      </w:tabs>
      <w:jc w:val="right"/>
      <w:rPr>
        <w:color w:val="000000"/>
      </w:rPr>
    </w:pPr>
    <w:r>
      <w:rPr>
        <w:color w:val="000000"/>
      </w:rPr>
      <w:fldChar w:fldCharType="begin"/>
    </w:r>
    <w:r w:rsidR="00F211CE">
      <w:rPr>
        <w:color w:val="000000"/>
      </w:rPr>
      <w:instrText>PAGE</w:instrText>
    </w:r>
    <w:r>
      <w:rPr>
        <w:color w:val="000000"/>
      </w:rPr>
      <w:fldChar w:fldCharType="separate"/>
    </w:r>
    <w:r w:rsidR="00221419">
      <w:rPr>
        <w:noProof/>
        <w:color w:val="000000"/>
      </w:rPr>
      <w:t>1</w:t>
    </w:r>
    <w:r>
      <w:rPr>
        <w:color w:val="000000"/>
      </w:rPr>
      <w:fldChar w:fldCharType="end"/>
    </w:r>
  </w:p>
  <w:p w:rsidR="00095285" w:rsidRDefault="001B26D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A13" w:rsidRDefault="00354A13" w:rsidP="00354A13">
      <w:r>
        <w:separator/>
      </w:r>
    </w:p>
  </w:footnote>
  <w:footnote w:type="continuationSeparator" w:id="0">
    <w:p w:rsidR="00354A13" w:rsidRDefault="00354A13" w:rsidP="00354A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11CE"/>
    <w:rsid w:val="00125147"/>
    <w:rsid w:val="001B26D5"/>
    <w:rsid w:val="00221419"/>
    <w:rsid w:val="00307F44"/>
    <w:rsid w:val="00354A13"/>
    <w:rsid w:val="00634A82"/>
    <w:rsid w:val="00F211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CE5A"/>
  <w15:docId w15:val="{D04F7AE8-0159-744A-A61B-3CC6CD05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1CE"/>
    <w:pPr>
      <w:spacing w:after="0" w:line="240" w:lineRule="auto"/>
    </w:pPr>
    <w:rPr>
      <w:rFonts w:ascii="Times New Roman" w:eastAsia="Times New Roman" w:hAnsi="Times New Roman" w:cs="Times New Roman"/>
      <w:sz w:val="24"/>
      <w:szCs w:val="24"/>
      <w:lang w:val="en-U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F21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193</Words>
  <Characters>1067</Characters>
  <Application>Microsoft Office Word</Application>
  <DocSecurity>0</DocSecurity>
  <Lines>8</Lines>
  <Paragraphs>2</Paragraphs>
  <ScaleCrop>false</ScaleCrop>
  <Company>Fundación Valle del Lili</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h60003385</dc:creator>
  <cp:lastModifiedBy>Angélica Claros Hulbert</cp:lastModifiedBy>
  <cp:revision>3</cp:revision>
  <dcterms:created xsi:type="dcterms:W3CDTF">2020-07-03T19:29:00Z</dcterms:created>
  <dcterms:modified xsi:type="dcterms:W3CDTF">2020-10-12T21:14:00Z</dcterms:modified>
</cp:coreProperties>
</file>