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05A3C" w14:textId="77777777" w:rsidR="00786F6C" w:rsidRPr="00BE2E66" w:rsidRDefault="00786F6C" w:rsidP="00786F6C">
      <w:pPr>
        <w:spacing w:line="480" w:lineRule="auto"/>
        <w:rPr>
          <w:rFonts w:cstheme="minorHAnsi"/>
          <w:b/>
          <w:bCs/>
          <w:lang w:val="en-US"/>
        </w:rPr>
      </w:pPr>
      <w:bookmarkStart w:id="0" w:name="_Hlk63418402"/>
      <w:r w:rsidRPr="00BE2E66">
        <w:rPr>
          <w:rFonts w:cstheme="minorHAnsi"/>
          <w:b/>
          <w:bCs/>
          <w:lang w:val="en-US"/>
        </w:rPr>
        <w:t xml:space="preserve">Table </w:t>
      </w:r>
      <w:r>
        <w:rPr>
          <w:rFonts w:cstheme="minorHAnsi"/>
          <w:b/>
          <w:bCs/>
          <w:lang w:val="en-US"/>
        </w:rPr>
        <w:t>3</w:t>
      </w:r>
      <w:r w:rsidRPr="00BE2E66">
        <w:rPr>
          <w:rFonts w:cstheme="minorHAnsi"/>
          <w:b/>
          <w:bCs/>
          <w:lang w:val="en-US"/>
        </w:rPr>
        <w:t xml:space="preserve">: Outcome of the EAPC </w:t>
      </w:r>
      <w:r>
        <w:rPr>
          <w:rFonts w:cstheme="minorHAnsi"/>
          <w:b/>
          <w:bCs/>
          <w:lang w:val="en-US"/>
        </w:rPr>
        <w:t>Framework</w:t>
      </w:r>
      <w:r w:rsidRPr="00BE2E66">
        <w:rPr>
          <w:rFonts w:cstheme="minorHAnsi"/>
          <w:b/>
          <w:bCs/>
          <w:lang w:val="en-US"/>
        </w:rPr>
        <w:t xml:space="preserve"> mapping: recommendations</w:t>
      </w:r>
      <w:r>
        <w:rPr>
          <w:rFonts w:cstheme="minorHAnsi"/>
          <w:b/>
          <w:bCs/>
          <w:lang w:val="en-US"/>
        </w:rPr>
        <w:t>*</w:t>
      </w:r>
      <w:r w:rsidRPr="00BE2E66">
        <w:rPr>
          <w:rFonts w:cstheme="minorHAnsi"/>
          <w:b/>
          <w:bCs/>
          <w:lang w:val="en-US"/>
        </w:rPr>
        <w:t xml:space="preserve"> addressed</w:t>
      </w:r>
      <w:r>
        <w:rPr>
          <w:rFonts w:cstheme="minorHAnsi"/>
          <w:b/>
          <w:bCs/>
          <w:lang w:val="en-US"/>
        </w:rPr>
        <w:t xml:space="preserve"> from domains 1-9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44"/>
        <w:gridCol w:w="1384"/>
        <w:gridCol w:w="1613"/>
        <w:gridCol w:w="1375"/>
        <w:gridCol w:w="1367"/>
        <w:gridCol w:w="1622"/>
        <w:gridCol w:w="1352"/>
        <w:gridCol w:w="1326"/>
        <w:gridCol w:w="1343"/>
        <w:gridCol w:w="1332"/>
      </w:tblGrid>
      <w:tr w:rsidR="00786F6C" w:rsidRPr="001A3E90" w14:paraId="13829865" w14:textId="77777777" w:rsidTr="00B36750">
        <w:tc>
          <w:tcPr>
            <w:tcW w:w="446" w:type="pct"/>
            <w:tcBorders>
              <w:left w:val="nil"/>
              <w:bottom w:val="single" w:sz="4" w:space="0" w:color="auto"/>
              <w:right w:val="nil"/>
            </w:tcBorders>
          </w:tcPr>
          <w:p w14:paraId="58728FC7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 xml:space="preserve">Location, </w:t>
            </w:r>
            <w:r w:rsidR="004D49B6">
              <w:rPr>
                <w:rFonts w:cstheme="minorHAnsi"/>
                <w:b/>
                <w:bCs/>
                <w:lang w:val="en-US"/>
              </w:rPr>
              <w:t>e</w:t>
            </w:r>
            <w:r w:rsidRPr="00BE2E66">
              <w:rPr>
                <w:rFonts w:cstheme="minorHAnsi"/>
                <w:b/>
                <w:bCs/>
                <w:lang w:val="en-US"/>
              </w:rPr>
              <w:t>d (</w:t>
            </w:r>
            <w:r w:rsidR="004D49B6">
              <w:rPr>
                <w:rFonts w:cstheme="minorHAnsi"/>
                <w:b/>
                <w:bCs/>
                <w:lang w:val="en-US"/>
              </w:rPr>
              <w:t>y</w:t>
            </w:r>
            <w:r w:rsidRPr="00BE2E66">
              <w:rPr>
                <w:rFonts w:cstheme="minorHAnsi"/>
                <w:b/>
                <w:bCs/>
                <w:lang w:val="en-US"/>
              </w:rPr>
              <w:t>ear)</w:t>
            </w:r>
          </w:p>
        </w:tc>
        <w:tc>
          <w:tcPr>
            <w:tcW w:w="496" w:type="pct"/>
            <w:tcBorders>
              <w:left w:val="nil"/>
              <w:bottom w:val="single" w:sz="4" w:space="0" w:color="auto"/>
              <w:right w:val="nil"/>
            </w:tcBorders>
          </w:tcPr>
          <w:p w14:paraId="3E02B948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u w:val="single"/>
                <w:lang w:val="en-US"/>
              </w:rPr>
            </w:pPr>
            <w:r w:rsidRPr="00BE2E66">
              <w:rPr>
                <w:rFonts w:cstheme="minorHAnsi"/>
                <w:u w:val="single"/>
                <w:lang w:val="en-US"/>
              </w:rPr>
              <w:t>Domain 1</w:t>
            </w:r>
          </w:p>
          <w:p w14:paraId="098ADFE4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Applicability of palliative care</w:t>
            </w:r>
          </w:p>
          <w:p w14:paraId="2FBBF469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(1.1-1.4)</w:t>
            </w:r>
          </w:p>
        </w:tc>
        <w:tc>
          <w:tcPr>
            <w:tcW w:w="578" w:type="pct"/>
            <w:tcBorders>
              <w:left w:val="nil"/>
              <w:bottom w:val="single" w:sz="4" w:space="0" w:color="auto"/>
              <w:right w:val="nil"/>
            </w:tcBorders>
          </w:tcPr>
          <w:p w14:paraId="589C3E07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u w:val="single"/>
                <w:lang w:val="en-US"/>
              </w:rPr>
            </w:pPr>
            <w:r w:rsidRPr="00BE2E66">
              <w:rPr>
                <w:rFonts w:cstheme="minorHAnsi"/>
                <w:u w:val="single"/>
                <w:lang w:val="en-US"/>
              </w:rPr>
              <w:t>Domain 2</w:t>
            </w:r>
          </w:p>
          <w:p w14:paraId="7D04833B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Person-centered care, communication and shared decision making</w:t>
            </w:r>
          </w:p>
          <w:p w14:paraId="312B75D5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(2.1-2.6)</w:t>
            </w:r>
          </w:p>
        </w:tc>
        <w:tc>
          <w:tcPr>
            <w:tcW w:w="493" w:type="pct"/>
            <w:tcBorders>
              <w:left w:val="nil"/>
              <w:bottom w:val="single" w:sz="4" w:space="0" w:color="auto"/>
              <w:right w:val="nil"/>
            </w:tcBorders>
          </w:tcPr>
          <w:p w14:paraId="6B54288B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u w:val="single"/>
                <w:lang w:val="en-US"/>
              </w:rPr>
            </w:pPr>
            <w:r w:rsidRPr="00BE2E66">
              <w:rPr>
                <w:rFonts w:cstheme="minorHAnsi"/>
                <w:u w:val="single"/>
                <w:lang w:val="en-US"/>
              </w:rPr>
              <w:t>Domain 3</w:t>
            </w:r>
          </w:p>
          <w:p w14:paraId="16A4573B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Setting care goals and advance care planning</w:t>
            </w:r>
          </w:p>
          <w:p w14:paraId="39B33A4A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(3.1-3.7)</w:t>
            </w:r>
          </w:p>
        </w:tc>
        <w:tc>
          <w:tcPr>
            <w:tcW w:w="490" w:type="pct"/>
            <w:tcBorders>
              <w:left w:val="nil"/>
              <w:bottom w:val="single" w:sz="4" w:space="0" w:color="auto"/>
              <w:right w:val="nil"/>
            </w:tcBorders>
          </w:tcPr>
          <w:p w14:paraId="2BD00A24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u w:val="single"/>
                <w:lang w:val="en-US"/>
              </w:rPr>
            </w:pPr>
            <w:r w:rsidRPr="00BE2E66">
              <w:rPr>
                <w:rFonts w:cstheme="minorHAnsi"/>
                <w:u w:val="single"/>
                <w:lang w:val="en-US"/>
              </w:rPr>
              <w:t>Domain 4</w:t>
            </w:r>
          </w:p>
          <w:p w14:paraId="6721D813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Continuity of care</w:t>
            </w:r>
          </w:p>
          <w:p w14:paraId="186B384E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(4.1-4.4)</w:t>
            </w:r>
          </w:p>
        </w:tc>
        <w:tc>
          <w:tcPr>
            <w:tcW w:w="581" w:type="pct"/>
            <w:tcBorders>
              <w:left w:val="nil"/>
              <w:bottom w:val="single" w:sz="4" w:space="0" w:color="auto"/>
              <w:right w:val="nil"/>
            </w:tcBorders>
          </w:tcPr>
          <w:p w14:paraId="645BD549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u w:val="single"/>
                <w:lang w:val="en-US"/>
              </w:rPr>
            </w:pPr>
            <w:r w:rsidRPr="00BE2E66">
              <w:rPr>
                <w:rFonts w:cstheme="minorHAnsi"/>
                <w:u w:val="single"/>
                <w:lang w:val="en-US"/>
              </w:rPr>
              <w:t>Domain 5</w:t>
            </w:r>
          </w:p>
          <w:p w14:paraId="32124044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Prognostication and timely recognition of dying</w:t>
            </w:r>
          </w:p>
          <w:p w14:paraId="01383604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(5.1-5.2)</w:t>
            </w:r>
          </w:p>
        </w:tc>
        <w:tc>
          <w:tcPr>
            <w:tcW w:w="484" w:type="pct"/>
            <w:tcBorders>
              <w:left w:val="nil"/>
              <w:bottom w:val="single" w:sz="4" w:space="0" w:color="auto"/>
              <w:right w:val="nil"/>
            </w:tcBorders>
          </w:tcPr>
          <w:p w14:paraId="647CEB9A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u w:val="single"/>
                <w:lang w:val="en-US"/>
              </w:rPr>
            </w:pPr>
            <w:r w:rsidRPr="00BE2E66">
              <w:rPr>
                <w:rFonts w:cstheme="minorHAnsi"/>
                <w:u w:val="single"/>
                <w:lang w:val="en-US"/>
              </w:rPr>
              <w:t>Domain 6</w:t>
            </w:r>
          </w:p>
          <w:p w14:paraId="27675CF9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Avoiding overly aggressive, burdensome or futile treatment</w:t>
            </w:r>
          </w:p>
          <w:p w14:paraId="43667C39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(6.1-6.6)</w:t>
            </w:r>
          </w:p>
        </w:tc>
        <w:tc>
          <w:tcPr>
            <w:tcW w:w="475" w:type="pct"/>
            <w:tcBorders>
              <w:left w:val="nil"/>
              <w:bottom w:val="single" w:sz="4" w:space="0" w:color="auto"/>
              <w:right w:val="nil"/>
            </w:tcBorders>
          </w:tcPr>
          <w:p w14:paraId="4DB86049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u w:val="single"/>
                <w:lang w:val="en-US"/>
              </w:rPr>
            </w:pPr>
            <w:r w:rsidRPr="00BE2E66">
              <w:rPr>
                <w:rFonts w:cstheme="minorHAnsi"/>
                <w:u w:val="single"/>
                <w:lang w:val="en-US"/>
              </w:rPr>
              <w:t>Domain 7</w:t>
            </w:r>
          </w:p>
          <w:p w14:paraId="3552B899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Optimal treatment of symptoms and providing comfort</w:t>
            </w:r>
          </w:p>
          <w:p w14:paraId="41808486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(7.1-7.6)</w:t>
            </w:r>
          </w:p>
        </w:tc>
        <w:tc>
          <w:tcPr>
            <w:tcW w:w="481" w:type="pct"/>
            <w:tcBorders>
              <w:left w:val="nil"/>
              <w:bottom w:val="single" w:sz="4" w:space="0" w:color="auto"/>
              <w:right w:val="nil"/>
            </w:tcBorders>
          </w:tcPr>
          <w:p w14:paraId="7A68D255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u w:val="single"/>
                <w:lang w:val="en-US"/>
              </w:rPr>
            </w:pPr>
            <w:r w:rsidRPr="00BE2E66">
              <w:rPr>
                <w:rFonts w:cstheme="minorHAnsi"/>
                <w:u w:val="single"/>
                <w:lang w:val="en-US"/>
              </w:rPr>
              <w:t>Domain 8</w:t>
            </w:r>
          </w:p>
          <w:p w14:paraId="2259F5ED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Psychosocial and spiritual support</w:t>
            </w:r>
          </w:p>
          <w:p w14:paraId="703C4010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(8.1-8.4)</w:t>
            </w:r>
          </w:p>
        </w:tc>
        <w:tc>
          <w:tcPr>
            <w:tcW w:w="477" w:type="pct"/>
            <w:tcBorders>
              <w:left w:val="nil"/>
              <w:bottom w:val="single" w:sz="4" w:space="0" w:color="auto"/>
              <w:right w:val="nil"/>
            </w:tcBorders>
          </w:tcPr>
          <w:p w14:paraId="5272A424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u w:val="single"/>
                <w:lang w:val="en-US"/>
              </w:rPr>
            </w:pPr>
            <w:r w:rsidRPr="00BE2E66">
              <w:rPr>
                <w:rFonts w:cstheme="minorHAnsi"/>
                <w:u w:val="single"/>
                <w:lang w:val="en-US"/>
              </w:rPr>
              <w:t>Domain 9</w:t>
            </w:r>
          </w:p>
          <w:p w14:paraId="130FDC83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Family care and involvement</w:t>
            </w:r>
          </w:p>
          <w:p w14:paraId="628B427D" w14:textId="77777777" w:rsidR="00786F6C" w:rsidRPr="00BE2E66" w:rsidRDefault="00786F6C" w:rsidP="00B36750">
            <w:pPr>
              <w:spacing w:line="480" w:lineRule="auto"/>
              <w:jc w:val="center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(9.1-9.8)</w:t>
            </w:r>
          </w:p>
        </w:tc>
      </w:tr>
      <w:tr w:rsidR="00786F6C" w:rsidRPr="00BE2E66" w14:paraId="4DF44BE0" w14:textId="77777777" w:rsidTr="00B36750">
        <w:tc>
          <w:tcPr>
            <w:tcW w:w="446" w:type="pct"/>
            <w:tcBorders>
              <w:left w:val="nil"/>
              <w:bottom w:val="nil"/>
              <w:right w:val="nil"/>
            </w:tcBorders>
          </w:tcPr>
          <w:p w14:paraId="141D0C26" w14:textId="77777777" w:rsidR="00786F6C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 xml:space="preserve">IT, 1 </w:t>
            </w:r>
          </w:p>
          <w:p w14:paraId="3967BCC9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>(2008)</w:t>
            </w:r>
          </w:p>
          <w:p w14:paraId="5BC24096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496" w:type="pct"/>
            <w:tcBorders>
              <w:left w:val="nil"/>
              <w:bottom w:val="nil"/>
              <w:right w:val="nil"/>
            </w:tcBorders>
          </w:tcPr>
          <w:p w14:paraId="4634A4F7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1.1-1.4</w:t>
            </w:r>
          </w:p>
        </w:tc>
        <w:tc>
          <w:tcPr>
            <w:tcW w:w="578" w:type="pct"/>
            <w:tcBorders>
              <w:left w:val="nil"/>
              <w:bottom w:val="nil"/>
              <w:right w:val="nil"/>
            </w:tcBorders>
          </w:tcPr>
          <w:p w14:paraId="6CA975D7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2.1-2.4, 2.6</w:t>
            </w:r>
          </w:p>
        </w:tc>
        <w:tc>
          <w:tcPr>
            <w:tcW w:w="493" w:type="pct"/>
            <w:tcBorders>
              <w:left w:val="nil"/>
              <w:bottom w:val="nil"/>
              <w:right w:val="nil"/>
            </w:tcBorders>
          </w:tcPr>
          <w:p w14:paraId="3C1A9857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3.5</w:t>
            </w:r>
          </w:p>
        </w:tc>
        <w:tc>
          <w:tcPr>
            <w:tcW w:w="490" w:type="pct"/>
            <w:tcBorders>
              <w:left w:val="nil"/>
              <w:bottom w:val="nil"/>
              <w:right w:val="nil"/>
            </w:tcBorders>
          </w:tcPr>
          <w:p w14:paraId="63531659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4.1-4.2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</w:tcPr>
          <w:p w14:paraId="058D3EE2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5.2</w:t>
            </w:r>
          </w:p>
        </w:tc>
        <w:tc>
          <w:tcPr>
            <w:tcW w:w="484" w:type="pct"/>
            <w:tcBorders>
              <w:left w:val="nil"/>
              <w:bottom w:val="nil"/>
              <w:right w:val="nil"/>
            </w:tcBorders>
          </w:tcPr>
          <w:p w14:paraId="16B222D2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6.1-6.2, 6.4-6.6</w:t>
            </w:r>
          </w:p>
        </w:tc>
        <w:tc>
          <w:tcPr>
            <w:tcW w:w="475" w:type="pct"/>
            <w:tcBorders>
              <w:left w:val="nil"/>
              <w:bottom w:val="nil"/>
              <w:right w:val="nil"/>
            </w:tcBorders>
          </w:tcPr>
          <w:p w14:paraId="4AEE870A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7.1-7.5</w:t>
            </w:r>
          </w:p>
        </w:tc>
        <w:tc>
          <w:tcPr>
            <w:tcW w:w="481" w:type="pct"/>
            <w:tcBorders>
              <w:left w:val="nil"/>
              <w:bottom w:val="nil"/>
              <w:right w:val="nil"/>
            </w:tcBorders>
          </w:tcPr>
          <w:p w14:paraId="3BBF5FAD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8.2</w:t>
            </w:r>
          </w:p>
        </w:tc>
        <w:tc>
          <w:tcPr>
            <w:tcW w:w="477" w:type="pct"/>
            <w:tcBorders>
              <w:left w:val="nil"/>
              <w:bottom w:val="nil"/>
              <w:right w:val="nil"/>
            </w:tcBorders>
          </w:tcPr>
          <w:p w14:paraId="37C64FE8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9.2-9.5, 9.7-9.8</w:t>
            </w:r>
          </w:p>
        </w:tc>
      </w:tr>
      <w:tr w:rsidR="00786F6C" w:rsidRPr="00BE2E66" w14:paraId="5E42C1C6" w14:textId="77777777" w:rsidTr="00B36750"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300FACFD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>NL, 2 (2011)</w:t>
            </w:r>
          </w:p>
          <w:p w14:paraId="646C2CDE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14:paraId="25021B04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1.1-1.2, 1.4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CD31E2D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2.1-2.4, 2.6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2A398741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3.3, 3.5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7C069975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4.1-4.2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243A1D55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5.2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64841B38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6.1-6.2, 6.4-6.6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3B152F47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7.1-7.5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36C37AE7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8.2-8.4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</w:tcPr>
          <w:p w14:paraId="044ECE08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9.2-9.5, 9.7</w:t>
            </w:r>
          </w:p>
        </w:tc>
      </w:tr>
      <w:tr w:rsidR="00786F6C" w:rsidRPr="00BE2E66" w14:paraId="64956347" w14:textId="77777777" w:rsidTr="00B36750"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4210C3F6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lastRenderedPageBreak/>
              <w:t>CZ, 1 (2017)</w:t>
            </w:r>
          </w:p>
          <w:p w14:paraId="183A97F3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14:paraId="1AE4081E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1.1-1.2, 1.4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9181B46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2.1-2.5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6CDB24FE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3.2, 3.3, 3.5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2E2718F0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4.1-4.2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2CF481FC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5.2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3B2B6F5F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6.1-6.2, 6.4-6.6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0C5C6CA7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7.1-7.5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50C0EDAD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8.2, 8.4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</w:tcPr>
          <w:p w14:paraId="146AE9BB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9.2-9.5, 9.7-9.8</w:t>
            </w:r>
          </w:p>
        </w:tc>
      </w:tr>
      <w:tr w:rsidR="00786F6C" w:rsidRPr="00BE2E66" w14:paraId="60F68F41" w14:textId="77777777" w:rsidTr="00B36750"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520E8B69" w14:textId="4E17FDA6" w:rsidR="00786F6C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>I</w:t>
            </w:r>
            <w:r w:rsidR="00BF1140">
              <w:rPr>
                <w:rFonts w:cstheme="minorHAnsi"/>
                <w:b/>
                <w:bCs/>
                <w:lang w:val="en-US"/>
              </w:rPr>
              <w:t>E</w:t>
            </w:r>
            <w:r w:rsidRPr="00BE2E66">
              <w:rPr>
                <w:rFonts w:cstheme="minorHAnsi"/>
                <w:b/>
                <w:bCs/>
                <w:lang w:val="en-US"/>
              </w:rPr>
              <w:t>, 1 (2020)</w:t>
            </w:r>
          </w:p>
          <w:p w14:paraId="13071536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14:paraId="11C578D5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1.1-1.4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FB95067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2.1-2.4, 2.6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634E7521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3.1-3.3, 3.5-3.7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53F05A8A" w14:textId="77777777" w:rsidR="00786F6C" w:rsidRPr="00BE2E66" w:rsidRDefault="00786F6C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4.1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46CE3B05" w14:textId="77777777" w:rsidR="00786F6C" w:rsidRPr="00BE2E66" w:rsidRDefault="00786F6C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5.1-5.2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70BB1551" w14:textId="77777777" w:rsidR="00786F6C" w:rsidRPr="00BE2E66" w:rsidRDefault="00786F6C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6.1-6.6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542DB0D9" w14:textId="77777777" w:rsidR="00786F6C" w:rsidRPr="00BE2E66" w:rsidRDefault="00786F6C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7.1-7.5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77E64860" w14:textId="77777777" w:rsidR="00786F6C" w:rsidRPr="00BE2E66" w:rsidRDefault="00786F6C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8.1-8.3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</w:tcPr>
          <w:p w14:paraId="58737905" w14:textId="77777777" w:rsidR="00786F6C" w:rsidRPr="00BE2E66" w:rsidRDefault="00786F6C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9.2-9.7</w:t>
            </w:r>
          </w:p>
        </w:tc>
      </w:tr>
      <w:tr w:rsidR="00786F6C" w:rsidRPr="00BE2E66" w14:paraId="2C45D0FE" w14:textId="77777777" w:rsidTr="00B36750"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</w:tcPr>
          <w:p w14:paraId="6DE293AA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UK</w:t>
            </w:r>
            <w:r w:rsidRPr="00BE2E66">
              <w:rPr>
                <w:rFonts w:cstheme="minorHAnsi"/>
                <w:b/>
                <w:bCs/>
                <w:lang w:val="en-US"/>
              </w:rPr>
              <w:t xml:space="preserve">, </w:t>
            </w:r>
            <w:r>
              <w:rPr>
                <w:rFonts w:cstheme="minorHAnsi"/>
                <w:b/>
                <w:bCs/>
                <w:lang w:val="en-US"/>
              </w:rPr>
              <w:t>3</w:t>
            </w:r>
            <w:r w:rsidRPr="00BE2E66">
              <w:rPr>
                <w:rFonts w:cstheme="minorHAnsi"/>
                <w:b/>
                <w:bCs/>
                <w:lang w:val="en-US"/>
              </w:rPr>
              <w:t xml:space="preserve"> (20</w:t>
            </w:r>
            <w:r>
              <w:rPr>
                <w:rFonts w:cstheme="minorHAnsi"/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1</w:t>
            </w:r>
            <w:r w:rsidRPr="00BE2E66">
              <w:rPr>
                <w:rFonts w:cstheme="minorHAnsi"/>
                <w:b/>
                <w:bCs/>
                <w:lang w:val="en-US"/>
              </w:rPr>
              <w:t>)</w:t>
            </w:r>
          </w:p>
          <w:p w14:paraId="2847E5E8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</w:tcPr>
          <w:p w14:paraId="694BC694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1.1-1.2, 1.4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B0DF8AE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2.1-2.4, 2.6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0209E7AF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3.2, 3.5, 3.7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5109C817" w14:textId="77777777" w:rsidR="00786F6C" w:rsidRPr="00BE2E66" w:rsidRDefault="00786F6C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4.1-4.2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7F4DF7F1" w14:textId="77777777" w:rsidR="00786F6C" w:rsidRPr="00BE2E66" w:rsidRDefault="00786F6C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5.1-5.2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</w:tcPr>
          <w:p w14:paraId="6D2DC45F" w14:textId="77777777" w:rsidR="00786F6C" w:rsidRPr="00BE2E66" w:rsidRDefault="00786F6C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6.1-6.2, 6.4-6.6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0FD3590A" w14:textId="77777777" w:rsidR="00786F6C" w:rsidRPr="00BE2E66" w:rsidRDefault="00786F6C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7.1-7.5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14:paraId="3A0B9718" w14:textId="77777777" w:rsidR="00786F6C" w:rsidRPr="00BE2E66" w:rsidRDefault="00786F6C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8.1-8.4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</w:tcPr>
          <w:p w14:paraId="69B051FA" w14:textId="77777777" w:rsidR="00786F6C" w:rsidRPr="00BE2E66" w:rsidRDefault="00786F6C" w:rsidP="00B36750">
            <w:pPr>
              <w:pStyle w:val="NoSpacing"/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9.1-9.5, 9.7-9.8</w:t>
            </w:r>
          </w:p>
        </w:tc>
      </w:tr>
      <w:tr w:rsidR="00786F6C" w:rsidRPr="00BE2E66" w14:paraId="464334C0" w14:textId="77777777" w:rsidTr="00B36750">
        <w:tc>
          <w:tcPr>
            <w:tcW w:w="446" w:type="pct"/>
            <w:tcBorders>
              <w:top w:val="nil"/>
              <w:left w:val="nil"/>
              <w:right w:val="nil"/>
            </w:tcBorders>
          </w:tcPr>
          <w:p w14:paraId="0D6F6CB4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  <w:r w:rsidRPr="00BE2E66">
              <w:rPr>
                <w:rFonts w:cstheme="minorHAnsi"/>
                <w:b/>
                <w:bCs/>
                <w:lang w:val="en-US"/>
              </w:rPr>
              <w:t>CA, 2 (20</w:t>
            </w:r>
            <w:r>
              <w:rPr>
                <w:rFonts w:cstheme="minorHAnsi"/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1</w:t>
            </w:r>
            <w:r w:rsidRPr="00BE2E66">
              <w:rPr>
                <w:rFonts w:cstheme="minorHAnsi"/>
                <w:b/>
                <w:bCs/>
                <w:lang w:val="en-US"/>
              </w:rPr>
              <w:t>)</w:t>
            </w:r>
          </w:p>
          <w:p w14:paraId="06A9F35C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</w:tcPr>
          <w:p w14:paraId="40E9CC37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1.1-1.2, 1.4</w:t>
            </w:r>
          </w:p>
        </w:tc>
        <w:tc>
          <w:tcPr>
            <w:tcW w:w="578" w:type="pct"/>
            <w:tcBorders>
              <w:top w:val="nil"/>
              <w:left w:val="nil"/>
              <w:right w:val="nil"/>
            </w:tcBorders>
          </w:tcPr>
          <w:p w14:paraId="644C31DF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2.1-2.4, 2.6</w:t>
            </w:r>
          </w:p>
        </w:tc>
        <w:tc>
          <w:tcPr>
            <w:tcW w:w="493" w:type="pct"/>
            <w:tcBorders>
              <w:top w:val="nil"/>
              <w:left w:val="nil"/>
              <w:right w:val="nil"/>
            </w:tcBorders>
          </w:tcPr>
          <w:p w14:paraId="5A221452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3.5</w:t>
            </w:r>
          </w:p>
        </w:tc>
        <w:tc>
          <w:tcPr>
            <w:tcW w:w="490" w:type="pct"/>
            <w:tcBorders>
              <w:top w:val="nil"/>
              <w:left w:val="nil"/>
              <w:right w:val="nil"/>
            </w:tcBorders>
          </w:tcPr>
          <w:p w14:paraId="68728599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4.1-4.2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</w:tcPr>
          <w:p w14:paraId="0C7C296F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5.1-5.2</w:t>
            </w:r>
          </w:p>
        </w:tc>
        <w:tc>
          <w:tcPr>
            <w:tcW w:w="484" w:type="pct"/>
            <w:tcBorders>
              <w:top w:val="nil"/>
              <w:left w:val="nil"/>
              <w:right w:val="nil"/>
            </w:tcBorders>
          </w:tcPr>
          <w:p w14:paraId="124E3B8D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6.1-6.2, 6.4-6.6</w:t>
            </w: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</w:tcPr>
          <w:p w14:paraId="5E4F5ADA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7.1, 7.3-7.5</w:t>
            </w:r>
          </w:p>
        </w:tc>
        <w:tc>
          <w:tcPr>
            <w:tcW w:w="481" w:type="pct"/>
            <w:tcBorders>
              <w:top w:val="nil"/>
              <w:left w:val="nil"/>
              <w:right w:val="nil"/>
            </w:tcBorders>
          </w:tcPr>
          <w:p w14:paraId="255D33BD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8.1-8.4</w:t>
            </w:r>
          </w:p>
        </w:tc>
        <w:tc>
          <w:tcPr>
            <w:tcW w:w="477" w:type="pct"/>
            <w:tcBorders>
              <w:top w:val="nil"/>
              <w:left w:val="nil"/>
              <w:right w:val="nil"/>
            </w:tcBorders>
          </w:tcPr>
          <w:p w14:paraId="0396ABA3" w14:textId="77777777" w:rsidR="00786F6C" w:rsidRPr="00BE2E66" w:rsidRDefault="00786F6C" w:rsidP="00B36750">
            <w:pPr>
              <w:spacing w:line="480" w:lineRule="auto"/>
              <w:rPr>
                <w:rFonts w:cstheme="minorHAnsi"/>
                <w:lang w:val="en-US"/>
              </w:rPr>
            </w:pPr>
            <w:r w:rsidRPr="00BE2E66">
              <w:rPr>
                <w:rFonts w:cstheme="minorHAnsi"/>
                <w:lang w:val="en-US"/>
              </w:rPr>
              <w:t>9.2-9.5, 9.7</w:t>
            </w:r>
          </w:p>
        </w:tc>
      </w:tr>
    </w:tbl>
    <w:bookmarkEnd w:id="0"/>
    <w:p w14:paraId="1B4B8DDB" w14:textId="77777777" w:rsidR="00786F6C" w:rsidRDefault="00786F6C" w:rsidP="00786F6C">
      <w:pPr>
        <w:pStyle w:val="NoSpacing"/>
        <w:spacing w:line="48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*Numbers in the table refer to recommendation numbers as listed in the EAPC Framework [2]</w:t>
      </w:r>
    </w:p>
    <w:p w14:paraId="3C8DD7CF" w14:textId="77777777" w:rsidR="002069CD" w:rsidRPr="00786F6C" w:rsidRDefault="002069CD">
      <w:pPr>
        <w:rPr>
          <w:lang w:val="en-US"/>
        </w:rPr>
      </w:pPr>
    </w:p>
    <w:sectPr w:rsidR="002069CD" w:rsidRPr="00786F6C" w:rsidSect="00786F6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B6727" w14:textId="77777777" w:rsidR="00786F6C" w:rsidRDefault="00786F6C" w:rsidP="00786F6C">
      <w:pPr>
        <w:spacing w:after="0" w:line="240" w:lineRule="auto"/>
      </w:pPr>
      <w:r>
        <w:separator/>
      </w:r>
    </w:p>
  </w:endnote>
  <w:endnote w:type="continuationSeparator" w:id="0">
    <w:p w14:paraId="61C5E8B1" w14:textId="77777777" w:rsidR="00786F6C" w:rsidRDefault="00786F6C" w:rsidP="0078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9D0474" w14:textId="77777777" w:rsidR="00786F6C" w:rsidRDefault="00786F6C" w:rsidP="00786F6C">
      <w:pPr>
        <w:spacing w:after="0" w:line="240" w:lineRule="auto"/>
      </w:pPr>
      <w:r>
        <w:separator/>
      </w:r>
    </w:p>
  </w:footnote>
  <w:footnote w:type="continuationSeparator" w:id="0">
    <w:p w14:paraId="3D5FBF87" w14:textId="77777777" w:rsidR="00786F6C" w:rsidRDefault="00786F6C" w:rsidP="0078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73A9C" w14:textId="2412A091" w:rsidR="00786F6C" w:rsidRPr="00786F6C" w:rsidRDefault="00786F6C">
    <w:pPr>
      <w:pStyle w:val="Header"/>
      <w:rPr>
        <w:lang w:val="en-US"/>
      </w:rPr>
    </w:pPr>
    <w:r w:rsidRPr="004F64FA">
      <w:rPr>
        <w:lang w:val="en-US"/>
      </w:rPr>
      <w:t xml:space="preserve">BMC Palliative Care – </w:t>
    </w:r>
    <w:r>
      <w:rPr>
        <w:lang w:val="en-US"/>
      </w:rPr>
      <w:t xml:space="preserve">Version: </w:t>
    </w:r>
    <w:r w:rsidR="004438B1">
      <w:rPr>
        <w:lang w:val="en-US"/>
      </w:rPr>
      <w:t>December</w:t>
    </w:r>
    <w:r w:rsidRPr="004F64FA">
      <w:rPr>
        <w:lang w:val="en-US"/>
      </w:rPr>
      <w:t xml:space="preserve"> 2021 –</w:t>
    </w:r>
    <w:r>
      <w:rPr>
        <w:lang w:val="en-US"/>
      </w:rPr>
      <w:t xml:space="preserve"> Additional File </w:t>
    </w:r>
    <w:r w:rsidR="004438B1">
      <w:rPr>
        <w:lang w:val="en-US"/>
      </w:rPr>
      <w:t>4</w:t>
    </w:r>
    <w:r>
      <w:rPr>
        <w:lang w:val="en-US"/>
      </w:rPr>
      <w:t>: Table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F6C"/>
    <w:rsid w:val="000E45D8"/>
    <w:rsid w:val="001A3E90"/>
    <w:rsid w:val="002069CD"/>
    <w:rsid w:val="004438B1"/>
    <w:rsid w:val="004D49B6"/>
    <w:rsid w:val="005D0235"/>
    <w:rsid w:val="00786F6C"/>
    <w:rsid w:val="00BF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3B49C"/>
  <w15:chartTrackingRefBased/>
  <w15:docId w15:val="{6F934455-F56C-410D-9752-D86D91AD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86F6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86F6C"/>
  </w:style>
  <w:style w:type="table" w:styleId="TableGrid">
    <w:name w:val="Table Grid"/>
    <w:basedOn w:val="TableNormal"/>
    <w:uiPriority w:val="39"/>
    <w:rsid w:val="00786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6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F6C"/>
  </w:style>
  <w:style w:type="paragraph" w:styleId="Footer">
    <w:name w:val="footer"/>
    <w:basedOn w:val="Normal"/>
    <w:link w:val="FooterChar"/>
    <w:uiPriority w:val="99"/>
    <w:unhideWhenUsed/>
    <w:rsid w:val="00786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216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L. (PHEG)</dc:creator>
  <cp:keywords/>
  <dc:description/>
  <cp:lastModifiedBy>Bavelaar, L. (PHEG)</cp:lastModifiedBy>
  <cp:revision>4</cp:revision>
  <dcterms:created xsi:type="dcterms:W3CDTF">2021-12-14T14:58:00Z</dcterms:created>
  <dcterms:modified xsi:type="dcterms:W3CDTF">2022-01-25T13:48:00Z</dcterms:modified>
</cp:coreProperties>
</file>