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F8822" w14:textId="77777777" w:rsidR="004B7709" w:rsidRPr="000B6928" w:rsidRDefault="004B7709" w:rsidP="004B7709">
      <w:pPr>
        <w:rPr>
          <w:b/>
          <w:bCs/>
          <w:sz w:val="24"/>
          <w:szCs w:val="24"/>
        </w:rPr>
      </w:pPr>
      <w:bookmarkStart w:id="0" w:name="_Hlk204783386"/>
      <w:r w:rsidRPr="000B6928">
        <w:rPr>
          <w:b/>
          <w:bCs/>
          <w:sz w:val="24"/>
          <w:szCs w:val="24"/>
        </w:rPr>
        <w:t>“We are running on the fumes of goodwill.” Professionals’ experiences of delivering 24/7 end-of-life care to children and their families: a qualitative study</w:t>
      </w:r>
    </w:p>
    <w:bookmarkEnd w:id="0"/>
    <w:p w14:paraId="5138986D" w14:textId="303C25F7" w:rsidR="004B7709" w:rsidRPr="00764B50" w:rsidRDefault="004B7709" w:rsidP="004B7709">
      <w:pPr>
        <w:rPr>
          <w:sz w:val="22"/>
          <w:szCs w:val="22"/>
        </w:rPr>
      </w:pPr>
      <w:r>
        <w:rPr>
          <w:sz w:val="22"/>
          <w:szCs w:val="22"/>
        </w:rPr>
        <w:t>Supplementa</w:t>
      </w:r>
      <w:r w:rsidR="000B6928">
        <w:rPr>
          <w:sz w:val="22"/>
          <w:szCs w:val="22"/>
        </w:rPr>
        <w:t>ry</w:t>
      </w:r>
      <w:r>
        <w:rPr>
          <w:sz w:val="22"/>
          <w:szCs w:val="22"/>
        </w:rPr>
        <w:t xml:space="preserve"> file 2</w:t>
      </w:r>
      <w:r w:rsidRPr="00764B50">
        <w:rPr>
          <w:sz w:val="22"/>
          <w:szCs w:val="22"/>
        </w:rPr>
        <w:t>: Theme and subthemes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4B7709" w14:paraId="3345D457" w14:textId="77777777" w:rsidTr="005C07A7">
        <w:trPr>
          <w:trHeight w:val="547"/>
        </w:trPr>
        <w:tc>
          <w:tcPr>
            <w:tcW w:w="4248" w:type="dxa"/>
            <w:vAlign w:val="center"/>
          </w:tcPr>
          <w:p w14:paraId="033C78E6" w14:textId="77777777" w:rsidR="004B7709" w:rsidRPr="00764B50" w:rsidRDefault="004B7709" w:rsidP="005C07A7">
            <w:pPr>
              <w:rPr>
                <w:b/>
                <w:bCs/>
                <w:sz w:val="22"/>
                <w:szCs w:val="22"/>
              </w:rPr>
            </w:pPr>
            <w:r w:rsidRPr="00764B50">
              <w:rPr>
                <w:b/>
                <w:bCs/>
                <w:sz w:val="22"/>
                <w:szCs w:val="22"/>
              </w:rPr>
              <w:t>Theme/subtheme name</w:t>
            </w:r>
          </w:p>
        </w:tc>
        <w:tc>
          <w:tcPr>
            <w:tcW w:w="4768" w:type="dxa"/>
            <w:vAlign w:val="center"/>
          </w:tcPr>
          <w:p w14:paraId="41F6C73A" w14:textId="77777777" w:rsidR="004B7709" w:rsidRPr="00764B50" w:rsidRDefault="004B7709" w:rsidP="005C07A7">
            <w:pPr>
              <w:rPr>
                <w:b/>
                <w:bCs/>
                <w:sz w:val="22"/>
                <w:szCs w:val="22"/>
              </w:rPr>
            </w:pPr>
            <w:r w:rsidRPr="00764B50">
              <w:rPr>
                <w:b/>
                <w:bCs/>
                <w:sz w:val="22"/>
                <w:szCs w:val="22"/>
              </w:rPr>
              <w:t>Description</w:t>
            </w:r>
          </w:p>
        </w:tc>
      </w:tr>
      <w:tr w:rsidR="004B7709" w14:paraId="44194E69" w14:textId="77777777" w:rsidTr="005C07A7">
        <w:trPr>
          <w:trHeight w:val="547"/>
        </w:trPr>
        <w:tc>
          <w:tcPr>
            <w:tcW w:w="9016" w:type="dxa"/>
            <w:gridSpan w:val="2"/>
            <w:shd w:val="clear" w:color="auto" w:fill="FAE2D5" w:themeFill="accent2" w:themeFillTint="33"/>
            <w:vAlign w:val="center"/>
          </w:tcPr>
          <w:p w14:paraId="18EFD70A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Theme 1: Working within a fragmented landscape</w:t>
            </w:r>
          </w:p>
        </w:tc>
      </w:tr>
      <w:tr w:rsidR="004B7709" w14:paraId="2DF6E2F6" w14:textId="77777777" w:rsidTr="005C07A7">
        <w:tc>
          <w:tcPr>
            <w:tcW w:w="4248" w:type="dxa"/>
          </w:tcPr>
          <w:p w14:paraId="19E1D954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Responding to the need for 24/7 end-of-life care</w:t>
            </w:r>
          </w:p>
        </w:tc>
        <w:tc>
          <w:tcPr>
            <w:tcW w:w="4768" w:type="dxa"/>
          </w:tcPr>
          <w:p w14:paraId="085B346D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Wide variation in HCP’s ability to respond to the need for 24/7 end-of-life care, with only a few teams having the infrastructure to provide seamless, trusted, and continuous support.</w:t>
            </w:r>
          </w:p>
        </w:tc>
      </w:tr>
      <w:tr w:rsidR="004B7709" w14:paraId="32A169C0" w14:textId="77777777" w:rsidTr="005C07A7">
        <w:tc>
          <w:tcPr>
            <w:tcW w:w="4248" w:type="dxa"/>
          </w:tcPr>
          <w:p w14:paraId="736DB508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Coordination across teams without infrastructure</w:t>
            </w:r>
          </w:p>
        </w:tc>
        <w:tc>
          <w:tcPr>
            <w:tcW w:w="4768" w:type="dxa"/>
          </w:tcPr>
          <w:p w14:paraId="52C6E08D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Coordinating care across multiple teams without shared systems or formal processes placed a heavy reliance on personal mobile numbers, timely handovers, and proactive communication</w:t>
            </w:r>
            <w:r>
              <w:rPr>
                <w:sz w:val="22"/>
                <w:szCs w:val="22"/>
              </w:rPr>
              <w:t>.</w:t>
            </w:r>
          </w:p>
        </w:tc>
      </w:tr>
      <w:tr w:rsidR="004B7709" w14:paraId="3715EABB" w14:textId="77777777" w:rsidTr="005C07A7">
        <w:tc>
          <w:tcPr>
            <w:tcW w:w="4248" w:type="dxa"/>
          </w:tcPr>
          <w:p w14:paraId="7562AD22" w14:textId="57BE5717" w:rsidR="004B7709" w:rsidRPr="00764B50" w:rsidRDefault="0036545E" w:rsidP="005C0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HCPs b</w:t>
            </w:r>
            <w:r w:rsidR="004B7709" w:rsidRPr="00764B50">
              <w:rPr>
                <w:sz w:val="22"/>
                <w:szCs w:val="22"/>
              </w:rPr>
              <w:t>uilding 24/7</w:t>
            </w:r>
            <w:r>
              <w:rPr>
                <w:sz w:val="22"/>
                <w:szCs w:val="22"/>
              </w:rPr>
              <w:t xml:space="preserve"> </w:t>
            </w:r>
            <w:r w:rsidR="004B7709" w:rsidRPr="00764B50">
              <w:rPr>
                <w:sz w:val="22"/>
                <w:szCs w:val="22"/>
              </w:rPr>
              <w:t>continuity through integration</w:t>
            </w:r>
          </w:p>
        </w:tc>
        <w:tc>
          <w:tcPr>
            <w:tcW w:w="4768" w:type="dxa"/>
          </w:tcPr>
          <w:p w14:paraId="6598EF01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 xml:space="preserve">HCPs worked across organisational boundaries, through shared rotas, co-location, dual roles, and local skill-building to create more sustainable and integrated 24/7 </w:t>
            </w:r>
            <w:proofErr w:type="spellStart"/>
            <w:r w:rsidRPr="00764B50">
              <w:rPr>
                <w:sz w:val="22"/>
                <w:szCs w:val="22"/>
              </w:rPr>
              <w:t>care</w:t>
            </w:r>
            <w:proofErr w:type="spellEnd"/>
            <w:r w:rsidRPr="00764B50">
              <w:rPr>
                <w:sz w:val="22"/>
                <w:szCs w:val="22"/>
              </w:rPr>
              <w:t xml:space="preserve"> models.</w:t>
            </w:r>
          </w:p>
        </w:tc>
      </w:tr>
      <w:tr w:rsidR="004B7709" w14:paraId="0D0EA660" w14:textId="77777777" w:rsidTr="005C07A7">
        <w:trPr>
          <w:trHeight w:val="550"/>
        </w:trPr>
        <w:tc>
          <w:tcPr>
            <w:tcW w:w="9016" w:type="dxa"/>
            <w:gridSpan w:val="2"/>
            <w:shd w:val="clear" w:color="auto" w:fill="FAE2D5" w:themeFill="accent2" w:themeFillTint="33"/>
            <w:vAlign w:val="center"/>
          </w:tcPr>
          <w:p w14:paraId="5EDADAF4" w14:textId="14C5DC7E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Theme 2: Constraints on choice</w:t>
            </w:r>
            <w:r w:rsidR="00CA3914">
              <w:rPr>
                <w:sz w:val="22"/>
                <w:szCs w:val="22"/>
              </w:rPr>
              <w:t>:</w:t>
            </w:r>
            <w:r w:rsidRPr="00764B50">
              <w:rPr>
                <w:sz w:val="22"/>
                <w:szCs w:val="22"/>
              </w:rPr>
              <w:t xml:space="preserve"> default </w:t>
            </w:r>
            <w:r>
              <w:rPr>
                <w:sz w:val="22"/>
                <w:szCs w:val="22"/>
              </w:rPr>
              <w:t>not</w:t>
            </w:r>
            <w:r w:rsidRPr="00764B50">
              <w:rPr>
                <w:sz w:val="22"/>
                <w:szCs w:val="22"/>
              </w:rPr>
              <w:t xml:space="preserve"> preferred </w:t>
            </w:r>
            <w:r w:rsidR="00CA3914">
              <w:rPr>
                <w:sz w:val="22"/>
                <w:szCs w:val="22"/>
              </w:rPr>
              <w:t>choice</w:t>
            </w:r>
            <w:r w:rsidRPr="00764B50">
              <w:rPr>
                <w:sz w:val="22"/>
                <w:szCs w:val="22"/>
              </w:rPr>
              <w:t>?</w:t>
            </w:r>
          </w:p>
        </w:tc>
      </w:tr>
      <w:tr w:rsidR="004B7709" w14:paraId="7270BCC4" w14:textId="77777777" w:rsidTr="005C07A7">
        <w:tc>
          <w:tcPr>
            <w:tcW w:w="4248" w:type="dxa"/>
          </w:tcPr>
          <w:p w14:paraId="06115B4A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Limits to family choice</w:t>
            </w:r>
          </w:p>
        </w:tc>
        <w:tc>
          <w:tcPr>
            <w:tcW w:w="4768" w:type="dxa"/>
          </w:tcPr>
          <w:p w14:paraId="62E7D204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While professionals aimed to support families' preferences for end-of-life care, genuine choice was often constrained by service availability, resource limitations, and local infrastructure.</w:t>
            </w:r>
          </w:p>
        </w:tc>
      </w:tr>
      <w:tr w:rsidR="004B7709" w14:paraId="18013485" w14:textId="77777777" w:rsidTr="005C07A7">
        <w:tc>
          <w:tcPr>
            <w:tcW w:w="4248" w:type="dxa"/>
          </w:tcPr>
          <w:p w14:paraId="6A0698D2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Critical yet inconsistent provision of community nursing</w:t>
            </w:r>
          </w:p>
        </w:tc>
        <w:tc>
          <w:tcPr>
            <w:tcW w:w="4768" w:type="dxa"/>
          </w:tcPr>
          <w:p w14:paraId="1A21A69A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 xml:space="preserve">The capacity of community children’s nursing teams to deliver end-of-life care varied widely </w:t>
            </w:r>
            <w:r>
              <w:rPr>
                <w:sz w:val="22"/>
                <w:szCs w:val="22"/>
              </w:rPr>
              <w:t>within</w:t>
            </w:r>
            <w:r w:rsidRPr="00764B50">
              <w:rPr>
                <w:sz w:val="22"/>
                <w:szCs w:val="22"/>
              </w:rPr>
              <w:t xml:space="preserve"> regions, significantly influencing where and how children could be cared for</w:t>
            </w:r>
            <w:r>
              <w:rPr>
                <w:sz w:val="22"/>
                <w:szCs w:val="22"/>
              </w:rPr>
              <w:t>.</w:t>
            </w:r>
            <w:r w:rsidRPr="00764B50">
              <w:rPr>
                <w:sz w:val="22"/>
                <w:szCs w:val="22"/>
              </w:rPr>
              <w:t xml:space="preserve"> </w:t>
            </w:r>
          </w:p>
        </w:tc>
      </w:tr>
      <w:tr w:rsidR="004B7709" w14:paraId="37A90ADC" w14:textId="77777777" w:rsidTr="005C07A7">
        <w:tc>
          <w:tcPr>
            <w:tcW w:w="4248" w:type="dxa"/>
          </w:tcPr>
          <w:p w14:paraId="01488C3D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Inequality of access to specialist support</w:t>
            </w:r>
          </w:p>
        </w:tc>
        <w:tc>
          <w:tcPr>
            <w:tcW w:w="4768" w:type="dxa"/>
          </w:tcPr>
          <w:p w14:paraId="5738C34B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Access to timely, expert palliative care support, especially out-of-hours, was inconsistent leaving families and healthcare professionals without the guidance and reassurance they needed.</w:t>
            </w:r>
          </w:p>
        </w:tc>
      </w:tr>
      <w:tr w:rsidR="004B7709" w14:paraId="3CFE5C60" w14:textId="77777777" w:rsidTr="005C07A7">
        <w:trPr>
          <w:trHeight w:val="550"/>
        </w:trPr>
        <w:tc>
          <w:tcPr>
            <w:tcW w:w="9016" w:type="dxa"/>
            <w:gridSpan w:val="2"/>
            <w:shd w:val="clear" w:color="auto" w:fill="FAE2D5" w:themeFill="accent2" w:themeFillTint="33"/>
            <w:vAlign w:val="center"/>
          </w:tcPr>
          <w:p w14:paraId="6B126D77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Theme 3: The personal cost of making it work</w:t>
            </w:r>
          </w:p>
        </w:tc>
      </w:tr>
      <w:tr w:rsidR="004B7709" w14:paraId="489E6EAF" w14:textId="77777777" w:rsidTr="005C07A7">
        <w:tc>
          <w:tcPr>
            <w:tcW w:w="4248" w:type="dxa"/>
          </w:tcPr>
          <w:p w14:paraId="052AA951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764B50">
              <w:rPr>
                <w:sz w:val="22"/>
                <w:szCs w:val="22"/>
              </w:rPr>
              <w:t>Gaps in confidence and experience</w:t>
            </w:r>
          </w:p>
        </w:tc>
        <w:tc>
          <w:tcPr>
            <w:tcW w:w="4768" w:type="dxa"/>
          </w:tcPr>
          <w:p w14:paraId="50AE451E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 w:rsidRPr="00F254DA">
              <w:rPr>
                <w:sz w:val="22"/>
                <w:szCs w:val="22"/>
              </w:rPr>
              <w:t>HCPs identified gaps in confidence, training, and hands-on experience needed to deliver high-quality 24/7 care</w:t>
            </w:r>
            <w:r>
              <w:rPr>
                <w:sz w:val="22"/>
                <w:szCs w:val="22"/>
              </w:rPr>
              <w:t>.</w:t>
            </w:r>
          </w:p>
        </w:tc>
      </w:tr>
      <w:tr w:rsidR="004B7709" w14:paraId="6054A1AC" w14:textId="77777777" w:rsidTr="005C07A7">
        <w:tc>
          <w:tcPr>
            <w:tcW w:w="4248" w:type="dxa"/>
          </w:tcPr>
          <w:p w14:paraId="010900CD" w14:textId="774F7683" w:rsidR="004B7709" w:rsidRPr="00764B50" w:rsidRDefault="0036545E" w:rsidP="005C0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price of goodwill</w:t>
            </w:r>
          </w:p>
        </w:tc>
        <w:tc>
          <w:tcPr>
            <w:tcW w:w="4768" w:type="dxa"/>
          </w:tcPr>
          <w:p w14:paraId="5170680D" w14:textId="77777777" w:rsidR="004B7709" w:rsidRPr="00764B50" w:rsidRDefault="004B7709" w:rsidP="005C0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764B50">
              <w:rPr>
                <w:sz w:val="22"/>
                <w:szCs w:val="22"/>
              </w:rPr>
              <w:t xml:space="preserve">he </w:t>
            </w:r>
            <w:r>
              <w:rPr>
                <w:sz w:val="22"/>
                <w:szCs w:val="22"/>
              </w:rPr>
              <w:t xml:space="preserve">toll on HCPs </w:t>
            </w:r>
            <w:r w:rsidRPr="00764B50">
              <w:rPr>
                <w:sz w:val="22"/>
                <w:szCs w:val="22"/>
              </w:rPr>
              <w:t>of sustaining 24/7 end-of-life care</w:t>
            </w:r>
            <w:r>
              <w:rPr>
                <w:sz w:val="22"/>
                <w:szCs w:val="22"/>
              </w:rPr>
              <w:t xml:space="preserve"> </w:t>
            </w:r>
            <w:r w:rsidRPr="00764B50">
              <w:rPr>
                <w:sz w:val="22"/>
                <w:szCs w:val="22"/>
              </w:rPr>
              <w:t>and concerns that their efforts masked systemic shortcomings.</w:t>
            </w:r>
          </w:p>
        </w:tc>
      </w:tr>
    </w:tbl>
    <w:p w14:paraId="29CB3ED1" w14:textId="77777777" w:rsidR="004B7709" w:rsidRPr="00764B50" w:rsidRDefault="004B7709" w:rsidP="004B7709">
      <w:pPr>
        <w:rPr>
          <w:sz w:val="22"/>
          <w:szCs w:val="22"/>
        </w:rPr>
      </w:pPr>
    </w:p>
    <w:p w14:paraId="502A414A" w14:textId="77777777" w:rsidR="00A5170C" w:rsidRDefault="00A5170C"/>
    <w:sectPr w:rsidR="00A51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09"/>
    <w:rsid w:val="000B6928"/>
    <w:rsid w:val="00143894"/>
    <w:rsid w:val="00233A3E"/>
    <w:rsid w:val="00302871"/>
    <w:rsid w:val="0036545E"/>
    <w:rsid w:val="004A03FD"/>
    <w:rsid w:val="004B7709"/>
    <w:rsid w:val="00503654"/>
    <w:rsid w:val="005961AC"/>
    <w:rsid w:val="0099546F"/>
    <w:rsid w:val="009A5328"/>
    <w:rsid w:val="00A5170C"/>
    <w:rsid w:val="00B151D6"/>
    <w:rsid w:val="00CA3914"/>
    <w:rsid w:val="00DF223E"/>
    <w:rsid w:val="00E519FC"/>
    <w:rsid w:val="00FC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D6A9"/>
  <w15:chartTrackingRefBased/>
  <w15:docId w15:val="{851A1471-9770-46A9-AB14-498B44C3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0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709"/>
    <w:pPr>
      <w:spacing w:before="160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B7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709"/>
    <w:pPr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4B7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7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7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320</Words>
  <Characters>1737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Barrett</dc:creator>
  <cp:keywords/>
  <dc:description/>
  <cp:lastModifiedBy>Laura Barrett</cp:lastModifiedBy>
  <cp:revision>2</cp:revision>
  <dcterms:created xsi:type="dcterms:W3CDTF">2025-11-12T14:17:00Z</dcterms:created>
  <dcterms:modified xsi:type="dcterms:W3CDTF">2025-11-12T14:17:00Z</dcterms:modified>
</cp:coreProperties>
</file>