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A3D9A" w14:textId="77777777" w:rsidR="00C42304" w:rsidRPr="004D0040" w:rsidRDefault="00000000">
      <w:pPr>
        <w:pStyle w:val="Heading1"/>
        <w:rPr>
          <w:rFonts w:ascii="Aptos" w:hAnsi="Aptos"/>
          <w:color w:val="auto"/>
          <w:sz w:val="24"/>
          <w:szCs w:val="24"/>
        </w:rPr>
      </w:pPr>
      <w:r w:rsidRPr="004D0040">
        <w:rPr>
          <w:rFonts w:ascii="Aptos" w:hAnsi="Aptos"/>
          <w:color w:val="auto"/>
          <w:sz w:val="24"/>
          <w:szCs w:val="24"/>
        </w:rPr>
        <w:t>Appendix 7. Frameworks, Models, and Theories Used to Support PCOM Implementation</w:t>
      </w:r>
    </w:p>
    <w:p w14:paraId="2CED25C2" w14:textId="77777777" w:rsidR="004D0040" w:rsidRDefault="004D0040">
      <w:pPr>
        <w:rPr>
          <w:rFonts w:ascii="Aptos" w:hAnsi="Aptos"/>
        </w:rPr>
      </w:pPr>
    </w:p>
    <w:p w14:paraId="7BAA17FB" w14:textId="1F557819" w:rsidR="00C42304" w:rsidRPr="004D0040" w:rsidRDefault="00000000">
      <w:pPr>
        <w:rPr>
          <w:rFonts w:ascii="Aptos" w:hAnsi="Aptos"/>
        </w:rPr>
      </w:pPr>
      <w:r w:rsidRPr="004D0040">
        <w:rPr>
          <w:rFonts w:ascii="Aptos" w:hAnsi="Aptos"/>
        </w:rPr>
        <w:t>This appendix presents the implementation frameworks, models, and theories identified in the included studies, aggregated by framework/model to enhance practical usefulness. For each framework or model, the studies in which it was applied are listed, allowing readers to quickly identify how and where specific implementation approaches have been used in palliative care contexts.</w:t>
      </w:r>
    </w:p>
    <w:tbl>
      <w:tblPr>
        <w:tblW w:w="0" w:type="auto"/>
        <w:tblLook w:val="04A0" w:firstRow="1" w:lastRow="0" w:firstColumn="1" w:lastColumn="0" w:noHBand="0" w:noVBand="1"/>
      </w:tblPr>
      <w:tblGrid>
        <w:gridCol w:w="4320"/>
        <w:gridCol w:w="4320"/>
      </w:tblGrid>
      <w:tr w:rsidR="00C42304" w:rsidRPr="004D0040" w14:paraId="0AC27884" w14:textId="77777777">
        <w:tc>
          <w:tcPr>
            <w:tcW w:w="4320" w:type="dxa"/>
          </w:tcPr>
          <w:p w14:paraId="4766EC9F" w14:textId="77777777" w:rsidR="00C42304" w:rsidRPr="004D0040" w:rsidRDefault="00000000">
            <w:pPr>
              <w:rPr>
                <w:rFonts w:ascii="Aptos" w:hAnsi="Aptos"/>
                <w:b/>
                <w:bCs/>
              </w:rPr>
            </w:pPr>
            <w:r w:rsidRPr="004D0040">
              <w:rPr>
                <w:rFonts w:ascii="Aptos" w:hAnsi="Aptos"/>
                <w:b/>
                <w:bCs/>
              </w:rPr>
              <w:t>Frameworks / Models / Theories</w:t>
            </w:r>
          </w:p>
        </w:tc>
        <w:tc>
          <w:tcPr>
            <w:tcW w:w="4320" w:type="dxa"/>
          </w:tcPr>
          <w:p w14:paraId="52907417" w14:textId="77777777" w:rsidR="00C42304" w:rsidRPr="004D0040" w:rsidRDefault="00000000">
            <w:pPr>
              <w:rPr>
                <w:rFonts w:ascii="Aptos" w:hAnsi="Aptos"/>
                <w:b/>
                <w:bCs/>
              </w:rPr>
            </w:pPr>
            <w:r w:rsidRPr="004D0040">
              <w:rPr>
                <w:rFonts w:ascii="Aptos" w:hAnsi="Aptos"/>
                <w:b/>
                <w:bCs/>
              </w:rPr>
              <w:t>Study Name(s)</w:t>
            </w:r>
          </w:p>
        </w:tc>
      </w:tr>
      <w:tr w:rsidR="00C42304" w:rsidRPr="004D0040" w14:paraId="32ED4316" w14:textId="77777777">
        <w:tc>
          <w:tcPr>
            <w:tcW w:w="4320" w:type="dxa"/>
          </w:tcPr>
          <w:p w14:paraId="6196117B" w14:textId="77777777" w:rsidR="00C42304" w:rsidRPr="004D0040" w:rsidRDefault="00000000">
            <w:pPr>
              <w:rPr>
                <w:rFonts w:ascii="Aptos" w:hAnsi="Aptos"/>
              </w:rPr>
            </w:pPr>
            <w:r w:rsidRPr="004D0040">
              <w:rPr>
                <w:rFonts w:ascii="Aptos" w:hAnsi="Aptos"/>
              </w:rPr>
              <w:t>Normalization Process Theory (NPT)</w:t>
            </w:r>
          </w:p>
        </w:tc>
        <w:tc>
          <w:tcPr>
            <w:tcW w:w="4320" w:type="dxa"/>
          </w:tcPr>
          <w:p w14:paraId="552977FF" w14:textId="77777777" w:rsidR="00C42304" w:rsidRPr="004D0040" w:rsidRDefault="00000000">
            <w:pPr>
              <w:rPr>
                <w:rFonts w:ascii="Aptos" w:hAnsi="Aptos"/>
              </w:rPr>
            </w:pPr>
            <w:r w:rsidRPr="004D0040">
              <w:rPr>
                <w:rFonts w:ascii="Aptos" w:hAnsi="Aptos"/>
              </w:rPr>
              <w:t>Lehmann et al. (2019); Bradshaw et al. (2021b)</w:t>
            </w:r>
          </w:p>
        </w:tc>
      </w:tr>
      <w:tr w:rsidR="00C42304" w:rsidRPr="004D0040" w14:paraId="33F1EE46" w14:textId="77777777">
        <w:tc>
          <w:tcPr>
            <w:tcW w:w="4320" w:type="dxa"/>
          </w:tcPr>
          <w:p w14:paraId="5333677A" w14:textId="77777777" w:rsidR="00C42304" w:rsidRPr="004D0040" w:rsidRDefault="00000000">
            <w:pPr>
              <w:rPr>
                <w:rFonts w:ascii="Aptos" w:hAnsi="Aptos"/>
              </w:rPr>
            </w:pPr>
            <w:r w:rsidRPr="004D0040">
              <w:rPr>
                <w:rFonts w:ascii="Aptos" w:hAnsi="Aptos"/>
              </w:rPr>
              <w:t>Consolidated Framework for Implementation Research (CFIR)</w:t>
            </w:r>
          </w:p>
        </w:tc>
        <w:tc>
          <w:tcPr>
            <w:tcW w:w="4320" w:type="dxa"/>
          </w:tcPr>
          <w:p w14:paraId="76158DE8" w14:textId="77777777" w:rsidR="00C42304" w:rsidRPr="004D0040" w:rsidRDefault="00000000">
            <w:pPr>
              <w:rPr>
                <w:rFonts w:ascii="Aptos" w:hAnsi="Aptos"/>
              </w:rPr>
            </w:pPr>
            <w:r w:rsidRPr="004D0040">
              <w:rPr>
                <w:rFonts w:ascii="Aptos" w:hAnsi="Aptos"/>
              </w:rPr>
              <w:t>Pinto et al. (2018); Lind (2018); Lehmann et al. (2019 – suggested)</w:t>
            </w:r>
          </w:p>
        </w:tc>
      </w:tr>
      <w:tr w:rsidR="00C42304" w:rsidRPr="004D0040" w14:paraId="07A075DD" w14:textId="77777777">
        <w:tc>
          <w:tcPr>
            <w:tcW w:w="4320" w:type="dxa"/>
          </w:tcPr>
          <w:p w14:paraId="634EC9F8" w14:textId="77777777" w:rsidR="00C42304" w:rsidRPr="004D0040" w:rsidRDefault="00000000">
            <w:pPr>
              <w:rPr>
                <w:rFonts w:ascii="Aptos" w:hAnsi="Aptos"/>
              </w:rPr>
            </w:pPr>
            <w:r w:rsidRPr="004D0040">
              <w:rPr>
                <w:rFonts w:ascii="Aptos" w:hAnsi="Aptos"/>
              </w:rPr>
              <w:t>Knowledge to Action (KTA) / Integrated Knowledge Translation (iKT)</w:t>
            </w:r>
          </w:p>
        </w:tc>
        <w:tc>
          <w:tcPr>
            <w:tcW w:w="4320" w:type="dxa"/>
          </w:tcPr>
          <w:p w14:paraId="60A7276D" w14:textId="77777777" w:rsidR="00C42304" w:rsidRPr="004D0040" w:rsidRDefault="00000000">
            <w:pPr>
              <w:rPr>
                <w:rFonts w:ascii="Aptos" w:hAnsi="Aptos"/>
              </w:rPr>
            </w:pPr>
            <w:r w:rsidRPr="004D0040">
              <w:rPr>
                <w:rFonts w:ascii="Aptos" w:hAnsi="Aptos"/>
              </w:rPr>
              <w:t>Sawatzky et al. (2018); Schick-Makaroff et al. (2020); Howell et al. (2020)</w:t>
            </w:r>
          </w:p>
        </w:tc>
      </w:tr>
      <w:tr w:rsidR="00C42304" w:rsidRPr="004D0040" w14:paraId="44612A00" w14:textId="77777777">
        <w:tc>
          <w:tcPr>
            <w:tcW w:w="4320" w:type="dxa"/>
          </w:tcPr>
          <w:p w14:paraId="31D65D07" w14:textId="77777777" w:rsidR="00C42304" w:rsidRPr="004D0040" w:rsidRDefault="00000000">
            <w:pPr>
              <w:rPr>
                <w:rFonts w:ascii="Aptos" w:hAnsi="Aptos"/>
              </w:rPr>
            </w:pPr>
            <w:r w:rsidRPr="004D0040">
              <w:rPr>
                <w:rFonts w:ascii="Aptos" w:hAnsi="Aptos"/>
              </w:rPr>
              <w:t>Plan–Do–Study–Act (PDSA) / Model for Improvement</w:t>
            </w:r>
          </w:p>
        </w:tc>
        <w:tc>
          <w:tcPr>
            <w:tcW w:w="4320" w:type="dxa"/>
          </w:tcPr>
          <w:p w14:paraId="07BBA2CC" w14:textId="77777777" w:rsidR="00C42304" w:rsidRPr="004D0040" w:rsidRDefault="00000000">
            <w:pPr>
              <w:rPr>
                <w:rFonts w:ascii="Aptos" w:hAnsi="Aptos"/>
              </w:rPr>
            </w:pPr>
            <w:r w:rsidRPr="004D0040">
              <w:rPr>
                <w:rFonts w:ascii="Aptos" w:hAnsi="Aptos"/>
              </w:rPr>
              <w:t>Spaner et al. (2017); Patel et al. (2022); Lee et al. (2016); Muir et al. (2018); Pezold et al. (2019); Rauenzahn et al. (2017)</w:t>
            </w:r>
          </w:p>
        </w:tc>
      </w:tr>
      <w:tr w:rsidR="00C42304" w:rsidRPr="004D0040" w14:paraId="67D195B6" w14:textId="77777777">
        <w:tc>
          <w:tcPr>
            <w:tcW w:w="4320" w:type="dxa"/>
          </w:tcPr>
          <w:p w14:paraId="5E951D30" w14:textId="77777777" w:rsidR="00C42304" w:rsidRPr="004D0040" w:rsidRDefault="00000000">
            <w:pPr>
              <w:rPr>
                <w:rFonts w:ascii="Aptos" w:hAnsi="Aptos"/>
              </w:rPr>
            </w:pPr>
            <w:r w:rsidRPr="004D0040">
              <w:rPr>
                <w:rFonts w:ascii="Aptos" w:hAnsi="Aptos"/>
              </w:rPr>
              <w:t>Medical Research Council (MRC) Framework for Complex Interventions</w:t>
            </w:r>
          </w:p>
        </w:tc>
        <w:tc>
          <w:tcPr>
            <w:tcW w:w="4320" w:type="dxa"/>
          </w:tcPr>
          <w:p w14:paraId="198D9674" w14:textId="77777777" w:rsidR="00C42304" w:rsidRPr="004D0040" w:rsidRDefault="00000000">
            <w:pPr>
              <w:rPr>
                <w:rFonts w:ascii="Aptos" w:hAnsi="Aptos"/>
              </w:rPr>
            </w:pPr>
            <w:r w:rsidRPr="004D0040">
              <w:rPr>
                <w:rFonts w:ascii="Aptos" w:hAnsi="Aptos"/>
              </w:rPr>
              <w:t>Kane et al. (2017)</w:t>
            </w:r>
          </w:p>
        </w:tc>
      </w:tr>
      <w:tr w:rsidR="00C42304" w:rsidRPr="004D0040" w14:paraId="082B5371" w14:textId="77777777">
        <w:tc>
          <w:tcPr>
            <w:tcW w:w="4320" w:type="dxa"/>
          </w:tcPr>
          <w:p w14:paraId="6E696272" w14:textId="77777777" w:rsidR="00C42304" w:rsidRPr="004D0040" w:rsidRDefault="00000000">
            <w:pPr>
              <w:rPr>
                <w:rFonts w:ascii="Aptos" w:hAnsi="Aptos"/>
              </w:rPr>
            </w:pPr>
            <w:r w:rsidRPr="004D0040">
              <w:rPr>
                <w:rFonts w:ascii="Aptos" w:hAnsi="Aptos"/>
              </w:rPr>
              <w:t>Promoting Action on Research Implementation in Health Services (PARIHS)</w:t>
            </w:r>
          </w:p>
        </w:tc>
        <w:tc>
          <w:tcPr>
            <w:tcW w:w="4320" w:type="dxa"/>
          </w:tcPr>
          <w:p w14:paraId="5BF2AEDE" w14:textId="77777777" w:rsidR="00C42304" w:rsidRPr="004D0040" w:rsidRDefault="00000000">
            <w:pPr>
              <w:rPr>
                <w:rFonts w:ascii="Aptos" w:hAnsi="Aptos"/>
              </w:rPr>
            </w:pPr>
            <w:r w:rsidRPr="004D0040">
              <w:rPr>
                <w:rFonts w:ascii="Aptos" w:hAnsi="Aptos"/>
              </w:rPr>
              <w:t>Diffin et al. (2018); Lind (2018)</w:t>
            </w:r>
          </w:p>
        </w:tc>
      </w:tr>
      <w:tr w:rsidR="00C42304" w:rsidRPr="004D0040" w14:paraId="29E22735" w14:textId="77777777">
        <w:tc>
          <w:tcPr>
            <w:tcW w:w="4320" w:type="dxa"/>
          </w:tcPr>
          <w:p w14:paraId="012CD2E6" w14:textId="77777777" w:rsidR="00C42304" w:rsidRPr="004D0040" w:rsidRDefault="00000000">
            <w:pPr>
              <w:rPr>
                <w:rFonts w:ascii="Aptos" w:hAnsi="Aptos"/>
              </w:rPr>
            </w:pPr>
            <w:r w:rsidRPr="004D0040">
              <w:rPr>
                <w:rFonts w:ascii="Aptos" w:hAnsi="Aptos"/>
              </w:rPr>
              <w:t>Diffusion of Innovation Theory</w:t>
            </w:r>
          </w:p>
        </w:tc>
        <w:tc>
          <w:tcPr>
            <w:tcW w:w="4320" w:type="dxa"/>
          </w:tcPr>
          <w:p w14:paraId="2FA3618D" w14:textId="77777777" w:rsidR="00C42304" w:rsidRPr="004D0040" w:rsidRDefault="00000000">
            <w:pPr>
              <w:rPr>
                <w:rFonts w:ascii="Aptos" w:hAnsi="Aptos"/>
              </w:rPr>
            </w:pPr>
            <w:r w:rsidRPr="004D0040">
              <w:rPr>
                <w:rFonts w:ascii="Aptos" w:hAnsi="Aptos"/>
              </w:rPr>
              <w:t>Diffin et al. (2018)</w:t>
            </w:r>
          </w:p>
        </w:tc>
      </w:tr>
      <w:tr w:rsidR="00C42304" w:rsidRPr="004D0040" w14:paraId="11BAD479" w14:textId="77777777">
        <w:tc>
          <w:tcPr>
            <w:tcW w:w="4320" w:type="dxa"/>
          </w:tcPr>
          <w:p w14:paraId="6406D815" w14:textId="77777777" w:rsidR="00C42304" w:rsidRPr="004D0040" w:rsidRDefault="00000000">
            <w:pPr>
              <w:rPr>
                <w:rFonts w:ascii="Aptos" w:hAnsi="Aptos"/>
              </w:rPr>
            </w:pPr>
            <w:r w:rsidRPr="004D0040">
              <w:rPr>
                <w:rFonts w:ascii="Aptos" w:hAnsi="Aptos"/>
              </w:rPr>
              <w:t>Nonadoption, Abandonment, Scale-up, Spread and Sustainability (NASSS)</w:t>
            </w:r>
          </w:p>
        </w:tc>
        <w:tc>
          <w:tcPr>
            <w:tcW w:w="4320" w:type="dxa"/>
          </w:tcPr>
          <w:p w14:paraId="759C8C2F" w14:textId="77777777" w:rsidR="00C42304" w:rsidRPr="004D0040" w:rsidRDefault="00000000">
            <w:pPr>
              <w:rPr>
                <w:rFonts w:ascii="Aptos" w:hAnsi="Aptos"/>
              </w:rPr>
            </w:pPr>
            <w:r w:rsidRPr="004D0040">
              <w:rPr>
                <w:rFonts w:ascii="Aptos" w:hAnsi="Aptos"/>
              </w:rPr>
              <w:t>Hall et al. (2020)</w:t>
            </w:r>
          </w:p>
        </w:tc>
      </w:tr>
      <w:tr w:rsidR="00C42304" w:rsidRPr="004D0040" w14:paraId="6B359517" w14:textId="77777777">
        <w:tc>
          <w:tcPr>
            <w:tcW w:w="4320" w:type="dxa"/>
          </w:tcPr>
          <w:p w14:paraId="4775E0ED" w14:textId="77777777" w:rsidR="00C42304" w:rsidRPr="004D0040" w:rsidRDefault="00000000">
            <w:pPr>
              <w:rPr>
                <w:rFonts w:ascii="Aptos" w:hAnsi="Aptos"/>
              </w:rPr>
            </w:pPr>
            <w:r w:rsidRPr="004D0040">
              <w:rPr>
                <w:rFonts w:ascii="Aptos" w:hAnsi="Aptos"/>
              </w:rPr>
              <w:t>Donabedian Model (Structure–Process–Outcome)</w:t>
            </w:r>
          </w:p>
        </w:tc>
        <w:tc>
          <w:tcPr>
            <w:tcW w:w="4320" w:type="dxa"/>
          </w:tcPr>
          <w:p w14:paraId="1042BC11" w14:textId="77777777" w:rsidR="00C42304" w:rsidRPr="004D0040" w:rsidRDefault="00000000">
            <w:pPr>
              <w:rPr>
                <w:rFonts w:ascii="Aptos" w:hAnsi="Aptos"/>
              </w:rPr>
            </w:pPr>
            <w:r w:rsidRPr="004D0040">
              <w:rPr>
                <w:rFonts w:ascii="Aptos" w:hAnsi="Aptos"/>
              </w:rPr>
              <w:t>Potts et al. (2018)</w:t>
            </w:r>
          </w:p>
        </w:tc>
      </w:tr>
      <w:tr w:rsidR="00C42304" w:rsidRPr="004D0040" w14:paraId="5187E769" w14:textId="77777777">
        <w:tc>
          <w:tcPr>
            <w:tcW w:w="4320" w:type="dxa"/>
          </w:tcPr>
          <w:p w14:paraId="01A5870D" w14:textId="77777777" w:rsidR="00C42304" w:rsidRPr="004D0040" w:rsidRDefault="00000000">
            <w:pPr>
              <w:rPr>
                <w:rFonts w:ascii="Aptos" w:hAnsi="Aptos"/>
              </w:rPr>
            </w:pPr>
            <w:r w:rsidRPr="004D0040">
              <w:rPr>
                <w:rFonts w:ascii="Aptos" w:hAnsi="Aptos"/>
              </w:rPr>
              <w:t>Action Research</w:t>
            </w:r>
          </w:p>
        </w:tc>
        <w:tc>
          <w:tcPr>
            <w:tcW w:w="4320" w:type="dxa"/>
          </w:tcPr>
          <w:p w14:paraId="463A9C38" w14:textId="77777777" w:rsidR="00C42304" w:rsidRPr="004D0040" w:rsidRDefault="00000000">
            <w:pPr>
              <w:rPr>
                <w:rFonts w:ascii="Aptos" w:hAnsi="Aptos"/>
              </w:rPr>
            </w:pPr>
            <w:r w:rsidRPr="004D0040">
              <w:rPr>
                <w:rFonts w:ascii="Aptos" w:hAnsi="Aptos"/>
              </w:rPr>
              <w:t>Hughes et al. (2004)</w:t>
            </w:r>
          </w:p>
        </w:tc>
      </w:tr>
      <w:tr w:rsidR="00C42304" w:rsidRPr="004D0040" w14:paraId="4394384A" w14:textId="77777777">
        <w:tc>
          <w:tcPr>
            <w:tcW w:w="4320" w:type="dxa"/>
          </w:tcPr>
          <w:p w14:paraId="65C58EFE" w14:textId="77777777" w:rsidR="00C42304" w:rsidRPr="004D0040" w:rsidRDefault="00000000">
            <w:pPr>
              <w:rPr>
                <w:rFonts w:ascii="Aptos" w:hAnsi="Aptos"/>
              </w:rPr>
            </w:pPr>
            <w:r w:rsidRPr="004D0040">
              <w:rPr>
                <w:rFonts w:ascii="Aptos" w:hAnsi="Aptos"/>
              </w:rPr>
              <w:t>Continuous Quality Improvement / FOCUS–PDCA</w:t>
            </w:r>
          </w:p>
        </w:tc>
        <w:tc>
          <w:tcPr>
            <w:tcW w:w="4320" w:type="dxa"/>
          </w:tcPr>
          <w:p w14:paraId="670B9D08" w14:textId="77777777" w:rsidR="00C42304" w:rsidRPr="004D0040" w:rsidRDefault="00000000">
            <w:pPr>
              <w:rPr>
                <w:rFonts w:ascii="Aptos" w:hAnsi="Aptos"/>
              </w:rPr>
            </w:pPr>
            <w:r w:rsidRPr="004D0040">
              <w:rPr>
                <w:rFonts w:ascii="Aptos" w:hAnsi="Aptos"/>
              </w:rPr>
              <w:t>Bookbinder et al. (1996)</w:t>
            </w:r>
          </w:p>
        </w:tc>
      </w:tr>
      <w:tr w:rsidR="00C42304" w:rsidRPr="004D0040" w14:paraId="29E84DCF" w14:textId="77777777">
        <w:tc>
          <w:tcPr>
            <w:tcW w:w="4320" w:type="dxa"/>
          </w:tcPr>
          <w:p w14:paraId="28403671" w14:textId="77777777" w:rsidR="00C42304" w:rsidRPr="004D0040" w:rsidRDefault="00000000">
            <w:pPr>
              <w:rPr>
                <w:rFonts w:ascii="Aptos" w:hAnsi="Aptos"/>
              </w:rPr>
            </w:pPr>
            <w:r w:rsidRPr="004D0040">
              <w:rPr>
                <w:rFonts w:ascii="Aptos" w:hAnsi="Aptos"/>
              </w:rPr>
              <w:lastRenderedPageBreak/>
              <w:t>Chronic Care and Related Service Models</w:t>
            </w:r>
          </w:p>
        </w:tc>
        <w:tc>
          <w:tcPr>
            <w:tcW w:w="4320" w:type="dxa"/>
          </w:tcPr>
          <w:p w14:paraId="4275526F" w14:textId="77777777" w:rsidR="00C42304" w:rsidRPr="004D0040" w:rsidRDefault="00000000">
            <w:pPr>
              <w:rPr>
                <w:rFonts w:ascii="Aptos" w:hAnsi="Aptos"/>
              </w:rPr>
            </w:pPr>
            <w:r w:rsidRPr="004D0040">
              <w:rPr>
                <w:rFonts w:ascii="Aptos" w:hAnsi="Aptos"/>
              </w:rPr>
              <w:t>Kane et al. (2018); van den Hurk et al. (2022)</w:t>
            </w:r>
          </w:p>
        </w:tc>
      </w:tr>
      <w:tr w:rsidR="00C42304" w:rsidRPr="004D0040" w14:paraId="3B8D5F1A" w14:textId="77777777">
        <w:tc>
          <w:tcPr>
            <w:tcW w:w="4320" w:type="dxa"/>
          </w:tcPr>
          <w:p w14:paraId="4FFDBDBD" w14:textId="77777777" w:rsidR="00C42304" w:rsidRPr="004D0040" w:rsidRDefault="00000000">
            <w:pPr>
              <w:rPr>
                <w:rFonts w:ascii="Aptos" w:hAnsi="Aptos"/>
              </w:rPr>
            </w:pPr>
            <w:r w:rsidRPr="004D0040">
              <w:rPr>
                <w:rFonts w:ascii="Aptos" w:hAnsi="Aptos"/>
              </w:rPr>
              <w:t>Champion-Based Models (Nurse / Radiation Therapist)</w:t>
            </w:r>
          </w:p>
        </w:tc>
        <w:tc>
          <w:tcPr>
            <w:tcW w:w="4320" w:type="dxa"/>
          </w:tcPr>
          <w:p w14:paraId="5464D6B2" w14:textId="77777777" w:rsidR="00C42304" w:rsidRPr="004D0040" w:rsidRDefault="00000000">
            <w:pPr>
              <w:rPr>
                <w:rFonts w:ascii="Aptos" w:hAnsi="Aptos"/>
              </w:rPr>
            </w:pPr>
            <w:r w:rsidRPr="004D0040">
              <w:rPr>
                <w:rFonts w:ascii="Aptos" w:hAnsi="Aptos"/>
              </w:rPr>
              <w:t>Smith et al. (2017); Wu et al. (2022)</w:t>
            </w:r>
          </w:p>
        </w:tc>
      </w:tr>
      <w:tr w:rsidR="00C42304" w:rsidRPr="004D0040" w14:paraId="729A9219" w14:textId="77777777">
        <w:tc>
          <w:tcPr>
            <w:tcW w:w="4320" w:type="dxa"/>
          </w:tcPr>
          <w:p w14:paraId="39864CA0" w14:textId="77777777" w:rsidR="00C42304" w:rsidRPr="004D0040" w:rsidRDefault="00000000">
            <w:pPr>
              <w:rPr>
                <w:rFonts w:ascii="Aptos" w:hAnsi="Aptos"/>
                <w:lang w:val="pt-PT"/>
              </w:rPr>
            </w:pPr>
            <w:r w:rsidRPr="004D0040">
              <w:rPr>
                <w:rFonts w:ascii="Aptos" w:hAnsi="Aptos"/>
                <w:lang w:val="pt-PT"/>
              </w:rPr>
              <w:t xml:space="preserve">Micro–Meso–Macro </w:t>
            </w:r>
            <w:proofErr w:type="spellStart"/>
            <w:r w:rsidRPr="004D0040">
              <w:rPr>
                <w:rFonts w:ascii="Aptos" w:hAnsi="Aptos"/>
                <w:lang w:val="pt-PT"/>
              </w:rPr>
              <w:t>Analytical</w:t>
            </w:r>
            <w:proofErr w:type="spellEnd"/>
            <w:r w:rsidRPr="004D0040">
              <w:rPr>
                <w:rFonts w:ascii="Aptos" w:hAnsi="Aptos"/>
                <w:lang w:val="pt-PT"/>
              </w:rPr>
              <w:t xml:space="preserve"> Framework</w:t>
            </w:r>
          </w:p>
        </w:tc>
        <w:tc>
          <w:tcPr>
            <w:tcW w:w="4320" w:type="dxa"/>
          </w:tcPr>
          <w:p w14:paraId="70366A57" w14:textId="77777777" w:rsidR="00C42304" w:rsidRPr="004D0040" w:rsidRDefault="00000000">
            <w:pPr>
              <w:rPr>
                <w:rFonts w:ascii="Aptos" w:hAnsi="Aptos"/>
              </w:rPr>
            </w:pPr>
            <w:r w:rsidRPr="004D0040">
              <w:rPr>
                <w:rFonts w:ascii="Aptos" w:hAnsi="Aptos"/>
              </w:rPr>
              <w:t>Krawczyk et al. (2019b)</w:t>
            </w:r>
          </w:p>
        </w:tc>
      </w:tr>
      <w:tr w:rsidR="00C42304" w:rsidRPr="004D0040" w14:paraId="435C4970" w14:textId="77777777">
        <w:tc>
          <w:tcPr>
            <w:tcW w:w="4320" w:type="dxa"/>
          </w:tcPr>
          <w:p w14:paraId="2EE3CB16" w14:textId="77777777" w:rsidR="00C42304" w:rsidRPr="004D0040" w:rsidRDefault="00000000">
            <w:pPr>
              <w:rPr>
                <w:rFonts w:ascii="Aptos" w:hAnsi="Aptos"/>
              </w:rPr>
            </w:pPr>
            <w:r w:rsidRPr="004D0040">
              <w:rPr>
                <w:rFonts w:ascii="Aptos" w:hAnsi="Aptos"/>
              </w:rPr>
              <w:t>Specialty-Specific Care Models</w:t>
            </w:r>
          </w:p>
        </w:tc>
        <w:tc>
          <w:tcPr>
            <w:tcW w:w="4320" w:type="dxa"/>
          </w:tcPr>
          <w:p w14:paraId="73F2C429" w14:textId="77777777" w:rsidR="00C42304" w:rsidRPr="004D0040" w:rsidRDefault="00000000">
            <w:pPr>
              <w:rPr>
                <w:rFonts w:ascii="Aptos" w:hAnsi="Aptos"/>
              </w:rPr>
            </w:pPr>
            <w:r w:rsidRPr="004D0040">
              <w:rPr>
                <w:rFonts w:ascii="Aptos" w:hAnsi="Aptos"/>
              </w:rPr>
              <w:t>Kilonzo et al. (2015); Voorend et al. (2021)</w:t>
            </w:r>
          </w:p>
        </w:tc>
      </w:tr>
    </w:tbl>
    <w:p w14:paraId="467A20EF" w14:textId="77777777" w:rsidR="00244248" w:rsidRDefault="00244248"/>
    <w:sectPr w:rsidR="0024424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5036955">
    <w:abstractNumId w:val="8"/>
  </w:num>
  <w:num w:numId="2" w16cid:durableId="1281188500">
    <w:abstractNumId w:val="6"/>
  </w:num>
  <w:num w:numId="3" w16cid:durableId="1486509993">
    <w:abstractNumId w:val="5"/>
  </w:num>
  <w:num w:numId="4" w16cid:durableId="1499806991">
    <w:abstractNumId w:val="4"/>
  </w:num>
  <w:num w:numId="5" w16cid:durableId="1412463407">
    <w:abstractNumId w:val="7"/>
  </w:num>
  <w:num w:numId="6" w16cid:durableId="565844658">
    <w:abstractNumId w:val="3"/>
  </w:num>
  <w:num w:numId="7" w16cid:durableId="282082298">
    <w:abstractNumId w:val="2"/>
  </w:num>
  <w:num w:numId="8" w16cid:durableId="2010407039">
    <w:abstractNumId w:val="1"/>
  </w:num>
  <w:num w:numId="9" w16cid:durableId="294139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4248"/>
    <w:rsid w:val="0029639D"/>
    <w:rsid w:val="00326F90"/>
    <w:rsid w:val="004D0040"/>
    <w:rsid w:val="006F723C"/>
    <w:rsid w:val="00AA1D8D"/>
    <w:rsid w:val="00B47730"/>
    <w:rsid w:val="00C42304"/>
    <w:rsid w:val="00CB0664"/>
    <w:rsid w:val="00DF70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0BDC70"/>
  <w14:defaultImageDpi w14:val="300"/>
  <w15:docId w15:val="{80E98C18-302B-482C-909F-E3738E4F0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292</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Bárbara Antunes</cp:lastModifiedBy>
  <cp:revision>3</cp:revision>
  <dcterms:created xsi:type="dcterms:W3CDTF">2013-12-23T23:15:00Z</dcterms:created>
  <dcterms:modified xsi:type="dcterms:W3CDTF">2026-01-13T16:42:00Z</dcterms:modified>
  <cp:category/>
</cp:coreProperties>
</file>