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3AF67"/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2"/>
        <w:gridCol w:w="3555"/>
        <w:gridCol w:w="1531"/>
        <w:gridCol w:w="3555"/>
        <w:gridCol w:w="1551"/>
      </w:tblGrid>
      <w:tr w14:paraId="0299441E">
        <w:trPr>
          <w:trHeight w:val="312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2548B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Supplementary Table 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A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. Factors associated with core aggressive EOL care intensity score ≥2: multivariable logistic regression</w:t>
            </w:r>
          </w:p>
        </w:tc>
      </w:tr>
      <w:tr w14:paraId="6F9E74E3">
        <w:trPr>
          <w:trHeight w:val="312" w:hRule="atLeast"/>
        </w:trPr>
        <w:tc>
          <w:tcPr>
            <w:tcW w:w="1405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9AB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Variable</w:t>
            </w:r>
          </w:p>
        </w:tc>
        <w:tc>
          <w:tcPr>
            <w:tcW w:w="1254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44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Adjusted OR (95% CI)</w:t>
            </w:r>
          </w:p>
        </w:tc>
        <w:tc>
          <w:tcPr>
            <w:tcW w:w="54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0C0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 value</w:t>
            </w:r>
          </w:p>
        </w:tc>
        <w:tc>
          <w:tcPr>
            <w:tcW w:w="180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9D1A5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Sensitivity analysis (excluding 2017)</w:t>
            </w:r>
          </w:p>
        </w:tc>
      </w:tr>
      <w:tr w14:paraId="1504054F">
        <w:trPr>
          <w:trHeight w:val="312" w:hRule="atLeast"/>
        </w:trPr>
        <w:tc>
          <w:tcPr>
            <w:tcW w:w="1405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DD6C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1254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D57E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54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73BB9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125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8A8B9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Adjusted OR (95% CI)</w:t>
            </w:r>
          </w:p>
        </w:tc>
        <w:tc>
          <w:tcPr>
            <w:tcW w:w="5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87F0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 value</w:t>
            </w:r>
          </w:p>
        </w:tc>
      </w:tr>
      <w:tr w14:paraId="0915ED8B">
        <w:trPr>
          <w:trHeight w:val="90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9768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Non-Cancer (reference: Cancer)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AE3AE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4.55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 (3.70–5.56)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6F10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A39D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4.35 (3.57–5.56)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9FD80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71FA7E29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1B315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Age group (reference: age&lt;60)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0EF0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D91E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DDC75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BF56D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37490BCF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2A9DE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60-69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28CE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1.10 (0.85–1.44)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57C0E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0.46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A0DA4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1.11 (0.85–1.45)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D6BB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0.4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6</w:t>
            </w:r>
          </w:p>
        </w:tc>
      </w:tr>
      <w:tr w14:paraId="2DF30E65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89975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70-79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B423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1.05 (0.79–1.38)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C9827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0.7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5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26117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1.06 (0.80–1.41)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03332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0.68</w:t>
            </w:r>
          </w:p>
        </w:tc>
      </w:tr>
      <w:tr w14:paraId="05C2FFDB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7E03B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≥80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F314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0.84 (0.62–1.13)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709E6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0.24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C9FC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0.84 (0.62–1.14)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A32DF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0.2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6</w:t>
            </w:r>
          </w:p>
        </w:tc>
      </w:tr>
      <w:tr w14:paraId="54DE529E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F45C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Male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3488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1.32 (1.11–1.57)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92E83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0.002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2FDE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1.33 (1.12–1.59)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5DA8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0.001</w:t>
            </w:r>
          </w:p>
        </w:tc>
      </w:tr>
      <w:tr w14:paraId="2597FED4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A3A5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Charlson comorbidity index 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37190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0.94 (0.89–0.99)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201F2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0.015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457E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0.93 (0.88–0.98)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A7E3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0.009</w:t>
            </w:r>
          </w:p>
        </w:tc>
      </w:tr>
      <w:tr w14:paraId="21766F11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68933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Palliative care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B50E9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0.02 (&lt;0.01–0.1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)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6BDAF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0129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0.02 (&lt;0.01–0.14)</w:t>
            </w:r>
            <w:r>
              <w:rPr>
                <w:rFonts w:hint="default" w:ascii="Times New Roman Regular" w:hAnsi="Times New Roman Regular" w:cs="Times New Roman Regular"/>
                <w:vertAlign w:val="superscript"/>
                <w:lang w:val="en-US" w:eastAsia="zh-CN"/>
              </w:rPr>
              <w:t>a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96353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1B2FA871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D5FA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Emergency admission 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9C22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10.43 (7.64–14.23)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2437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CAC5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9.99 (7.28–13.71)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D970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4D26DA63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1B20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Year of death (reference: 201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)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9D70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7414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AD33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Year of death (reference: 2018)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906D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39771BDA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D432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201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8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10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2.13 (1.20–3.80)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373D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04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-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B6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</w:p>
        </w:tc>
      </w:tr>
      <w:tr w14:paraId="0C78A1B8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B271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2019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BD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4.54 (2.56–8.07)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FE95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55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2.13 (1.46–3.10)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46BC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242D9558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A10F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2020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57E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4.73 (2.72–8.24)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3337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804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2.21 (1.57–3.13)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D70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225B549E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7A49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2021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143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7.61 (4.39–13.20)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CB79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5E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3.56 (2.54–4.98)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ABC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38220CB6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EEF0944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2022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3C8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4.30 (2.51–7.39)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E4613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9595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2.02 (1.47–2.79)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41A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2A7B6986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83A709B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2023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DAF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3.58 (2.05–6.27)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35CC9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0.005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2860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1.68 (1.18–2.40)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986E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0.004</w:t>
            </w:r>
          </w:p>
        </w:tc>
      </w:tr>
      <w:tr w14:paraId="670AA134">
        <w:trPr>
          <w:trHeight w:val="312" w:hRule="atLeast"/>
        </w:trPr>
        <w:tc>
          <w:tcPr>
            <w:tcW w:w="14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DB8F1E6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2024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0C6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4.01 (2.31–6.98)</w:t>
            </w:r>
          </w:p>
        </w:tc>
        <w:tc>
          <w:tcPr>
            <w:tcW w:w="5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ED31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12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5AC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1.88 (1.34–2.66)</w:t>
            </w:r>
          </w:p>
        </w:tc>
        <w:tc>
          <w:tcPr>
            <w:tcW w:w="54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781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3C58129F">
        <w:trPr>
          <w:trHeight w:val="312" w:hRule="atLeast"/>
        </w:trPr>
        <w:tc>
          <w:tcPr>
            <w:tcW w:w="5000" w:type="pct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AEA0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 Regular" w:hAnsi="Times New Roman Regular" w:cs="Times New Roman Regular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vertAlign w:val="superscript"/>
                <w:lang w:val="en-US" w:eastAsia="zh-CN"/>
              </w:rPr>
              <w:t xml:space="preserve">a </w:t>
            </w:r>
            <w:r>
              <w:rPr>
                <w:rFonts w:hint="eastAsia" w:ascii="Times New Roman Regular" w:hAnsi="Times New Roman Regular" w:cs="Times New Roman Regular"/>
                <w:highlight w:val="none"/>
                <w:lang w:val="en-US" w:eastAsia="zh-CN"/>
              </w:rPr>
              <w:t xml:space="preserve">Palliative care was estimated using Firth penalized logistic regression; </w:t>
            </w:r>
          </w:p>
          <w:p w14:paraId="4C2E5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highlight w:val="none"/>
                <w:lang w:val="en-US" w:eastAsia="zh-CN"/>
              </w:rPr>
              <w:t>all other covariates were estimated using standard multivariable</w:t>
            </w:r>
            <w:r>
              <w:rPr>
                <w:rFonts w:hint="default" w:ascii="Times New Roman Regular" w:hAnsi="Times New Roman Regular" w:cs="Times New Roman Regular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highlight w:val="none"/>
                <w:lang w:val="en-US" w:eastAsia="zh-CN"/>
              </w:rPr>
              <w:t>logistic regression. Sensitivity analyses excluded admissions in 2017 because data in 2017 covered only four months.</w:t>
            </w:r>
          </w:p>
        </w:tc>
      </w:tr>
    </w:tbl>
    <w:p w14:paraId="60FED283"/>
    <w:tbl>
      <w:tblPr>
        <w:tblStyle w:val="4"/>
        <w:tblpPr w:leftFromText="180" w:rightFromText="180" w:vertAnchor="text" w:horzAnchor="page" w:tblpX="1436" w:tblpY="30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4"/>
        <w:gridCol w:w="3061"/>
        <w:gridCol w:w="2029"/>
        <w:gridCol w:w="3763"/>
        <w:gridCol w:w="1907"/>
      </w:tblGrid>
      <w:tr w14:paraId="509832D0">
        <w:trPr>
          <w:trHeight w:val="286" w:hRule="atLeast"/>
        </w:trPr>
        <w:tc>
          <w:tcPr>
            <w:tcW w:w="14174" w:type="dxa"/>
            <w:gridSpan w:val="5"/>
          </w:tcPr>
          <w:p w14:paraId="51F0D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 xml:space="preserve">Supplementary </w:t>
            </w:r>
            <w:r>
              <w:rPr>
                <w:rFonts w:hint="default" w:ascii="Times New Roman Regular" w:hAnsi="Times New Roman Regular" w:cs="Times New Roman Regular"/>
              </w:rPr>
              <w:t xml:space="preserve">Table 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S1B</w:t>
            </w:r>
            <w:r>
              <w:rPr>
                <w:rFonts w:hint="default" w:ascii="Times New Roman Regular" w:hAnsi="Times New Roman Regular" w:cs="Times New Roman Regular"/>
              </w:rPr>
              <w:t>. Factors associated with core aggressive EOL care intensity score ≥3: multivariable logistic regression</w:t>
            </w:r>
          </w:p>
        </w:tc>
      </w:tr>
      <w:tr w14:paraId="6D02FEDD">
        <w:tc>
          <w:tcPr>
            <w:tcW w:w="3414" w:type="dxa"/>
            <w:vMerge w:val="restart"/>
            <w:vAlign w:val="center"/>
          </w:tcPr>
          <w:p w14:paraId="4ED867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Variable</w:t>
            </w:r>
          </w:p>
        </w:tc>
        <w:tc>
          <w:tcPr>
            <w:tcW w:w="3061" w:type="dxa"/>
            <w:vMerge w:val="restart"/>
            <w:vAlign w:val="center"/>
          </w:tcPr>
          <w:p w14:paraId="07553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Adjusted OR (95% CI)</w:t>
            </w:r>
          </w:p>
        </w:tc>
        <w:tc>
          <w:tcPr>
            <w:tcW w:w="2029" w:type="dxa"/>
            <w:vMerge w:val="restart"/>
            <w:vAlign w:val="center"/>
          </w:tcPr>
          <w:p w14:paraId="7645B5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</w:rPr>
              <w:t>p</w:t>
            </w:r>
            <w:r>
              <w:rPr>
                <w:rFonts w:hint="default" w:ascii="Times New Roman Regular" w:hAnsi="Times New Roman Regular" w:cs="Times New Roman Regular"/>
              </w:rPr>
              <w:t xml:space="preserve"> value</w:t>
            </w:r>
          </w:p>
        </w:tc>
        <w:tc>
          <w:tcPr>
            <w:tcW w:w="5670" w:type="dxa"/>
            <w:gridSpan w:val="2"/>
            <w:vAlign w:val="center"/>
          </w:tcPr>
          <w:p w14:paraId="5A1AB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Sensitivity analysis (excluding 2017)</w:t>
            </w:r>
          </w:p>
        </w:tc>
      </w:tr>
      <w:tr w14:paraId="69551F94">
        <w:tc>
          <w:tcPr>
            <w:tcW w:w="3414" w:type="dxa"/>
            <w:vMerge w:val="continue"/>
            <w:vAlign w:val="center"/>
          </w:tcPr>
          <w:p w14:paraId="3C72E2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lang w:eastAsia="zh-CN"/>
              </w:rPr>
            </w:pPr>
          </w:p>
        </w:tc>
        <w:tc>
          <w:tcPr>
            <w:tcW w:w="3061" w:type="dxa"/>
            <w:vMerge w:val="continue"/>
            <w:vAlign w:val="center"/>
          </w:tcPr>
          <w:p w14:paraId="699B2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2029" w:type="dxa"/>
            <w:vMerge w:val="continue"/>
            <w:vAlign w:val="center"/>
          </w:tcPr>
          <w:p w14:paraId="41A097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3763" w:type="dxa"/>
            <w:vAlign w:val="center"/>
          </w:tcPr>
          <w:p w14:paraId="2223A7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Sensitivity analysis:</w:t>
            </w:r>
          </w:p>
          <w:p w14:paraId="612CA4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Adjusted OR (95% CI)</w:t>
            </w:r>
          </w:p>
        </w:tc>
        <w:tc>
          <w:tcPr>
            <w:tcW w:w="1907" w:type="dxa"/>
            <w:vAlign w:val="center"/>
          </w:tcPr>
          <w:p w14:paraId="7C56F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</w:rPr>
              <w:t>p</w:t>
            </w:r>
            <w:r>
              <w:rPr>
                <w:rFonts w:hint="default" w:ascii="Times New Roman Regular" w:hAnsi="Times New Roman Regular" w:cs="Times New Roman Regular"/>
              </w:rPr>
              <w:t xml:space="preserve"> value</w:t>
            </w:r>
          </w:p>
        </w:tc>
      </w:tr>
      <w:tr w14:paraId="645C1868">
        <w:tc>
          <w:tcPr>
            <w:tcW w:w="3414" w:type="dxa"/>
          </w:tcPr>
          <w:p w14:paraId="20E9E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Non-Cancer (reference: Cancer)</w:t>
            </w:r>
          </w:p>
        </w:tc>
        <w:tc>
          <w:tcPr>
            <w:tcW w:w="3061" w:type="dxa"/>
          </w:tcPr>
          <w:p w14:paraId="3F187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3.03</w:t>
            </w:r>
            <w:r>
              <w:rPr>
                <w:rFonts w:hint="default" w:ascii="Times New Roman Regular" w:hAnsi="Times New Roman Regular" w:cs="Times New Roman Regular"/>
              </w:rPr>
              <w:t xml:space="preserve"> (2.27–4.17)</w:t>
            </w:r>
          </w:p>
        </w:tc>
        <w:tc>
          <w:tcPr>
            <w:tcW w:w="2029" w:type="dxa"/>
          </w:tcPr>
          <w:p w14:paraId="03266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3763" w:type="dxa"/>
          </w:tcPr>
          <w:p w14:paraId="7D25D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2.94 (2.17–4.00)</w:t>
            </w:r>
          </w:p>
        </w:tc>
        <w:tc>
          <w:tcPr>
            <w:tcW w:w="1907" w:type="dxa"/>
          </w:tcPr>
          <w:p w14:paraId="062CF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764E4F00">
        <w:tc>
          <w:tcPr>
            <w:tcW w:w="3414" w:type="dxa"/>
            <w:vAlign w:val="top"/>
          </w:tcPr>
          <w:p w14:paraId="7EA548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Age group (reference: age&lt;60)</w:t>
            </w:r>
          </w:p>
        </w:tc>
        <w:tc>
          <w:tcPr>
            <w:tcW w:w="3061" w:type="dxa"/>
          </w:tcPr>
          <w:p w14:paraId="691B8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2029" w:type="dxa"/>
          </w:tcPr>
          <w:p w14:paraId="082D7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3763" w:type="dxa"/>
          </w:tcPr>
          <w:p w14:paraId="4B4667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1907" w:type="dxa"/>
          </w:tcPr>
          <w:p w14:paraId="1AFE6C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2CB08CC9">
        <w:tc>
          <w:tcPr>
            <w:tcW w:w="3414" w:type="dxa"/>
            <w:vAlign w:val="top"/>
          </w:tcPr>
          <w:p w14:paraId="4CE7EE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60-69</w:t>
            </w:r>
          </w:p>
        </w:tc>
        <w:tc>
          <w:tcPr>
            <w:tcW w:w="3061" w:type="dxa"/>
            <w:vAlign w:val="center"/>
          </w:tcPr>
          <w:p w14:paraId="47396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1.01 (0.74–1.38)</w:t>
            </w:r>
          </w:p>
        </w:tc>
        <w:tc>
          <w:tcPr>
            <w:tcW w:w="2029" w:type="dxa"/>
            <w:vAlign w:val="center"/>
          </w:tcPr>
          <w:p w14:paraId="006352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0.94</w:t>
            </w:r>
          </w:p>
        </w:tc>
        <w:tc>
          <w:tcPr>
            <w:tcW w:w="3763" w:type="dxa"/>
            <w:vAlign w:val="center"/>
          </w:tcPr>
          <w:p w14:paraId="30E27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0.97 (0.70–1.33)</w:t>
            </w:r>
          </w:p>
        </w:tc>
        <w:tc>
          <w:tcPr>
            <w:tcW w:w="1907" w:type="dxa"/>
            <w:vAlign w:val="center"/>
          </w:tcPr>
          <w:p w14:paraId="5AE27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0.83</w:t>
            </w:r>
          </w:p>
        </w:tc>
      </w:tr>
      <w:tr w14:paraId="2AF3AC79">
        <w:tc>
          <w:tcPr>
            <w:tcW w:w="3414" w:type="dxa"/>
            <w:vAlign w:val="top"/>
          </w:tcPr>
          <w:p w14:paraId="5A5866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70-79</w:t>
            </w:r>
          </w:p>
        </w:tc>
        <w:tc>
          <w:tcPr>
            <w:tcW w:w="3061" w:type="dxa"/>
            <w:vAlign w:val="center"/>
          </w:tcPr>
          <w:p w14:paraId="7998F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0.87 (0.61–1.23)</w:t>
            </w:r>
          </w:p>
        </w:tc>
        <w:tc>
          <w:tcPr>
            <w:tcW w:w="2029" w:type="dxa"/>
            <w:vAlign w:val="center"/>
          </w:tcPr>
          <w:p w14:paraId="1C1706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0.42</w:t>
            </w:r>
          </w:p>
        </w:tc>
        <w:tc>
          <w:tcPr>
            <w:tcW w:w="3763" w:type="dxa"/>
            <w:vAlign w:val="center"/>
          </w:tcPr>
          <w:p w14:paraId="284B2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0.85 (0.60–1.20)</w:t>
            </w:r>
          </w:p>
        </w:tc>
        <w:tc>
          <w:tcPr>
            <w:tcW w:w="1907" w:type="dxa"/>
            <w:vAlign w:val="center"/>
          </w:tcPr>
          <w:p w14:paraId="6BB0A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0.35</w:t>
            </w:r>
          </w:p>
        </w:tc>
      </w:tr>
      <w:tr w14:paraId="7A8D7647">
        <w:trPr>
          <w:trHeight w:val="291" w:hRule="atLeast"/>
        </w:trPr>
        <w:tc>
          <w:tcPr>
            <w:tcW w:w="3414" w:type="dxa"/>
            <w:vAlign w:val="top"/>
          </w:tcPr>
          <w:p w14:paraId="2FB756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≥80</w:t>
            </w:r>
          </w:p>
        </w:tc>
        <w:tc>
          <w:tcPr>
            <w:tcW w:w="3061" w:type="dxa"/>
            <w:vAlign w:val="center"/>
          </w:tcPr>
          <w:p w14:paraId="612EA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0.81 (0.56–1.17)</w:t>
            </w:r>
          </w:p>
        </w:tc>
        <w:tc>
          <w:tcPr>
            <w:tcW w:w="2029" w:type="dxa"/>
            <w:vAlign w:val="center"/>
          </w:tcPr>
          <w:p w14:paraId="1F5F5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0.2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7</w:t>
            </w:r>
          </w:p>
        </w:tc>
        <w:tc>
          <w:tcPr>
            <w:tcW w:w="3763" w:type="dxa"/>
            <w:vAlign w:val="center"/>
          </w:tcPr>
          <w:p w14:paraId="590C8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0.79 (0.55–1.16)</w:t>
            </w:r>
          </w:p>
        </w:tc>
        <w:tc>
          <w:tcPr>
            <w:tcW w:w="1907" w:type="dxa"/>
            <w:vAlign w:val="center"/>
          </w:tcPr>
          <w:p w14:paraId="43F98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0.2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3</w:t>
            </w:r>
          </w:p>
        </w:tc>
      </w:tr>
      <w:tr w14:paraId="19A93A8D">
        <w:tc>
          <w:tcPr>
            <w:tcW w:w="3414" w:type="dxa"/>
          </w:tcPr>
          <w:p w14:paraId="5E096E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Male</w:t>
            </w:r>
          </w:p>
        </w:tc>
        <w:tc>
          <w:tcPr>
            <w:tcW w:w="3061" w:type="dxa"/>
          </w:tcPr>
          <w:p w14:paraId="35427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1.24 (1.00–1.54)</w:t>
            </w:r>
          </w:p>
        </w:tc>
        <w:tc>
          <w:tcPr>
            <w:tcW w:w="2029" w:type="dxa"/>
          </w:tcPr>
          <w:p w14:paraId="6FD52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0.047</w:t>
            </w:r>
          </w:p>
        </w:tc>
        <w:tc>
          <w:tcPr>
            <w:tcW w:w="3763" w:type="dxa"/>
          </w:tcPr>
          <w:p w14:paraId="4D615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1.25 (1.01–1.56)</w:t>
            </w:r>
          </w:p>
        </w:tc>
        <w:tc>
          <w:tcPr>
            <w:tcW w:w="1907" w:type="dxa"/>
          </w:tcPr>
          <w:p w14:paraId="3BD2F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0.041</w:t>
            </w:r>
          </w:p>
        </w:tc>
      </w:tr>
      <w:tr w14:paraId="68668B95">
        <w:tc>
          <w:tcPr>
            <w:tcW w:w="3414" w:type="dxa"/>
          </w:tcPr>
          <w:p w14:paraId="4153D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 xml:space="preserve">Charlson comorbidity index </w:t>
            </w:r>
          </w:p>
        </w:tc>
        <w:tc>
          <w:tcPr>
            <w:tcW w:w="3061" w:type="dxa"/>
          </w:tcPr>
          <w:p w14:paraId="2DF4E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0.92 (0.86–0.9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</w:rPr>
              <w:t>)</w:t>
            </w:r>
          </w:p>
        </w:tc>
        <w:tc>
          <w:tcPr>
            <w:tcW w:w="2029" w:type="dxa"/>
          </w:tcPr>
          <w:p w14:paraId="3F2D1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0.016</w:t>
            </w:r>
          </w:p>
        </w:tc>
        <w:tc>
          <w:tcPr>
            <w:tcW w:w="3763" w:type="dxa"/>
          </w:tcPr>
          <w:p w14:paraId="72A6E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0.91 (0.85–0.9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</w:rPr>
              <w:t>)</w:t>
            </w:r>
          </w:p>
        </w:tc>
        <w:tc>
          <w:tcPr>
            <w:tcW w:w="1907" w:type="dxa"/>
          </w:tcPr>
          <w:p w14:paraId="595AA6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0.011</w:t>
            </w:r>
          </w:p>
        </w:tc>
      </w:tr>
      <w:tr w14:paraId="301E3A15">
        <w:tc>
          <w:tcPr>
            <w:tcW w:w="3414" w:type="dxa"/>
            <w:vAlign w:val="top"/>
          </w:tcPr>
          <w:p w14:paraId="23C7AE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Palliative care</w:t>
            </w:r>
          </w:p>
        </w:tc>
        <w:tc>
          <w:tcPr>
            <w:tcW w:w="3061" w:type="dxa"/>
            <w:vAlign w:val="top"/>
          </w:tcPr>
          <w:p w14:paraId="7D75CD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0.06 (&lt;0.01–0.43)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029" w:type="dxa"/>
            <w:vAlign w:val="top"/>
          </w:tcPr>
          <w:p w14:paraId="3E78C9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3763" w:type="dxa"/>
          </w:tcPr>
          <w:p w14:paraId="230CEC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0.06 (&lt;0.01–0.4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4</w:t>
            </w:r>
            <w:r>
              <w:rPr>
                <w:rFonts w:hint="default" w:ascii="Times New Roman Regular" w:hAnsi="Times New Roman Regular" w:cs="Times New Roman Regular"/>
              </w:rPr>
              <w:t>)</w:t>
            </w:r>
            <w:r>
              <w:rPr>
                <w:rFonts w:hint="default" w:ascii="Times New Roman Regular" w:hAnsi="Times New Roman Regular" w:cs="Times New Roman Regular"/>
                <w:vertAlign w:val="superscript"/>
                <w:lang w:val="en-US"/>
              </w:rPr>
              <w:t>a</w:t>
            </w:r>
          </w:p>
        </w:tc>
        <w:tc>
          <w:tcPr>
            <w:tcW w:w="1907" w:type="dxa"/>
          </w:tcPr>
          <w:p w14:paraId="6F7C5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1C814885">
        <w:tc>
          <w:tcPr>
            <w:tcW w:w="3414" w:type="dxa"/>
          </w:tcPr>
          <w:p w14:paraId="5A23E2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Emergency admission</w:t>
            </w:r>
          </w:p>
        </w:tc>
        <w:tc>
          <w:tcPr>
            <w:tcW w:w="3061" w:type="dxa"/>
          </w:tcPr>
          <w:p w14:paraId="1485F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4.35 (3.44–5.50)</w:t>
            </w:r>
          </w:p>
        </w:tc>
        <w:tc>
          <w:tcPr>
            <w:tcW w:w="2029" w:type="dxa"/>
          </w:tcPr>
          <w:p w14:paraId="282B3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3763" w:type="dxa"/>
          </w:tcPr>
          <w:p w14:paraId="60C26A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4.39 (3.46–5.56)</w:t>
            </w:r>
          </w:p>
        </w:tc>
        <w:tc>
          <w:tcPr>
            <w:tcW w:w="1907" w:type="dxa"/>
          </w:tcPr>
          <w:p w14:paraId="10F4C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385DA272">
        <w:tc>
          <w:tcPr>
            <w:tcW w:w="3414" w:type="dxa"/>
          </w:tcPr>
          <w:p w14:paraId="5C718B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Year of death (reference: 201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7</w:t>
            </w:r>
            <w:r>
              <w:rPr>
                <w:rFonts w:hint="default" w:ascii="Times New Roman Regular" w:hAnsi="Times New Roman Regular" w:cs="Times New Roman Regular"/>
              </w:rPr>
              <w:t>)</w:t>
            </w:r>
          </w:p>
        </w:tc>
        <w:tc>
          <w:tcPr>
            <w:tcW w:w="3061" w:type="dxa"/>
          </w:tcPr>
          <w:p w14:paraId="5A548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2029" w:type="dxa"/>
          </w:tcPr>
          <w:p w14:paraId="5808FC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3763" w:type="dxa"/>
          </w:tcPr>
          <w:p w14:paraId="1510EB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Year of death (reference: 2018)</w:t>
            </w:r>
          </w:p>
        </w:tc>
        <w:tc>
          <w:tcPr>
            <w:tcW w:w="1907" w:type="dxa"/>
          </w:tcPr>
          <w:p w14:paraId="51677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2E280B91">
        <w:tc>
          <w:tcPr>
            <w:tcW w:w="3414" w:type="dxa"/>
            <w:vAlign w:val="top"/>
          </w:tcPr>
          <w:p w14:paraId="03D79D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2018</w:t>
            </w:r>
          </w:p>
        </w:tc>
        <w:tc>
          <w:tcPr>
            <w:tcW w:w="3061" w:type="dxa"/>
            <w:vAlign w:val="center"/>
          </w:tcPr>
          <w:p w14:paraId="258C1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1.23 (0.58–2.57)</w:t>
            </w:r>
          </w:p>
        </w:tc>
        <w:tc>
          <w:tcPr>
            <w:tcW w:w="2029" w:type="dxa"/>
            <w:vAlign w:val="center"/>
          </w:tcPr>
          <w:p w14:paraId="2FCB1E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0.59</w:t>
            </w:r>
          </w:p>
        </w:tc>
        <w:tc>
          <w:tcPr>
            <w:tcW w:w="3763" w:type="dxa"/>
            <w:vAlign w:val="center"/>
          </w:tcPr>
          <w:p w14:paraId="1EAF04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-</w:t>
            </w:r>
          </w:p>
        </w:tc>
        <w:tc>
          <w:tcPr>
            <w:tcW w:w="1907" w:type="dxa"/>
            <w:vAlign w:val="center"/>
          </w:tcPr>
          <w:p w14:paraId="5BE4F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33AC4EEA">
        <w:tc>
          <w:tcPr>
            <w:tcW w:w="3414" w:type="dxa"/>
            <w:vAlign w:val="top"/>
          </w:tcPr>
          <w:p w14:paraId="68A10B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2019</w:t>
            </w:r>
          </w:p>
        </w:tc>
        <w:tc>
          <w:tcPr>
            <w:tcW w:w="3061" w:type="dxa"/>
            <w:vAlign w:val="center"/>
          </w:tcPr>
          <w:p w14:paraId="4685D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2.43 (1.19–4.97)</w:t>
            </w:r>
          </w:p>
        </w:tc>
        <w:tc>
          <w:tcPr>
            <w:tcW w:w="2029" w:type="dxa"/>
            <w:vAlign w:val="center"/>
          </w:tcPr>
          <w:p w14:paraId="732E70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0.015</w:t>
            </w:r>
          </w:p>
        </w:tc>
        <w:tc>
          <w:tcPr>
            <w:tcW w:w="3763" w:type="dxa"/>
            <w:vAlign w:val="center"/>
          </w:tcPr>
          <w:p w14:paraId="0070C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1.98 (1.21–3.22)</w:t>
            </w:r>
          </w:p>
        </w:tc>
        <w:tc>
          <w:tcPr>
            <w:tcW w:w="1907" w:type="dxa"/>
            <w:vAlign w:val="center"/>
          </w:tcPr>
          <w:p w14:paraId="4C2CA7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0.006</w:t>
            </w:r>
          </w:p>
        </w:tc>
      </w:tr>
      <w:tr w14:paraId="36984C7C">
        <w:tc>
          <w:tcPr>
            <w:tcW w:w="3414" w:type="dxa"/>
            <w:vAlign w:val="top"/>
          </w:tcPr>
          <w:p w14:paraId="025075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2020</w:t>
            </w:r>
          </w:p>
        </w:tc>
        <w:tc>
          <w:tcPr>
            <w:tcW w:w="3061" w:type="dxa"/>
            <w:vAlign w:val="center"/>
          </w:tcPr>
          <w:p w14:paraId="2E4D5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2.64 (1.32–5.27)</w:t>
            </w:r>
          </w:p>
        </w:tc>
        <w:tc>
          <w:tcPr>
            <w:tcW w:w="2029" w:type="dxa"/>
            <w:vAlign w:val="center"/>
          </w:tcPr>
          <w:p w14:paraId="60D36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0.006</w:t>
            </w:r>
          </w:p>
        </w:tc>
        <w:tc>
          <w:tcPr>
            <w:tcW w:w="3763" w:type="dxa"/>
            <w:vAlign w:val="center"/>
          </w:tcPr>
          <w:p w14:paraId="358B77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2.15 (1.38–3.37)</w:t>
            </w:r>
          </w:p>
        </w:tc>
        <w:tc>
          <w:tcPr>
            <w:tcW w:w="1907" w:type="dxa"/>
            <w:vAlign w:val="center"/>
          </w:tcPr>
          <w:p w14:paraId="25FD1F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43EEFFBA">
        <w:tc>
          <w:tcPr>
            <w:tcW w:w="3414" w:type="dxa"/>
            <w:vAlign w:val="top"/>
          </w:tcPr>
          <w:p w14:paraId="657A71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2021</w:t>
            </w:r>
          </w:p>
        </w:tc>
        <w:tc>
          <w:tcPr>
            <w:tcW w:w="3061" w:type="dxa"/>
            <w:vAlign w:val="center"/>
          </w:tcPr>
          <w:p w14:paraId="494D0A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4.04 (2.05–7.97)</w:t>
            </w:r>
          </w:p>
        </w:tc>
        <w:tc>
          <w:tcPr>
            <w:tcW w:w="2029" w:type="dxa"/>
            <w:vAlign w:val="center"/>
          </w:tcPr>
          <w:p w14:paraId="4C49A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  <w:tc>
          <w:tcPr>
            <w:tcW w:w="3763" w:type="dxa"/>
            <w:vAlign w:val="center"/>
          </w:tcPr>
          <w:p w14:paraId="37915F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3.30 (2.15–5.08)</w:t>
            </w:r>
          </w:p>
        </w:tc>
        <w:tc>
          <w:tcPr>
            <w:tcW w:w="1907" w:type="dxa"/>
            <w:vAlign w:val="center"/>
          </w:tcPr>
          <w:p w14:paraId="04363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5AC68162">
        <w:tc>
          <w:tcPr>
            <w:tcW w:w="3414" w:type="dxa"/>
            <w:vAlign w:val="top"/>
          </w:tcPr>
          <w:p w14:paraId="55E063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2022</w:t>
            </w:r>
          </w:p>
        </w:tc>
        <w:tc>
          <w:tcPr>
            <w:tcW w:w="3061" w:type="dxa"/>
            <w:vAlign w:val="center"/>
          </w:tcPr>
          <w:p w14:paraId="181537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2.49 (1.27–4.89)</w:t>
            </w:r>
          </w:p>
        </w:tc>
        <w:tc>
          <w:tcPr>
            <w:tcW w:w="2029" w:type="dxa"/>
            <w:vAlign w:val="center"/>
          </w:tcPr>
          <w:p w14:paraId="160E8E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0.008</w:t>
            </w:r>
          </w:p>
        </w:tc>
        <w:tc>
          <w:tcPr>
            <w:tcW w:w="3763" w:type="dxa"/>
            <w:vAlign w:val="center"/>
          </w:tcPr>
          <w:p w14:paraId="678441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2.04 (1.33–3.11)</w:t>
            </w:r>
          </w:p>
        </w:tc>
        <w:tc>
          <w:tcPr>
            <w:tcW w:w="1907" w:type="dxa"/>
            <w:vAlign w:val="center"/>
          </w:tcPr>
          <w:p w14:paraId="138F1E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&lt;0.001</w:t>
            </w:r>
          </w:p>
        </w:tc>
      </w:tr>
      <w:tr w14:paraId="12AF6EB2">
        <w:tc>
          <w:tcPr>
            <w:tcW w:w="3414" w:type="dxa"/>
            <w:vAlign w:val="top"/>
          </w:tcPr>
          <w:p w14:paraId="784ECC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2023</w:t>
            </w:r>
          </w:p>
        </w:tc>
        <w:tc>
          <w:tcPr>
            <w:tcW w:w="3061" w:type="dxa"/>
            <w:vAlign w:val="center"/>
          </w:tcPr>
          <w:p w14:paraId="23E06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1.88 (0.93–3.82)</w:t>
            </w:r>
          </w:p>
        </w:tc>
        <w:tc>
          <w:tcPr>
            <w:tcW w:w="2029" w:type="dxa"/>
            <w:vAlign w:val="center"/>
          </w:tcPr>
          <w:p w14:paraId="3C933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0.08</w:t>
            </w:r>
          </w:p>
        </w:tc>
        <w:tc>
          <w:tcPr>
            <w:tcW w:w="3763" w:type="dxa"/>
            <w:vAlign w:val="center"/>
          </w:tcPr>
          <w:p w14:paraId="3A66A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1.54 (0.96–2.48)</w:t>
            </w:r>
          </w:p>
        </w:tc>
        <w:tc>
          <w:tcPr>
            <w:tcW w:w="1907" w:type="dxa"/>
            <w:vAlign w:val="center"/>
          </w:tcPr>
          <w:p w14:paraId="564C0F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0.07</w:t>
            </w:r>
          </w:p>
        </w:tc>
      </w:tr>
      <w:tr w14:paraId="02593DEE">
        <w:tc>
          <w:tcPr>
            <w:tcW w:w="3414" w:type="dxa"/>
            <w:vAlign w:val="top"/>
          </w:tcPr>
          <w:p w14:paraId="47EEC1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10" w:leftChars="100" w:right="0" w:rightChars="0"/>
              <w:jc w:val="both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2024</w:t>
            </w:r>
          </w:p>
        </w:tc>
        <w:tc>
          <w:tcPr>
            <w:tcW w:w="3061" w:type="dxa"/>
            <w:vAlign w:val="center"/>
          </w:tcPr>
          <w:p w14:paraId="08A78D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1.79 (0.89–3.59)</w:t>
            </w:r>
          </w:p>
        </w:tc>
        <w:tc>
          <w:tcPr>
            <w:tcW w:w="2029" w:type="dxa"/>
            <w:vAlign w:val="center"/>
          </w:tcPr>
          <w:p w14:paraId="2C6F4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0.10</w:t>
            </w:r>
          </w:p>
        </w:tc>
        <w:tc>
          <w:tcPr>
            <w:tcW w:w="3763" w:type="dxa"/>
            <w:vAlign w:val="center"/>
          </w:tcPr>
          <w:p w14:paraId="3CEB7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1.46 (0.92–2.32)</w:t>
            </w:r>
          </w:p>
        </w:tc>
        <w:tc>
          <w:tcPr>
            <w:tcW w:w="1907" w:type="dxa"/>
            <w:vAlign w:val="center"/>
          </w:tcPr>
          <w:p w14:paraId="42BF13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0.11</w:t>
            </w:r>
          </w:p>
        </w:tc>
      </w:tr>
      <w:tr w14:paraId="3383DB31">
        <w:tc>
          <w:tcPr>
            <w:tcW w:w="14174" w:type="dxa"/>
            <w:gridSpan w:val="5"/>
          </w:tcPr>
          <w:p w14:paraId="366E6A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vertAlign w:val="superscript"/>
                <w:lang w:val="en-US"/>
              </w:rPr>
              <w:t>a</w:t>
            </w: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highlight w:val="none"/>
              </w:rPr>
              <w:t xml:space="preserve">Palliative care was estimated using Firth penalized logistic regression; </w:t>
            </w:r>
          </w:p>
          <w:p w14:paraId="40025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all other covariates were estimated using standard multivariable logistic regression. Sensitivity analyses excluded admissions in 2017 because data in 2017 covered only four months.</w:t>
            </w:r>
          </w:p>
        </w:tc>
      </w:tr>
    </w:tbl>
    <w:p w14:paraId="7E5EDB20">
      <w:r>
        <w:br w:type="page"/>
      </w:r>
    </w:p>
    <w:tbl>
      <w:tblPr>
        <w:tblW w:w="13992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2754"/>
        <w:gridCol w:w="2092"/>
        <w:gridCol w:w="4277"/>
        <w:gridCol w:w="1493"/>
      </w:tblGrid>
      <w:tr w14:paraId="0763D131">
        <w:trPr>
          <w:trHeight w:val="600" w:hRule="atLeast"/>
        </w:trPr>
        <w:tc>
          <w:tcPr>
            <w:tcW w:w="13992" w:type="dxa"/>
            <w:gridSpan w:val="5"/>
            <w:shd w:val="clear"/>
            <w:vAlign w:val="top"/>
          </w:tcPr>
          <w:p w14:paraId="792D72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Supplementary Table S2. Sensitivity analysis excluding terminal LOS ≤1 day: factors associated with the core aggressive end-of-life care intensity score (0–5) using Poisson regression with robust standard errors</w:t>
            </w:r>
          </w:p>
        </w:tc>
      </w:tr>
      <w:tr w14:paraId="6D4D4810">
        <w:trPr>
          <w:trHeight w:val="336" w:hRule="atLeast"/>
        </w:trPr>
        <w:tc>
          <w:tcPr>
            <w:tcW w:w="3376" w:type="dxa"/>
            <w:vMerge w:val="restart"/>
            <w:shd w:val="clear"/>
            <w:noWrap/>
            <w:vAlign w:val="center"/>
          </w:tcPr>
          <w:p w14:paraId="2C934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Variable</w:t>
            </w:r>
          </w:p>
        </w:tc>
        <w:tc>
          <w:tcPr>
            <w:tcW w:w="2754" w:type="dxa"/>
            <w:vMerge w:val="restart"/>
            <w:shd w:val="clear"/>
            <w:noWrap/>
            <w:vAlign w:val="center"/>
          </w:tcPr>
          <w:p w14:paraId="7D379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Adjusted IRR (95% CI)</w:t>
            </w:r>
          </w:p>
        </w:tc>
        <w:tc>
          <w:tcPr>
            <w:tcW w:w="2092" w:type="dxa"/>
            <w:vMerge w:val="restart"/>
            <w:shd w:val="clear"/>
            <w:noWrap/>
            <w:vAlign w:val="center"/>
          </w:tcPr>
          <w:p w14:paraId="235F7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 value</w:t>
            </w:r>
          </w:p>
        </w:tc>
        <w:tc>
          <w:tcPr>
            <w:tcW w:w="5770" w:type="dxa"/>
            <w:gridSpan w:val="2"/>
            <w:shd w:val="clear"/>
            <w:noWrap/>
            <w:vAlign w:val="center"/>
          </w:tcPr>
          <w:p w14:paraId="10373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Sensitivity (exclude LOS≤1)</w:t>
            </w:r>
          </w:p>
        </w:tc>
      </w:tr>
      <w:tr w14:paraId="39C87228">
        <w:trPr>
          <w:trHeight w:val="336" w:hRule="atLeast"/>
        </w:trPr>
        <w:tc>
          <w:tcPr>
            <w:tcW w:w="3376" w:type="dxa"/>
            <w:vMerge w:val="continue"/>
            <w:tcBorders/>
            <w:shd w:val="clear"/>
            <w:noWrap/>
            <w:vAlign w:val="center"/>
          </w:tcPr>
          <w:p w14:paraId="4EBF7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754" w:type="dxa"/>
            <w:vMerge w:val="continue"/>
            <w:tcBorders/>
            <w:shd w:val="clear"/>
            <w:noWrap/>
            <w:vAlign w:val="center"/>
          </w:tcPr>
          <w:p w14:paraId="78814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092" w:type="dxa"/>
            <w:vMerge w:val="continue"/>
            <w:tcBorders/>
            <w:shd w:val="clear"/>
            <w:noWrap/>
            <w:vAlign w:val="center"/>
          </w:tcPr>
          <w:p w14:paraId="069D3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277" w:type="dxa"/>
            <w:shd w:val="clear"/>
            <w:noWrap/>
            <w:vAlign w:val="center"/>
          </w:tcPr>
          <w:p w14:paraId="3286A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Adjusted IRR (95% CI)</w:t>
            </w:r>
          </w:p>
        </w:tc>
        <w:tc>
          <w:tcPr>
            <w:tcW w:w="1493" w:type="dxa"/>
            <w:shd w:val="clear"/>
            <w:noWrap/>
            <w:vAlign w:val="center"/>
          </w:tcPr>
          <w:p w14:paraId="21F7B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 value</w:t>
            </w:r>
          </w:p>
        </w:tc>
      </w:tr>
      <w:tr w14:paraId="2666C92D">
        <w:trPr>
          <w:trHeight w:val="343" w:hRule="atLeast"/>
        </w:trPr>
        <w:tc>
          <w:tcPr>
            <w:tcW w:w="3376" w:type="dxa"/>
            <w:shd w:val="clear"/>
            <w:vAlign w:val="top"/>
          </w:tcPr>
          <w:p w14:paraId="1795C4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Non-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Cancer (reference: </w:t>
            </w:r>
            <w:r>
              <w:rPr>
                <w:rStyle w:val="7"/>
                <w:rFonts w:hint="eastAsia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Non-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Cancer)</w:t>
            </w:r>
          </w:p>
        </w:tc>
        <w:tc>
          <w:tcPr>
            <w:tcW w:w="2754" w:type="dxa"/>
            <w:shd w:val="clear"/>
            <w:vAlign w:val="top"/>
          </w:tcPr>
          <w:p w14:paraId="3C36E1D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2.22 (1.96–2.44)</w:t>
            </w:r>
          </w:p>
        </w:tc>
        <w:tc>
          <w:tcPr>
            <w:tcW w:w="2092" w:type="dxa"/>
            <w:shd w:val="clear"/>
            <w:vAlign w:val="top"/>
          </w:tcPr>
          <w:p w14:paraId="7C76964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040CB9D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2.33 (2.04–2.63)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43960C8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25544075">
        <w:trPr>
          <w:trHeight w:val="370" w:hRule="atLeast"/>
        </w:trPr>
        <w:tc>
          <w:tcPr>
            <w:tcW w:w="3376" w:type="dxa"/>
            <w:shd w:val="clear"/>
            <w:vAlign w:val="top"/>
          </w:tcPr>
          <w:p w14:paraId="74986B7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Age group (reference: age&lt;60)</w:t>
            </w:r>
          </w:p>
        </w:tc>
        <w:tc>
          <w:tcPr>
            <w:tcW w:w="2754" w:type="dxa"/>
            <w:shd w:val="clear"/>
            <w:vAlign w:val="top"/>
          </w:tcPr>
          <w:p w14:paraId="680DD6D1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shd w:val="clear"/>
            <w:vAlign w:val="top"/>
          </w:tcPr>
          <w:p w14:paraId="5813E1F1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7" w:type="dxa"/>
            <w:shd w:val="clear"/>
            <w:noWrap/>
            <w:vAlign w:val="top"/>
          </w:tcPr>
          <w:p w14:paraId="63D4CFAB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3" w:type="dxa"/>
            <w:shd w:val="clear"/>
            <w:noWrap/>
            <w:vAlign w:val="top"/>
          </w:tcPr>
          <w:p w14:paraId="48B4AC65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57D5E1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54E5C2A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60-69</w:t>
            </w:r>
          </w:p>
        </w:tc>
        <w:tc>
          <w:tcPr>
            <w:tcW w:w="2754" w:type="dxa"/>
            <w:shd w:val="clear"/>
            <w:vAlign w:val="top"/>
          </w:tcPr>
          <w:p w14:paraId="2EE05ED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1.00 (0.92–1.10)</w:t>
            </w:r>
          </w:p>
        </w:tc>
        <w:tc>
          <w:tcPr>
            <w:tcW w:w="2092" w:type="dxa"/>
            <w:shd w:val="clear"/>
            <w:vAlign w:val="top"/>
          </w:tcPr>
          <w:p w14:paraId="29A058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0.93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01CDF5A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1.00 (0.90–1.11)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6DD95F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</w:t>
            </w:r>
          </w:p>
        </w:tc>
      </w:tr>
      <w:tr w14:paraId="67070EFA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57CDC4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70-79</w:t>
            </w:r>
          </w:p>
        </w:tc>
        <w:tc>
          <w:tcPr>
            <w:tcW w:w="2754" w:type="dxa"/>
            <w:shd w:val="clear"/>
            <w:vAlign w:val="top"/>
          </w:tcPr>
          <w:p w14:paraId="45F7DFC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1.01 (0.92–1.12)</w:t>
            </w:r>
          </w:p>
        </w:tc>
        <w:tc>
          <w:tcPr>
            <w:tcW w:w="2092" w:type="dxa"/>
            <w:shd w:val="clear"/>
            <w:vAlign w:val="top"/>
          </w:tcPr>
          <w:p w14:paraId="43C02A2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195EF8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1.01 (0.91–1.13)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247C3C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0.85</w:t>
            </w:r>
          </w:p>
        </w:tc>
      </w:tr>
      <w:tr w14:paraId="35047F2E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50E48C0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≥80</w:t>
            </w:r>
          </w:p>
        </w:tc>
        <w:tc>
          <w:tcPr>
            <w:tcW w:w="2754" w:type="dxa"/>
            <w:shd w:val="clear"/>
            <w:vAlign w:val="top"/>
          </w:tcPr>
          <w:p w14:paraId="0D51BF1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0.96 (0.86–1.07)</w:t>
            </w:r>
          </w:p>
        </w:tc>
        <w:tc>
          <w:tcPr>
            <w:tcW w:w="2092" w:type="dxa"/>
            <w:shd w:val="clear"/>
            <w:vAlign w:val="top"/>
          </w:tcPr>
          <w:p w14:paraId="377A72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618DD2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0.95 (0.84–1.07)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638CDDA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0.39</w:t>
            </w:r>
          </w:p>
        </w:tc>
      </w:tr>
      <w:tr w14:paraId="2E19F68C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744593B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2754" w:type="dxa"/>
            <w:shd w:val="clear"/>
            <w:vAlign w:val="top"/>
          </w:tcPr>
          <w:p w14:paraId="0648A66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1.11 (1.05–1.19)</w:t>
            </w:r>
          </w:p>
        </w:tc>
        <w:tc>
          <w:tcPr>
            <w:tcW w:w="2092" w:type="dxa"/>
            <w:shd w:val="clear"/>
            <w:vAlign w:val="top"/>
          </w:tcPr>
          <w:p w14:paraId="7FD075F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6C9F37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1.12 (1.05–1.20)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55E1986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7AFF4CCC">
        <w:trPr>
          <w:trHeight w:val="364" w:hRule="atLeast"/>
        </w:trPr>
        <w:tc>
          <w:tcPr>
            <w:tcW w:w="3376" w:type="dxa"/>
            <w:shd w:val="clear"/>
            <w:vAlign w:val="top"/>
          </w:tcPr>
          <w:p w14:paraId="2B3BE83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Charlson comorbidity index</w:t>
            </w:r>
          </w:p>
        </w:tc>
        <w:tc>
          <w:tcPr>
            <w:tcW w:w="2754" w:type="dxa"/>
            <w:shd w:val="clear"/>
            <w:vAlign w:val="top"/>
          </w:tcPr>
          <w:p w14:paraId="6177C71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0.97 (0.95–0.99)</w:t>
            </w:r>
          </w:p>
        </w:tc>
        <w:tc>
          <w:tcPr>
            <w:tcW w:w="2092" w:type="dxa"/>
            <w:shd w:val="clear"/>
            <w:vAlign w:val="top"/>
          </w:tcPr>
          <w:p w14:paraId="1AB5142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0.012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61AA06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0.97 (0.95–1.00)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3CC5C16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0.022</w:t>
            </w:r>
          </w:p>
        </w:tc>
      </w:tr>
      <w:tr w14:paraId="1804C034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4749D0C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Palliative care</w:t>
            </w:r>
          </w:p>
        </w:tc>
        <w:tc>
          <w:tcPr>
            <w:tcW w:w="2754" w:type="dxa"/>
            <w:shd w:val="clear"/>
            <w:vAlign w:val="top"/>
          </w:tcPr>
          <w:p w14:paraId="3ED2BD2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0.14 (0.08–0.26)</w:t>
            </w:r>
          </w:p>
        </w:tc>
        <w:tc>
          <w:tcPr>
            <w:tcW w:w="2092" w:type="dxa"/>
            <w:shd w:val="clear"/>
            <w:vAlign w:val="top"/>
          </w:tcPr>
          <w:p w14:paraId="5E9C59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6AA790F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0.13 (0.07–0.25)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2C28AF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173B1D6B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5912DD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Emergency admission</w:t>
            </w:r>
          </w:p>
        </w:tc>
        <w:tc>
          <w:tcPr>
            <w:tcW w:w="2754" w:type="dxa"/>
            <w:shd w:val="clear"/>
            <w:vAlign w:val="top"/>
          </w:tcPr>
          <w:p w14:paraId="5FE0F09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 (1.66–1.85)</w:t>
            </w:r>
          </w:p>
        </w:tc>
        <w:tc>
          <w:tcPr>
            <w:tcW w:w="2092" w:type="dxa"/>
            <w:shd w:val="clear"/>
            <w:vAlign w:val="top"/>
          </w:tcPr>
          <w:p w14:paraId="2C76CD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57BD5B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1.71 (1.61–1.82)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3E4CBA0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558B327D">
        <w:trPr>
          <w:trHeight w:val="324" w:hRule="atLeast"/>
        </w:trPr>
        <w:tc>
          <w:tcPr>
            <w:tcW w:w="3376" w:type="dxa"/>
            <w:shd w:val="clear"/>
            <w:vAlign w:val="top"/>
          </w:tcPr>
          <w:p w14:paraId="3DD41DD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Year of death (reference:201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7)</w:t>
            </w:r>
          </w:p>
        </w:tc>
        <w:tc>
          <w:tcPr>
            <w:tcW w:w="2754" w:type="dxa"/>
            <w:shd w:val="clear"/>
            <w:vAlign w:val="top"/>
          </w:tcPr>
          <w:p w14:paraId="5A6DD20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shd w:val="clear"/>
            <w:vAlign w:val="top"/>
          </w:tcPr>
          <w:p w14:paraId="0F1DB004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7" w:type="dxa"/>
            <w:shd w:val="clear"/>
            <w:noWrap/>
            <w:vAlign w:val="top"/>
          </w:tcPr>
          <w:p w14:paraId="523CBE61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3" w:type="dxa"/>
            <w:shd w:val="clear"/>
            <w:noWrap/>
            <w:vAlign w:val="top"/>
          </w:tcPr>
          <w:p w14:paraId="6044656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5EC594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3906606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2018</w:t>
            </w:r>
          </w:p>
        </w:tc>
        <w:tc>
          <w:tcPr>
            <w:tcW w:w="2754" w:type="dxa"/>
            <w:shd w:val="clear"/>
            <w:vAlign w:val="top"/>
          </w:tcPr>
          <w:p w14:paraId="1B60E30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1.21 (0.96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1.52)</w:t>
            </w:r>
          </w:p>
        </w:tc>
        <w:tc>
          <w:tcPr>
            <w:tcW w:w="2092" w:type="dxa"/>
            <w:shd w:val="clear"/>
            <w:vAlign w:val="top"/>
          </w:tcPr>
          <w:p w14:paraId="4322E26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45766B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1.19 (0.90–1.56)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5755356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0.22</w:t>
            </w:r>
          </w:p>
        </w:tc>
      </w:tr>
      <w:tr w14:paraId="66EF5D4B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48E81C6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2754" w:type="dxa"/>
            <w:shd w:val="clear"/>
            <w:vAlign w:val="top"/>
          </w:tcPr>
          <w:p w14:paraId="3C263C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1.65 (1.32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2.07)</w:t>
            </w:r>
          </w:p>
        </w:tc>
        <w:tc>
          <w:tcPr>
            <w:tcW w:w="2092" w:type="dxa"/>
            <w:shd w:val="clear"/>
            <w:vAlign w:val="top"/>
          </w:tcPr>
          <w:p w14:paraId="4262675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1AD2D84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1.66 (1.27–2.16)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2ED496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43E9D659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65D8CF5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  <w:tc>
          <w:tcPr>
            <w:tcW w:w="2754" w:type="dxa"/>
            <w:shd w:val="clear"/>
            <w:vAlign w:val="top"/>
          </w:tcPr>
          <w:p w14:paraId="71EA37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1.72 (1.39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2.13)</w:t>
            </w:r>
          </w:p>
        </w:tc>
        <w:tc>
          <w:tcPr>
            <w:tcW w:w="2092" w:type="dxa"/>
            <w:shd w:val="clear"/>
            <w:vAlign w:val="top"/>
          </w:tcPr>
          <w:p w14:paraId="2BAA59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20CAA9C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1.66 (1.28–2.15)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798E19A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684DB615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52ECE82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2021</w:t>
            </w:r>
          </w:p>
        </w:tc>
        <w:tc>
          <w:tcPr>
            <w:tcW w:w="2754" w:type="dxa"/>
            <w:shd w:val="clear"/>
            <w:vAlign w:val="top"/>
          </w:tcPr>
          <w:p w14:paraId="32225BB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2.03 (1.64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2.51)</w:t>
            </w:r>
          </w:p>
        </w:tc>
        <w:tc>
          <w:tcPr>
            <w:tcW w:w="2092" w:type="dxa"/>
            <w:shd w:val="clear"/>
            <w:vAlign w:val="top"/>
          </w:tcPr>
          <w:p w14:paraId="51FDBD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1FE9B2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2.02 (1.56–2.60)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467880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576E6C27">
        <w:trPr>
          <w:trHeight w:val="311" w:hRule="atLeast"/>
        </w:trPr>
        <w:tc>
          <w:tcPr>
            <w:tcW w:w="3376" w:type="dxa"/>
            <w:shd w:val="clear"/>
            <w:vAlign w:val="top"/>
          </w:tcPr>
          <w:p w14:paraId="57FA011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2754" w:type="dxa"/>
            <w:shd w:val="clear"/>
            <w:vAlign w:val="top"/>
          </w:tcPr>
          <w:p w14:paraId="327468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1.67 (1.36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2.07)</w:t>
            </w:r>
          </w:p>
        </w:tc>
        <w:tc>
          <w:tcPr>
            <w:tcW w:w="2092" w:type="dxa"/>
            <w:shd w:val="clear"/>
            <w:vAlign w:val="top"/>
          </w:tcPr>
          <w:p w14:paraId="1205869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090998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1.65 (1.28–2.13)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6A29563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05632570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55FA95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2754" w:type="dxa"/>
            <w:shd w:val="clear"/>
            <w:vAlign w:val="top"/>
          </w:tcPr>
          <w:p w14:paraId="1E90AE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1.60 (1.29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1.99)</w:t>
            </w:r>
          </w:p>
        </w:tc>
        <w:tc>
          <w:tcPr>
            <w:tcW w:w="2092" w:type="dxa"/>
            <w:shd w:val="clear"/>
            <w:vAlign w:val="top"/>
          </w:tcPr>
          <w:p w14:paraId="7A4A1DE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2906BE6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1.52 (1.18–1.97)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41D9393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</w:tr>
      <w:tr w14:paraId="097B8783">
        <w:trPr>
          <w:trHeight w:val="336" w:hRule="atLeast"/>
        </w:trPr>
        <w:tc>
          <w:tcPr>
            <w:tcW w:w="3376" w:type="dxa"/>
            <w:shd w:val="clear"/>
            <w:vAlign w:val="top"/>
          </w:tcPr>
          <w:p w14:paraId="245FF9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2754" w:type="dxa"/>
            <w:shd w:val="clear"/>
            <w:vAlign w:val="top"/>
          </w:tcPr>
          <w:p w14:paraId="0E4F81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1.60 (1.29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–</w:t>
            </w:r>
            <w:r>
              <w:rPr>
                <w:rStyle w:val="7"/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bdr w:val="none" w:color="auto" w:sz="0" w:space="0"/>
                <w:lang w:val="en-US" w:eastAsia="zh-CN" w:bidi="ar"/>
              </w:rPr>
              <w:t>1.98)</w:t>
            </w:r>
          </w:p>
        </w:tc>
        <w:tc>
          <w:tcPr>
            <w:tcW w:w="2092" w:type="dxa"/>
            <w:shd w:val="clear"/>
            <w:vAlign w:val="top"/>
          </w:tcPr>
          <w:p w14:paraId="76C721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/>
            <w:noWrap/>
            <w:vAlign w:val="top"/>
          </w:tcPr>
          <w:p w14:paraId="6CBDC4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1.59 (1.23–2.05)</w:t>
            </w:r>
          </w:p>
        </w:tc>
        <w:tc>
          <w:tcPr>
            <w:tcW w:w="1493" w:type="dxa"/>
            <w:shd w:val="clear"/>
            <w:noWrap/>
            <w:vAlign w:val="top"/>
          </w:tcPr>
          <w:p w14:paraId="42F6D7A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3FB03E9B">
        <w:trPr>
          <w:trHeight w:val="1040" w:hRule="atLeast"/>
        </w:trPr>
        <w:tc>
          <w:tcPr>
            <w:tcW w:w="13992" w:type="dxa"/>
            <w:gridSpan w:val="5"/>
            <w:shd w:val="clear"/>
            <w:vAlign w:val="top"/>
          </w:tcPr>
          <w:p w14:paraId="1EDD65C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IRR = incidence rate ratio. Estimates are adjusted IRRs with 95% CIs from multivariable Poisson regression with robust (sandwich) standard errors. Models included cancer status, age group, sex, Charlson comorbidity index, palliative care indicator, emergency admission, and calendar year (categorical; reference: 2017 in the primary analysis).</w:t>
            </w:r>
          </w:p>
        </w:tc>
      </w:tr>
    </w:tbl>
    <w:tbl>
      <w:tblPr>
        <w:tblStyle w:val="3"/>
        <w:tblW w:w="13992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2754"/>
        <w:gridCol w:w="2092"/>
        <w:gridCol w:w="4277"/>
        <w:gridCol w:w="1493"/>
      </w:tblGrid>
      <w:tr w14:paraId="24C193C9">
        <w:trPr>
          <w:trHeight w:val="600" w:hRule="atLeast"/>
        </w:trPr>
        <w:tc>
          <w:tcPr>
            <w:tcW w:w="13992" w:type="dxa"/>
            <w:gridSpan w:val="5"/>
            <w:shd w:val="clear" w:color="auto" w:fill="auto"/>
            <w:vAlign w:val="top"/>
          </w:tcPr>
          <w:p w14:paraId="10887F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Supplementary Table S3. Sensitivity analysis excluding the death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ICU domain: multivariable Poisson regression for the core aggressive end-of-life care intensity score (0–4)</w:t>
            </w:r>
          </w:p>
        </w:tc>
      </w:tr>
      <w:tr w14:paraId="46E2BE13">
        <w:trPr>
          <w:trHeight w:val="336" w:hRule="atLeast"/>
        </w:trPr>
        <w:tc>
          <w:tcPr>
            <w:tcW w:w="3376" w:type="dxa"/>
            <w:vMerge w:val="restart"/>
            <w:shd w:val="clear" w:color="auto" w:fill="auto"/>
            <w:noWrap/>
            <w:vAlign w:val="center"/>
          </w:tcPr>
          <w:p w14:paraId="33838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2754" w:type="dxa"/>
            <w:vMerge w:val="restart"/>
            <w:shd w:val="clear" w:color="auto" w:fill="auto"/>
            <w:noWrap/>
            <w:vAlign w:val="center"/>
          </w:tcPr>
          <w:p w14:paraId="4A5F8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Adjusted IRR (95% CI)</w:t>
            </w:r>
          </w:p>
        </w:tc>
        <w:tc>
          <w:tcPr>
            <w:tcW w:w="2092" w:type="dxa"/>
            <w:vMerge w:val="restart"/>
            <w:shd w:val="clear" w:color="auto" w:fill="auto"/>
            <w:noWrap/>
            <w:vAlign w:val="center"/>
          </w:tcPr>
          <w:p w14:paraId="03E1D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5770" w:type="dxa"/>
            <w:gridSpan w:val="2"/>
            <w:shd w:val="clear" w:color="auto" w:fill="auto"/>
            <w:noWrap/>
            <w:vAlign w:val="center"/>
          </w:tcPr>
          <w:p w14:paraId="5F394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Sensitivity (exclude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Death in ICU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</w:tr>
      <w:tr w14:paraId="2F1778C5">
        <w:trPr>
          <w:trHeight w:val="336" w:hRule="atLeast"/>
        </w:trPr>
        <w:tc>
          <w:tcPr>
            <w:tcW w:w="3376" w:type="dxa"/>
            <w:vMerge w:val="continue"/>
            <w:shd w:val="clear" w:color="auto" w:fill="auto"/>
            <w:noWrap/>
            <w:vAlign w:val="center"/>
          </w:tcPr>
          <w:p w14:paraId="0D3E1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754" w:type="dxa"/>
            <w:vMerge w:val="continue"/>
            <w:shd w:val="clear" w:color="auto" w:fill="auto"/>
            <w:noWrap/>
            <w:vAlign w:val="center"/>
          </w:tcPr>
          <w:p w14:paraId="5CAD1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92" w:type="dxa"/>
            <w:vMerge w:val="continue"/>
            <w:shd w:val="clear" w:color="auto" w:fill="auto"/>
            <w:noWrap/>
            <w:vAlign w:val="center"/>
          </w:tcPr>
          <w:p w14:paraId="5BBC3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6CB38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Adjusted IRR (95% CI)</w:t>
            </w:r>
          </w:p>
        </w:tc>
        <w:tc>
          <w:tcPr>
            <w:tcW w:w="1493" w:type="dxa"/>
            <w:shd w:val="clear" w:color="auto" w:fill="auto"/>
            <w:noWrap/>
            <w:vAlign w:val="center"/>
          </w:tcPr>
          <w:p w14:paraId="35B4C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0AA0EF21">
        <w:trPr>
          <w:trHeight w:val="343" w:hRule="atLeast"/>
        </w:trPr>
        <w:tc>
          <w:tcPr>
            <w:tcW w:w="3376" w:type="dxa"/>
            <w:shd w:val="clear" w:color="auto" w:fill="auto"/>
            <w:vAlign w:val="top"/>
          </w:tcPr>
          <w:p w14:paraId="0BC041D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 xml:space="preserve">Cancer (reference: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Non-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Cancer)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0EAD3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2.22 (1.96–2.44)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21344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663A4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2.22 (1.96–2.50)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75808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3E2AFB96">
        <w:trPr>
          <w:trHeight w:val="370" w:hRule="atLeast"/>
        </w:trPr>
        <w:tc>
          <w:tcPr>
            <w:tcW w:w="3376" w:type="dxa"/>
            <w:shd w:val="clear" w:color="auto" w:fill="auto"/>
            <w:vAlign w:val="top"/>
          </w:tcPr>
          <w:p w14:paraId="7580D15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group (reference: age&lt;60)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646599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shd w:val="clear" w:color="auto" w:fill="auto"/>
            <w:vAlign w:val="top"/>
          </w:tcPr>
          <w:p w14:paraId="50D41C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774BEB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082096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6EC4BA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66BDAC8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60-69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26D2B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1.00 (0.92–1.10)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3130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0.93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2BFCE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1.03 (0.93–1.14)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CBAA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0.5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</w:tr>
      <w:tr w14:paraId="074E370A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06D7ED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70-79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78559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1.01 (0.92–1.12)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07DDD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0.81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6B93B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1.03 (0.92–1.14)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9B5E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0.65</w:t>
            </w:r>
          </w:p>
        </w:tc>
      </w:tr>
      <w:tr w14:paraId="342FD288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2F83DF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≥80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765BC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0.96 (0.86–1.07)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2C7FD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0.47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417CA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0.92 (0.81–1.04)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1FFAF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0.1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</w:tr>
      <w:tr w14:paraId="213E4E86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5085F52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7103E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1.11 (1.05–1.19)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4DEA5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62841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1.10 (1.03–1.18)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5FE5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0.005</w:t>
            </w:r>
          </w:p>
        </w:tc>
      </w:tr>
      <w:tr w14:paraId="6E83CE0E">
        <w:trPr>
          <w:trHeight w:val="364" w:hRule="atLeast"/>
        </w:trPr>
        <w:tc>
          <w:tcPr>
            <w:tcW w:w="3376" w:type="dxa"/>
            <w:shd w:val="clear" w:color="auto" w:fill="auto"/>
            <w:vAlign w:val="top"/>
          </w:tcPr>
          <w:p w14:paraId="286858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Charlson comorbidity index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52E45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0.97 (0.95–0.99)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41BB5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0.012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7B85E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0.98 (0.95–1.00)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1136B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0.028</w:t>
            </w:r>
          </w:p>
        </w:tc>
      </w:tr>
      <w:tr w14:paraId="4C5A1315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2143695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Palliative care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10189B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 (0.08–0.26)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78A66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58D7430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 (0.10–0.34)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1BA725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11940E6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17CE7F9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Emergency admission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7B8AAE0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 (1.66–1.85)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6B344F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7428865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 (1.32–1.52)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2ADD59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6D1DD21F">
        <w:trPr>
          <w:trHeight w:val="324" w:hRule="atLeast"/>
        </w:trPr>
        <w:tc>
          <w:tcPr>
            <w:tcW w:w="3376" w:type="dxa"/>
            <w:shd w:val="clear" w:color="auto" w:fill="auto"/>
            <w:vAlign w:val="top"/>
          </w:tcPr>
          <w:p w14:paraId="78C521A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 of death (reference:201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7)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6B94AE97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shd w:val="clear" w:color="auto" w:fill="auto"/>
            <w:vAlign w:val="top"/>
          </w:tcPr>
          <w:p w14:paraId="333A269D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7EFD575D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0A2661D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7A9873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6662430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3D21BE4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 (0.96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–1.52)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3E207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70DF7B3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 (0.94–1.52)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11B5BA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</w:tr>
      <w:tr w14:paraId="6FAD0AFA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3B92559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578867D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 (1.32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–2.07)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258B883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48AE57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 (1.29–2.07)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291CEA8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66944BC0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09FB2F0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07610E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 (1.39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–2.13)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7009952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6D003B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 (1.38–2.17)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7A9E4E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4EFC8DA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4C09641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198E645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 (1.64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–2.51)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110FC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5DD6F40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2.06 (1.65–2.56)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786AA6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5D57DCE4">
        <w:trPr>
          <w:trHeight w:val="311" w:hRule="atLeast"/>
        </w:trPr>
        <w:tc>
          <w:tcPr>
            <w:tcW w:w="3376" w:type="dxa"/>
            <w:shd w:val="clear" w:color="auto" w:fill="auto"/>
            <w:vAlign w:val="top"/>
          </w:tcPr>
          <w:p w14:paraId="795FEF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4611D2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1.67 (1.36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–2.07)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3E8DC91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5E8AEF6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 (1.38–2.14)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A6DDE8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DD7DA09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56D3F10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3BFAA26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1.60 (1.29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–1.99)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1BC7E50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092E431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 (1.36–2.14)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649844B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35FA192B">
        <w:trPr>
          <w:trHeight w:val="336" w:hRule="atLeast"/>
        </w:trPr>
        <w:tc>
          <w:tcPr>
            <w:tcW w:w="3376" w:type="dxa"/>
            <w:shd w:val="clear" w:color="auto" w:fill="auto"/>
            <w:vAlign w:val="top"/>
          </w:tcPr>
          <w:p w14:paraId="24F8A22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</w:t>
            </w:r>
          </w:p>
        </w:tc>
        <w:tc>
          <w:tcPr>
            <w:tcW w:w="2754" w:type="dxa"/>
            <w:shd w:val="clear" w:color="auto" w:fill="auto"/>
            <w:vAlign w:val="top"/>
          </w:tcPr>
          <w:p w14:paraId="57BA078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1.60 (1.29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–1.98)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49BE56C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277" w:type="dxa"/>
            <w:shd w:val="clear" w:color="auto" w:fill="auto"/>
            <w:noWrap/>
            <w:vAlign w:val="top"/>
          </w:tcPr>
          <w:p w14:paraId="6918115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 (1.00–1.58)</w:t>
            </w:r>
          </w:p>
        </w:tc>
        <w:tc>
          <w:tcPr>
            <w:tcW w:w="1493" w:type="dxa"/>
            <w:shd w:val="clear" w:color="auto" w:fill="auto"/>
            <w:noWrap/>
            <w:vAlign w:val="top"/>
          </w:tcPr>
          <w:p w14:paraId="3642BA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0.053</w:t>
            </w:r>
          </w:p>
        </w:tc>
      </w:tr>
      <w:tr w14:paraId="642DADE4">
        <w:trPr>
          <w:trHeight w:val="963" w:hRule="atLeast"/>
        </w:trPr>
        <w:tc>
          <w:tcPr>
            <w:tcW w:w="13992" w:type="dxa"/>
            <w:gridSpan w:val="5"/>
            <w:shd w:val="clear" w:color="auto" w:fill="auto"/>
            <w:vAlign w:val="top"/>
          </w:tcPr>
          <w:p w14:paraId="15B387A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IRR = incidence rate ratio. Estimates are adjusted IRRs with 95% CIs from multivariable Poisson regression with robust (sandwich) standard errors. Models included cancer status, age group, sex, Charlson comorbidity index, palliative care indicator, emergency admission, and calendar year (categorical; reference: 2017 in the primary analysis).</w:t>
            </w:r>
            <w:bookmarkStart w:id="0" w:name="_GoBack"/>
            <w:bookmarkEnd w:id="0"/>
          </w:p>
        </w:tc>
      </w:tr>
    </w:tbl>
    <w:p w14:paraId="5313282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FED6E"/>
    <w:rsid w:val="1F9C811B"/>
    <w:rsid w:val="3EEF6E86"/>
    <w:rsid w:val="686FB745"/>
    <w:rsid w:val="6DBFED6E"/>
    <w:rsid w:val="7F3FCC23"/>
    <w:rsid w:val="7FFF45B7"/>
    <w:rsid w:val="AF9EF1B9"/>
    <w:rsid w:val="BD5DA274"/>
    <w:rsid w:val="DBEDD545"/>
    <w:rsid w:val="DDFD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tabs>
        <w:tab w:val="left" w:pos="720"/>
      </w:tabs>
      <w:overflowPunct w:val="0"/>
      <w:topLinePunct/>
      <w:adjustRightInd w:val="0"/>
      <w:snapToGrid w:val="0"/>
      <w:spacing w:line="360" w:lineRule="auto"/>
      <w:ind w:firstLine="0" w:firstLineChars="0"/>
      <w:outlineLvl w:val="0"/>
    </w:pPr>
    <w:rPr>
      <w:rFonts w:ascii="Times New Roman" w:hAnsi="Times New Roman" w:eastAsia="宋体" w:cs="宋体"/>
      <w:b/>
      <w:bCs/>
      <w:color w:val="000000"/>
      <w:kern w:val="44"/>
      <w:sz w:val="24"/>
      <w:szCs w:val="30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6">
    <w:name w:val="标题 1 字符"/>
    <w:link w:val="2"/>
    <w:uiPriority w:val="0"/>
    <w:rPr>
      <w:rFonts w:ascii="Times New Roman" w:hAnsi="Times New Roman" w:eastAsia="宋体" w:cs="宋体"/>
      <w:b/>
      <w:bCs/>
      <w:color w:val="000000"/>
      <w:kern w:val="44"/>
      <w:sz w:val="24"/>
      <w:szCs w:val="30"/>
    </w:rPr>
  </w:style>
  <w:style w:type="character" w:customStyle="1" w:styleId="7">
    <w:name w:val="font21"/>
    <w:basedOn w:val="5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4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1</Lines>
  <Paragraphs>1</Paragraphs>
  <TotalTime>15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2026-01-28T00:47:00Z</dcterms:created>
  <dc:creator>默</dc:creator>
  <cp:lastModifiedBy>默</cp:lastModifiedBy>
  <dcterms:modified xsi:type="dcterms:W3CDTF">2026-02-07T00:02:14Z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74BBB14232C61FFD8D7B786933CC53D5_41</vt:lpwstr>
  </property>
</Properties>
</file>