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60297B">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Supplementary File 3: Safety Risk Assessment Checklist for Personalized Exercise in Breast Cancer Patients Undergoing Chemotherapy – Full Clinical Implementation Version</w:t>
      </w:r>
    </w:p>
    <w:p w14:paraId="5A40751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File Description:</w:t>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br w:type="textWrapping"/>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This is the complete, ready-to-use version of the Safety Risk Assessment Checklist and its accompanying clinical implementation guide, as developed and agreed upon through the modified Delphi consensus process described in the main manuscript. This document is designed for direct use by oncology nurses, physical therapists, exercise physiologists, and other clinicians involved in the supportive care of breast cancer patients during chemotherapy.</w:t>
      </w:r>
    </w:p>
    <w:p w14:paraId="1C89B396">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textAlignment w:val="auto"/>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PART A: THE 25-ITEM SAFETY RISK ASSESSMENT CHECKLIST</w:t>
      </w:r>
    </w:p>
    <w:p w14:paraId="5DF0569E">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Instructions for Administration:</w:t>
      </w:r>
    </w:p>
    <w:p w14:paraId="221777FF">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Purpose: To standardize the safety evaluation before initiating or modifying any exercise program for a breast cancer patient undergoing chemotherapy.</w:t>
      </w:r>
    </w:p>
    <w:p w14:paraId="6D4862BA">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Timing: The checklist is intended for point-of-care use prior to each exercise session or at each relevant clinical encounter (e.g., pre-chemotherapy nursing assessment). This ‘session-by-session’ approach reflects the dynamic and fluctuating nature of risks during chemotherapy. Practically, the checklist should be completed based on a current patient assessment (within the past 7 days), with optimal integration points including pre-chemotherapy nursing assessment, weekly symptom review, or prior to a rehabilitation session.</w:t>
      </w:r>
    </w:p>
    <w:p w14:paraId="49B9FB03">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Procedure: Read each item to the patient or review the patient's chart and recent self-reports. For each item, check “Yes” or “No” based on the patient's current status.</w:t>
      </w:r>
    </w:p>
    <w:p w14:paraId="58D2629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Action: After completing all items, proceed to PART B: Risk Stratification Guide to determine the appropriate clinical action (Green, Yellow, or Red Light).Patient ID: _______________________ Date: //_______</w:t>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br w:type="textWrapping"/>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Clinician Name/Role: _________________________________</w:t>
      </w:r>
    </w:p>
    <w:p w14:paraId="18C27060">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tbl>
      <w:tblPr>
        <w:tblStyle w:val="5"/>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799"/>
        <w:gridCol w:w="3203"/>
        <w:gridCol w:w="2541"/>
      </w:tblGrid>
      <w:tr w14:paraId="35BD8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1638" w:type="pct"/>
            <w:tcBorders>
              <w:top w:val="single" w:color="auto" w:sz="12" w:space="0"/>
              <w:bottom w:val="single" w:color="auto" w:sz="6" w:space="0"/>
            </w:tcBorders>
            <w:shd w:val="clear" w:color="auto" w:fill="auto"/>
            <w:tcMar>
              <w:top w:w="150" w:type="dxa"/>
              <w:left w:w="0" w:type="dxa"/>
              <w:bottom w:w="150" w:type="dxa"/>
              <w:right w:w="240" w:type="dxa"/>
            </w:tcMar>
            <w:vAlign w:val="center"/>
          </w:tcPr>
          <w:p w14:paraId="64581A5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Domain &amp; Item No.</w:t>
            </w:r>
          </w:p>
        </w:tc>
        <w:tc>
          <w:tcPr>
            <w:tcW w:w="1874" w:type="pct"/>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4FF8F0B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Checklist Item (Current Status)</w:t>
            </w:r>
          </w:p>
        </w:tc>
        <w:tc>
          <w:tcPr>
            <w:tcW w:w="1487" w:type="pct"/>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5CC41EA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Response (Check One)</w:t>
            </w:r>
          </w:p>
        </w:tc>
      </w:tr>
      <w:tr w14:paraId="64B69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tcBorders>
              <w:top w:val="single" w:color="auto" w:sz="6" w:space="0"/>
            </w:tcBorders>
            <w:shd w:val="clear" w:color="auto" w:fill="auto"/>
            <w:tcMar>
              <w:top w:w="150" w:type="dxa"/>
              <w:left w:w="0" w:type="dxa"/>
              <w:bottom w:w="150" w:type="dxa"/>
              <w:right w:w="240" w:type="dxa"/>
            </w:tcMar>
            <w:vAlign w:val="center"/>
          </w:tcPr>
          <w:p w14:paraId="621F335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DOMAIN 1: MEDICAL &amp; TREATMENT-RELATED FACTORS</w:t>
            </w:r>
          </w:p>
        </w:tc>
        <w:tc>
          <w:tcPr>
            <w:tcW w:w="1874" w:type="pct"/>
            <w:tcBorders>
              <w:top w:val="single" w:color="auto" w:sz="6" w:space="0"/>
            </w:tcBorders>
            <w:shd w:val="clear" w:color="auto" w:fill="auto"/>
            <w:tcMar>
              <w:top w:w="150" w:type="dxa"/>
              <w:left w:w="240" w:type="dxa"/>
              <w:bottom w:w="150" w:type="dxa"/>
              <w:right w:w="240" w:type="dxa"/>
            </w:tcMar>
            <w:vAlign w:val="center"/>
          </w:tcPr>
          <w:p w14:paraId="27C7FF6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c>
          <w:tcPr>
            <w:tcW w:w="1487" w:type="pct"/>
            <w:tcBorders>
              <w:top w:val="single" w:color="auto" w:sz="6" w:space="0"/>
            </w:tcBorders>
            <w:shd w:val="clear" w:color="auto" w:fill="auto"/>
            <w:tcMar>
              <w:top w:w="150" w:type="dxa"/>
              <w:left w:w="240" w:type="dxa"/>
              <w:bottom w:w="150" w:type="dxa"/>
              <w:right w:w="0" w:type="dxa"/>
            </w:tcMar>
            <w:vAlign w:val="center"/>
          </w:tcPr>
          <w:p w14:paraId="638DCA3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r>
      <w:tr w14:paraId="4535C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2804B27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1.1</w:t>
            </w:r>
          </w:p>
        </w:tc>
        <w:tc>
          <w:tcPr>
            <w:tcW w:w="1874" w:type="pct"/>
            <w:shd w:val="clear" w:color="auto" w:fill="auto"/>
            <w:tcMar>
              <w:top w:w="150" w:type="dxa"/>
              <w:left w:w="240" w:type="dxa"/>
              <w:bottom w:w="150" w:type="dxa"/>
              <w:right w:w="240" w:type="dxa"/>
            </w:tcMar>
            <w:vAlign w:val="center"/>
          </w:tcPr>
          <w:p w14:paraId="721D9AE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 within 48 hours before or after a chemotherapy infusion?</w:t>
            </w:r>
          </w:p>
        </w:tc>
        <w:tc>
          <w:tcPr>
            <w:tcW w:w="1487" w:type="pct"/>
            <w:shd w:val="clear" w:color="auto" w:fill="auto"/>
            <w:tcMar>
              <w:top w:w="150" w:type="dxa"/>
              <w:left w:w="240" w:type="dxa"/>
              <w:bottom w:w="150" w:type="dxa"/>
              <w:right w:w="0" w:type="dxa"/>
            </w:tcMar>
            <w:vAlign w:val="center"/>
          </w:tcPr>
          <w:p w14:paraId="6A7C34F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7B531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5537BC8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1.2</w:t>
            </w:r>
          </w:p>
        </w:tc>
        <w:tc>
          <w:tcPr>
            <w:tcW w:w="1874" w:type="pct"/>
            <w:shd w:val="clear" w:color="auto" w:fill="auto"/>
            <w:tcMar>
              <w:top w:w="150" w:type="dxa"/>
              <w:left w:w="240" w:type="dxa"/>
              <w:bottom w:w="150" w:type="dxa"/>
              <w:right w:w="240" w:type="dxa"/>
            </w:tcMar>
            <w:vAlign w:val="center"/>
          </w:tcPr>
          <w:p w14:paraId="092A0A3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a current fever (&gt;38.0°C) or signs of active infection?</w:t>
            </w:r>
          </w:p>
        </w:tc>
        <w:tc>
          <w:tcPr>
            <w:tcW w:w="1487" w:type="pct"/>
            <w:shd w:val="clear" w:color="auto" w:fill="auto"/>
            <w:tcMar>
              <w:top w:w="150" w:type="dxa"/>
              <w:left w:w="240" w:type="dxa"/>
              <w:bottom w:w="150" w:type="dxa"/>
              <w:right w:w="0" w:type="dxa"/>
            </w:tcMar>
            <w:vAlign w:val="center"/>
          </w:tcPr>
          <w:p w14:paraId="724D875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0E0D7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7B499D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1.3</w:t>
            </w:r>
          </w:p>
        </w:tc>
        <w:tc>
          <w:tcPr>
            <w:tcW w:w="1874" w:type="pct"/>
            <w:shd w:val="clear" w:color="auto" w:fill="auto"/>
            <w:tcMar>
              <w:top w:w="150" w:type="dxa"/>
              <w:left w:w="240" w:type="dxa"/>
              <w:bottom w:w="150" w:type="dxa"/>
              <w:right w:w="240" w:type="dxa"/>
            </w:tcMar>
            <w:vAlign w:val="center"/>
          </w:tcPr>
          <w:p w14:paraId="145CD90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patient’s absolute neutrophil count (ANC) &lt; 0.5 x 10⁹/L?</w:t>
            </w:r>
          </w:p>
        </w:tc>
        <w:tc>
          <w:tcPr>
            <w:tcW w:w="1487" w:type="pct"/>
            <w:shd w:val="clear" w:color="auto" w:fill="auto"/>
            <w:tcMar>
              <w:top w:w="150" w:type="dxa"/>
              <w:left w:w="240" w:type="dxa"/>
              <w:bottom w:w="150" w:type="dxa"/>
              <w:right w:w="0" w:type="dxa"/>
            </w:tcMar>
            <w:vAlign w:val="center"/>
          </w:tcPr>
          <w:p w14:paraId="1B71D4D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7CEF8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2860062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1.4</w:t>
            </w:r>
          </w:p>
        </w:tc>
        <w:tc>
          <w:tcPr>
            <w:tcW w:w="1874" w:type="pct"/>
            <w:shd w:val="clear" w:color="auto" w:fill="auto"/>
            <w:tcMar>
              <w:top w:w="150" w:type="dxa"/>
              <w:left w:w="240" w:type="dxa"/>
              <w:bottom w:w="150" w:type="dxa"/>
              <w:right w:w="240" w:type="dxa"/>
            </w:tcMar>
            <w:vAlign w:val="center"/>
          </w:tcPr>
          <w:p w14:paraId="0E239B6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patient’s platelet count &lt; 50 x 10⁹/L?</w:t>
            </w:r>
          </w:p>
        </w:tc>
        <w:tc>
          <w:tcPr>
            <w:tcW w:w="1487" w:type="pct"/>
            <w:shd w:val="clear" w:color="auto" w:fill="auto"/>
            <w:tcMar>
              <w:top w:w="150" w:type="dxa"/>
              <w:left w:w="240" w:type="dxa"/>
              <w:bottom w:w="150" w:type="dxa"/>
              <w:right w:w="0" w:type="dxa"/>
            </w:tcMar>
            <w:vAlign w:val="center"/>
          </w:tcPr>
          <w:p w14:paraId="56F5433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39DC8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07972EA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1.5</w:t>
            </w:r>
          </w:p>
        </w:tc>
        <w:tc>
          <w:tcPr>
            <w:tcW w:w="1874" w:type="pct"/>
            <w:shd w:val="clear" w:color="auto" w:fill="auto"/>
            <w:tcMar>
              <w:top w:w="150" w:type="dxa"/>
              <w:left w:w="240" w:type="dxa"/>
              <w:bottom w:w="150" w:type="dxa"/>
              <w:right w:w="240" w:type="dxa"/>
            </w:tcMar>
            <w:vAlign w:val="center"/>
          </w:tcPr>
          <w:p w14:paraId="0D25C8A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patient’s hemoglobin &lt; 80 g/L?</w:t>
            </w:r>
          </w:p>
        </w:tc>
        <w:tc>
          <w:tcPr>
            <w:tcW w:w="1487" w:type="pct"/>
            <w:shd w:val="clear" w:color="auto" w:fill="auto"/>
            <w:tcMar>
              <w:top w:w="150" w:type="dxa"/>
              <w:left w:w="240" w:type="dxa"/>
              <w:bottom w:w="150" w:type="dxa"/>
              <w:right w:w="0" w:type="dxa"/>
            </w:tcMar>
            <w:vAlign w:val="center"/>
          </w:tcPr>
          <w:p w14:paraId="32DCC79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5F88F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1FFE066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1.6</w:t>
            </w:r>
          </w:p>
        </w:tc>
        <w:tc>
          <w:tcPr>
            <w:tcW w:w="1874" w:type="pct"/>
            <w:shd w:val="clear" w:color="auto" w:fill="auto"/>
            <w:tcMar>
              <w:top w:w="150" w:type="dxa"/>
              <w:left w:w="240" w:type="dxa"/>
              <w:bottom w:w="150" w:type="dxa"/>
              <w:right w:w="240" w:type="dxa"/>
            </w:tcMar>
            <w:vAlign w:val="center"/>
          </w:tcPr>
          <w:p w14:paraId="56AF31A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known, unstable, or suspected cardiovascular disease OR evidence of acute/uncontrolled cardiotoxicity?</w:t>
            </w:r>
          </w:p>
        </w:tc>
        <w:tc>
          <w:tcPr>
            <w:tcW w:w="1487" w:type="pct"/>
            <w:shd w:val="clear" w:color="auto" w:fill="auto"/>
            <w:tcMar>
              <w:top w:w="150" w:type="dxa"/>
              <w:left w:w="240" w:type="dxa"/>
              <w:bottom w:w="150" w:type="dxa"/>
              <w:right w:w="0" w:type="dxa"/>
            </w:tcMar>
            <w:vAlign w:val="center"/>
          </w:tcPr>
          <w:p w14:paraId="7EE9565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3D99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047F1B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1.7</w:t>
            </w:r>
          </w:p>
        </w:tc>
        <w:tc>
          <w:tcPr>
            <w:tcW w:w="1874" w:type="pct"/>
            <w:shd w:val="clear" w:color="auto" w:fill="auto"/>
            <w:tcMar>
              <w:top w:w="150" w:type="dxa"/>
              <w:left w:w="240" w:type="dxa"/>
              <w:bottom w:w="150" w:type="dxa"/>
              <w:right w:w="240" w:type="dxa"/>
            </w:tcMar>
            <w:vAlign w:val="center"/>
          </w:tcPr>
          <w:p w14:paraId="7892AA3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report new or worsening shortness of breath at rest?</w:t>
            </w:r>
          </w:p>
        </w:tc>
        <w:tc>
          <w:tcPr>
            <w:tcW w:w="1487" w:type="pct"/>
            <w:shd w:val="clear" w:color="auto" w:fill="auto"/>
            <w:tcMar>
              <w:top w:w="150" w:type="dxa"/>
              <w:left w:w="240" w:type="dxa"/>
              <w:bottom w:w="150" w:type="dxa"/>
              <w:right w:w="0" w:type="dxa"/>
            </w:tcMar>
            <w:vAlign w:val="center"/>
          </w:tcPr>
          <w:p w14:paraId="14FBAC6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2AC05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4EDF07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DOMAIN 2: SYMPTOM BURDEN</w:t>
            </w:r>
          </w:p>
        </w:tc>
        <w:tc>
          <w:tcPr>
            <w:tcW w:w="1874" w:type="pct"/>
            <w:shd w:val="clear" w:color="auto" w:fill="auto"/>
            <w:tcMar>
              <w:top w:w="150" w:type="dxa"/>
              <w:left w:w="240" w:type="dxa"/>
              <w:bottom w:w="150" w:type="dxa"/>
              <w:right w:w="240" w:type="dxa"/>
            </w:tcMar>
            <w:vAlign w:val="center"/>
          </w:tcPr>
          <w:p w14:paraId="5FEAB45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c>
          <w:tcPr>
            <w:tcW w:w="1487" w:type="pct"/>
            <w:shd w:val="clear" w:color="auto" w:fill="auto"/>
            <w:tcMar>
              <w:top w:w="150" w:type="dxa"/>
              <w:left w:w="240" w:type="dxa"/>
              <w:bottom w:w="150" w:type="dxa"/>
              <w:right w:w="0" w:type="dxa"/>
            </w:tcMar>
            <w:vAlign w:val="center"/>
          </w:tcPr>
          <w:p w14:paraId="0FC3C4D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r>
      <w:tr w14:paraId="7760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1A104CD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2.1</w:t>
            </w:r>
          </w:p>
        </w:tc>
        <w:tc>
          <w:tcPr>
            <w:tcW w:w="1874" w:type="pct"/>
            <w:shd w:val="clear" w:color="auto" w:fill="auto"/>
            <w:tcMar>
              <w:top w:w="150" w:type="dxa"/>
              <w:left w:w="240" w:type="dxa"/>
              <w:bottom w:w="150" w:type="dxa"/>
              <w:right w:w="240" w:type="dxa"/>
            </w:tcMar>
            <w:vAlign w:val="center"/>
          </w:tcPr>
          <w:p w14:paraId="49383430">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 experiencing severe fatigue (≥7 on a 0-10 scale) limiting daily activities?</w:t>
            </w:r>
          </w:p>
        </w:tc>
        <w:tc>
          <w:tcPr>
            <w:tcW w:w="1487" w:type="pct"/>
            <w:shd w:val="clear" w:color="auto" w:fill="auto"/>
            <w:tcMar>
              <w:top w:w="150" w:type="dxa"/>
              <w:left w:w="240" w:type="dxa"/>
              <w:bottom w:w="150" w:type="dxa"/>
              <w:right w:w="0" w:type="dxa"/>
            </w:tcMar>
            <w:vAlign w:val="center"/>
          </w:tcPr>
          <w:p w14:paraId="4EF2466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10EC7D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3DDE9F4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2.2</w:t>
            </w:r>
          </w:p>
        </w:tc>
        <w:tc>
          <w:tcPr>
            <w:tcW w:w="1874" w:type="pct"/>
            <w:shd w:val="clear" w:color="auto" w:fill="auto"/>
            <w:tcMar>
              <w:top w:w="150" w:type="dxa"/>
              <w:left w:w="240" w:type="dxa"/>
              <w:bottom w:w="150" w:type="dxa"/>
              <w:right w:w="240" w:type="dxa"/>
            </w:tcMar>
            <w:vAlign w:val="center"/>
          </w:tcPr>
          <w:p w14:paraId="2E9A89A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 experiencing moderate-to-severe pain (≥5 on a 0-10 scale) aggravated by movement?</w:t>
            </w:r>
          </w:p>
        </w:tc>
        <w:tc>
          <w:tcPr>
            <w:tcW w:w="1487" w:type="pct"/>
            <w:shd w:val="clear" w:color="auto" w:fill="auto"/>
            <w:tcMar>
              <w:top w:w="150" w:type="dxa"/>
              <w:left w:w="240" w:type="dxa"/>
              <w:bottom w:w="150" w:type="dxa"/>
              <w:right w:w="0" w:type="dxa"/>
            </w:tcMar>
            <w:vAlign w:val="center"/>
          </w:tcPr>
          <w:p w14:paraId="7C46CF8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46765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2751A0B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2.3</w:t>
            </w:r>
          </w:p>
        </w:tc>
        <w:tc>
          <w:tcPr>
            <w:tcW w:w="1874" w:type="pct"/>
            <w:shd w:val="clear" w:color="auto" w:fill="auto"/>
            <w:tcMar>
              <w:top w:w="150" w:type="dxa"/>
              <w:left w:w="240" w:type="dxa"/>
              <w:bottom w:w="150" w:type="dxa"/>
              <w:right w:w="240" w:type="dxa"/>
            </w:tcMar>
            <w:vAlign w:val="center"/>
          </w:tcPr>
          <w:p w14:paraId="6A7374B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 experiencing active nausea/vomiting or diarrhea?</w:t>
            </w:r>
          </w:p>
        </w:tc>
        <w:tc>
          <w:tcPr>
            <w:tcW w:w="1487" w:type="pct"/>
            <w:shd w:val="clear" w:color="auto" w:fill="auto"/>
            <w:tcMar>
              <w:top w:w="150" w:type="dxa"/>
              <w:left w:w="240" w:type="dxa"/>
              <w:bottom w:w="150" w:type="dxa"/>
              <w:right w:w="0" w:type="dxa"/>
            </w:tcMar>
            <w:vAlign w:val="center"/>
          </w:tcPr>
          <w:p w14:paraId="7E37F12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51BC7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43A198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2.4</w:t>
            </w:r>
          </w:p>
        </w:tc>
        <w:tc>
          <w:tcPr>
            <w:tcW w:w="1874" w:type="pct"/>
            <w:shd w:val="clear" w:color="auto" w:fill="auto"/>
            <w:tcMar>
              <w:top w:w="150" w:type="dxa"/>
              <w:left w:w="240" w:type="dxa"/>
              <w:bottom w:w="150" w:type="dxa"/>
              <w:right w:w="240" w:type="dxa"/>
            </w:tcMar>
            <w:vAlign w:val="center"/>
          </w:tcPr>
          <w:p w14:paraId="33BCBDE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report significant dizziness or presyncope?</w:t>
            </w:r>
          </w:p>
        </w:tc>
        <w:tc>
          <w:tcPr>
            <w:tcW w:w="1487" w:type="pct"/>
            <w:shd w:val="clear" w:color="auto" w:fill="auto"/>
            <w:tcMar>
              <w:top w:w="150" w:type="dxa"/>
              <w:left w:w="240" w:type="dxa"/>
              <w:bottom w:w="150" w:type="dxa"/>
              <w:right w:w="0" w:type="dxa"/>
            </w:tcMar>
            <w:vAlign w:val="center"/>
          </w:tcPr>
          <w:p w14:paraId="027B4AE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7943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6FA593A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DOMAIN 3: FUNCTIONAL &amp; MOBILITY CONSIDERATIONS</w:t>
            </w:r>
          </w:p>
        </w:tc>
        <w:tc>
          <w:tcPr>
            <w:tcW w:w="1874" w:type="pct"/>
            <w:shd w:val="clear" w:color="auto" w:fill="auto"/>
            <w:tcMar>
              <w:top w:w="150" w:type="dxa"/>
              <w:left w:w="240" w:type="dxa"/>
              <w:bottom w:w="150" w:type="dxa"/>
              <w:right w:w="240" w:type="dxa"/>
            </w:tcMar>
            <w:vAlign w:val="center"/>
          </w:tcPr>
          <w:p w14:paraId="751D69D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c>
          <w:tcPr>
            <w:tcW w:w="1487" w:type="pct"/>
            <w:shd w:val="clear" w:color="auto" w:fill="auto"/>
            <w:tcMar>
              <w:top w:w="150" w:type="dxa"/>
              <w:left w:w="240" w:type="dxa"/>
              <w:bottom w:w="150" w:type="dxa"/>
              <w:right w:w="0" w:type="dxa"/>
            </w:tcMar>
            <w:vAlign w:val="center"/>
          </w:tcPr>
          <w:p w14:paraId="1500730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r>
      <w:tr w14:paraId="7436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28286D2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3.1</w:t>
            </w:r>
          </w:p>
        </w:tc>
        <w:tc>
          <w:tcPr>
            <w:tcW w:w="1874" w:type="pct"/>
            <w:shd w:val="clear" w:color="auto" w:fill="auto"/>
            <w:tcMar>
              <w:top w:w="150" w:type="dxa"/>
              <w:left w:w="240" w:type="dxa"/>
              <w:bottom w:w="150" w:type="dxa"/>
              <w:right w:w="240" w:type="dxa"/>
            </w:tcMar>
            <w:vAlign w:val="center"/>
          </w:tcPr>
          <w:p w14:paraId="618320C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neuropathy affecting balance or safety?</w:t>
            </w:r>
          </w:p>
        </w:tc>
        <w:tc>
          <w:tcPr>
            <w:tcW w:w="1487" w:type="pct"/>
            <w:shd w:val="clear" w:color="auto" w:fill="auto"/>
            <w:tcMar>
              <w:top w:w="150" w:type="dxa"/>
              <w:left w:w="240" w:type="dxa"/>
              <w:bottom w:w="150" w:type="dxa"/>
              <w:right w:w="0" w:type="dxa"/>
            </w:tcMar>
            <w:vAlign w:val="center"/>
          </w:tcPr>
          <w:p w14:paraId="45882BF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79260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2073ADC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3.2</w:t>
            </w:r>
          </w:p>
        </w:tc>
        <w:tc>
          <w:tcPr>
            <w:tcW w:w="1874" w:type="pct"/>
            <w:shd w:val="clear" w:color="auto" w:fill="auto"/>
            <w:tcMar>
              <w:top w:w="150" w:type="dxa"/>
              <w:left w:w="240" w:type="dxa"/>
              <w:bottom w:w="150" w:type="dxa"/>
              <w:right w:w="240" w:type="dxa"/>
            </w:tcMar>
            <w:vAlign w:val="center"/>
          </w:tcPr>
          <w:p w14:paraId="12D9C70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current, symptomatic upper extremity lymphedema?</w:t>
            </w:r>
          </w:p>
        </w:tc>
        <w:tc>
          <w:tcPr>
            <w:tcW w:w="1487" w:type="pct"/>
            <w:shd w:val="clear" w:color="auto" w:fill="auto"/>
            <w:tcMar>
              <w:top w:w="150" w:type="dxa"/>
              <w:left w:w="240" w:type="dxa"/>
              <w:bottom w:w="150" w:type="dxa"/>
              <w:right w:w="0" w:type="dxa"/>
            </w:tcMar>
            <w:vAlign w:val="center"/>
          </w:tcPr>
          <w:p w14:paraId="3CA35E4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6B927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3D7F825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3.3</w:t>
            </w:r>
          </w:p>
        </w:tc>
        <w:tc>
          <w:tcPr>
            <w:tcW w:w="1874" w:type="pct"/>
            <w:shd w:val="clear" w:color="auto" w:fill="auto"/>
            <w:tcMar>
              <w:top w:w="150" w:type="dxa"/>
              <w:left w:w="240" w:type="dxa"/>
              <w:bottom w:w="150" w:type="dxa"/>
              <w:right w:w="240" w:type="dxa"/>
            </w:tcMar>
            <w:vAlign w:val="center"/>
          </w:tcPr>
          <w:p w14:paraId="7E177D0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musculoskeletal issues causing functional limitation?</w:t>
            </w:r>
          </w:p>
        </w:tc>
        <w:tc>
          <w:tcPr>
            <w:tcW w:w="1487" w:type="pct"/>
            <w:shd w:val="clear" w:color="auto" w:fill="auto"/>
            <w:tcMar>
              <w:top w:w="150" w:type="dxa"/>
              <w:left w:w="240" w:type="dxa"/>
              <w:bottom w:w="150" w:type="dxa"/>
              <w:right w:w="0" w:type="dxa"/>
            </w:tcMar>
            <w:vAlign w:val="center"/>
          </w:tcPr>
          <w:p w14:paraId="1A847F2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39781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1887350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3.4</w:t>
            </w:r>
          </w:p>
        </w:tc>
        <w:tc>
          <w:tcPr>
            <w:tcW w:w="1874" w:type="pct"/>
            <w:shd w:val="clear" w:color="auto" w:fill="auto"/>
            <w:tcMar>
              <w:top w:w="150" w:type="dxa"/>
              <w:left w:w="240" w:type="dxa"/>
              <w:bottom w:w="150" w:type="dxa"/>
              <w:right w:w="240" w:type="dxa"/>
            </w:tcMar>
            <w:vAlign w:val="center"/>
          </w:tcPr>
          <w:p w14:paraId="54EC249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demonstrate impaired balance or a history of recent falls (past month)?</w:t>
            </w:r>
          </w:p>
        </w:tc>
        <w:tc>
          <w:tcPr>
            <w:tcW w:w="1487" w:type="pct"/>
            <w:shd w:val="clear" w:color="auto" w:fill="auto"/>
            <w:tcMar>
              <w:top w:w="150" w:type="dxa"/>
              <w:left w:w="240" w:type="dxa"/>
              <w:bottom w:w="150" w:type="dxa"/>
              <w:right w:w="0" w:type="dxa"/>
            </w:tcMar>
            <w:vAlign w:val="center"/>
          </w:tcPr>
          <w:p w14:paraId="2F4B1FC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293C0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613C87C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3.5</w:t>
            </w:r>
          </w:p>
        </w:tc>
        <w:tc>
          <w:tcPr>
            <w:tcW w:w="1874" w:type="pct"/>
            <w:shd w:val="clear" w:color="auto" w:fill="auto"/>
            <w:tcMar>
              <w:top w:w="150" w:type="dxa"/>
              <w:left w:w="240" w:type="dxa"/>
              <w:bottom w:w="150" w:type="dxa"/>
              <w:right w:w="240" w:type="dxa"/>
            </w:tcMar>
            <w:vAlign w:val="center"/>
          </w:tcPr>
          <w:p w14:paraId="6467764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Are there issues with central venous access device site integrity (e.g., redness, swelling, pain) or discomfort?</w:t>
            </w:r>
          </w:p>
        </w:tc>
        <w:tc>
          <w:tcPr>
            <w:tcW w:w="1487" w:type="pct"/>
            <w:shd w:val="clear" w:color="auto" w:fill="auto"/>
            <w:tcMar>
              <w:top w:w="150" w:type="dxa"/>
              <w:left w:w="240" w:type="dxa"/>
              <w:bottom w:w="150" w:type="dxa"/>
              <w:right w:w="0" w:type="dxa"/>
            </w:tcMar>
            <w:vAlign w:val="center"/>
          </w:tcPr>
          <w:p w14:paraId="09A0ED5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5E750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2427DB8">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DOMAIN 4: PATIENT-SPECIFIC CONTEXT</w:t>
            </w:r>
          </w:p>
        </w:tc>
        <w:tc>
          <w:tcPr>
            <w:tcW w:w="1874" w:type="pct"/>
            <w:shd w:val="clear" w:color="auto" w:fill="auto"/>
            <w:tcMar>
              <w:top w:w="150" w:type="dxa"/>
              <w:left w:w="240" w:type="dxa"/>
              <w:bottom w:w="150" w:type="dxa"/>
              <w:right w:w="240" w:type="dxa"/>
            </w:tcMar>
            <w:vAlign w:val="center"/>
          </w:tcPr>
          <w:p w14:paraId="392B5D5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c>
          <w:tcPr>
            <w:tcW w:w="1487" w:type="pct"/>
            <w:shd w:val="clear" w:color="auto" w:fill="auto"/>
            <w:tcMar>
              <w:top w:w="150" w:type="dxa"/>
              <w:left w:w="240" w:type="dxa"/>
              <w:bottom w:w="150" w:type="dxa"/>
              <w:right w:w="0" w:type="dxa"/>
            </w:tcMar>
            <w:vAlign w:val="center"/>
          </w:tcPr>
          <w:p w14:paraId="16D5B12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p>
        </w:tc>
      </w:tr>
      <w:tr w14:paraId="4136B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6598D10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4.1</w:t>
            </w:r>
          </w:p>
        </w:tc>
        <w:tc>
          <w:tcPr>
            <w:tcW w:w="1874" w:type="pct"/>
            <w:shd w:val="clear" w:color="auto" w:fill="auto"/>
            <w:tcMar>
              <w:top w:w="150" w:type="dxa"/>
              <w:left w:w="240" w:type="dxa"/>
              <w:bottom w:w="150" w:type="dxa"/>
              <w:right w:w="240" w:type="dxa"/>
            </w:tcMar>
            <w:vAlign w:val="center"/>
          </w:tcPr>
          <w:p w14:paraId="51F95CC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have significant, uncontrolled comorbidities (e.g., unstable angina, severe COPD)?</w:t>
            </w:r>
          </w:p>
        </w:tc>
        <w:tc>
          <w:tcPr>
            <w:tcW w:w="1487" w:type="pct"/>
            <w:shd w:val="clear" w:color="auto" w:fill="auto"/>
            <w:tcMar>
              <w:top w:w="150" w:type="dxa"/>
              <w:left w:w="240" w:type="dxa"/>
              <w:bottom w:w="150" w:type="dxa"/>
              <w:right w:w="0" w:type="dxa"/>
            </w:tcMar>
            <w:vAlign w:val="center"/>
          </w:tcPr>
          <w:p w14:paraId="5DBBF46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38A8A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302907B1">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4.2</w:t>
            </w:r>
          </w:p>
        </w:tc>
        <w:tc>
          <w:tcPr>
            <w:tcW w:w="1874" w:type="pct"/>
            <w:shd w:val="clear" w:color="auto" w:fill="auto"/>
            <w:tcMar>
              <w:top w:w="150" w:type="dxa"/>
              <w:left w:w="240" w:type="dxa"/>
              <w:bottom w:w="150" w:type="dxa"/>
              <w:right w:w="240" w:type="dxa"/>
            </w:tcMar>
            <w:vAlign w:val="center"/>
          </w:tcPr>
          <w:p w14:paraId="2E304F5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 patient extremely sedentary/deconditioned?</w:t>
            </w:r>
          </w:p>
        </w:tc>
        <w:tc>
          <w:tcPr>
            <w:tcW w:w="1487" w:type="pct"/>
            <w:shd w:val="clear" w:color="auto" w:fill="auto"/>
            <w:tcMar>
              <w:top w:w="150" w:type="dxa"/>
              <w:left w:w="240" w:type="dxa"/>
              <w:bottom w:w="150" w:type="dxa"/>
              <w:right w:w="0" w:type="dxa"/>
            </w:tcMar>
            <w:vAlign w:val="center"/>
          </w:tcPr>
          <w:p w14:paraId="1E29300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0F9FF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31060D2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4.3</w:t>
            </w:r>
          </w:p>
        </w:tc>
        <w:tc>
          <w:tcPr>
            <w:tcW w:w="1874" w:type="pct"/>
            <w:shd w:val="clear" w:color="auto" w:fill="auto"/>
            <w:tcMar>
              <w:top w:w="150" w:type="dxa"/>
              <w:left w:w="240" w:type="dxa"/>
              <w:bottom w:w="150" w:type="dxa"/>
              <w:right w:w="240" w:type="dxa"/>
            </w:tcMar>
            <w:vAlign w:val="center"/>
          </w:tcPr>
          <w:p w14:paraId="0694B10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express high levels of exercise-related fear or anxiety?</w:t>
            </w:r>
          </w:p>
        </w:tc>
        <w:tc>
          <w:tcPr>
            <w:tcW w:w="1487" w:type="pct"/>
            <w:shd w:val="clear" w:color="auto" w:fill="auto"/>
            <w:tcMar>
              <w:top w:w="150" w:type="dxa"/>
              <w:left w:w="240" w:type="dxa"/>
              <w:bottom w:w="150" w:type="dxa"/>
              <w:right w:w="0" w:type="dxa"/>
            </w:tcMar>
            <w:vAlign w:val="center"/>
          </w:tcPr>
          <w:p w14:paraId="741DA76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0E01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52B738AD">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4.4</w:t>
            </w:r>
          </w:p>
        </w:tc>
        <w:tc>
          <w:tcPr>
            <w:tcW w:w="1874" w:type="pct"/>
            <w:shd w:val="clear" w:color="auto" w:fill="auto"/>
            <w:tcMar>
              <w:top w:w="150" w:type="dxa"/>
              <w:left w:w="240" w:type="dxa"/>
              <w:bottom w:w="150" w:type="dxa"/>
              <w:right w:w="240" w:type="dxa"/>
            </w:tcMar>
            <w:vAlign w:val="center"/>
          </w:tcPr>
          <w:p w14:paraId="4B71E49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Does the patient lack social support or a safe environment for exercise?</w:t>
            </w:r>
          </w:p>
        </w:tc>
        <w:tc>
          <w:tcPr>
            <w:tcW w:w="1487" w:type="pct"/>
            <w:shd w:val="clear" w:color="auto" w:fill="auto"/>
            <w:tcMar>
              <w:top w:w="150" w:type="dxa"/>
              <w:left w:w="240" w:type="dxa"/>
              <w:bottom w:w="150" w:type="dxa"/>
              <w:right w:w="0" w:type="dxa"/>
            </w:tcMar>
            <w:vAlign w:val="center"/>
          </w:tcPr>
          <w:p w14:paraId="055CAA9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r w14:paraId="7440A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638" w:type="pct"/>
            <w:shd w:val="clear" w:color="auto" w:fill="auto"/>
            <w:tcMar>
              <w:top w:w="150" w:type="dxa"/>
              <w:left w:w="0" w:type="dxa"/>
              <w:bottom w:w="150" w:type="dxa"/>
              <w:right w:w="240" w:type="dxa"/>
            </w:tcMar>
            <w:vAlign w:val="center"/>
          </w:tcPr>
          <w:p w14:paraId="4D2AAA8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4.5</w:t>
            </w:r>
          </w:p>
        </w:tc>
        <w:tc>
          <w:tcPr>
            <w:tcW w:w="1874" w:type="pct"/>
            <w:shd w:val="clear" w:color="auto" w:fill="auto"/>
            <w:tcMar>
              <w:top w:w="150" w:type="dxa"/>
              <w:left w:w="240" w:type="dxa"/>
              <w:bottom w:w="150" w:type="dxa"/>
              <w:right w:w="240" w:type="dxa"/>
            </w:tcMar>
            <w:vAlign w:val="center"/>
          </w:tcPr>
          <w:p w14:paraId="49A67247">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Is there a cognitive/psychological issue limiting comprehension or safety judgement?</w:t>
            </w:r>
          </w:p>
        </w:tc>
        <w:tc>
          <w:tcPr>
            <w:tcW w:w="1487" w:type="pct"/>
            <w:shd w:val="clear" w:color="auto" w:fill="auto"/>
            <w:tcMar>
              <w:top w:w="150" w:type="dxa"/>
              <w:left w:w="240" w:type="dxa"/>
              <w:bottom w:w="150" w:type="dxa"/>
              <w:right w:w="0" w:type="dxa"/>
            </w:tcMar>
            <w:vAlign w:val="center"/>
          </w:tcPr>
          <w:p w14:paraId="7F47151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val="0"/>
                <w:bCs w:val="0"/>
                <w:color w:val="000000" w:themeColor="text1"/>
                <w:kern w:val="0"/>
                <w:sz w:val="18"/>
                <w:szCs w:val="18"/>
                <w:lang w:val="en-US" w:eastAsia="zh-CN" w:bidi="ar"/>
                <w14:textFill>
                  <w14:solidFill>
                    <w14:schemeClr w14:val="tx1"/>
                  </w14:solidFill>
                </w14:textFill>
              </w:rPr>
              <w:t>☐ Yes ☐ No</w:t>
            </w:r>
          </w:p>
        </w:tc>
      </w:tr>
    </w:tbl>
    <w:p w14:paraId="066B40B3">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Clinician’s Global Assessment &amp; Signature:</w:t>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br w:type="textWrapping"/>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Based on the above, the patient is medically stable for exercise participation at this time.</w:t>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br w:type="textWrapping"/>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All identified precautions have been noted and will be addressed in the care plan.</w:t>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br w:type="textWrapping"/>
      </w: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Signature: _________________________</w:t>
      </w:r>
    </w:p>
    <w:p w14:paraId="4EDDC2E8">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textAlignment w:val="auto"/>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PART B: RISK STRATIFICATION &amp; CLINICAL DECISION GUIDE</w:t>
      </w:r>
    </w:p>
    <w:p w14:paraId="5F1685CB">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Use the results from Part A to follow this algorithm. The goal is safe facilitation, not exclusion.</w:t>
      </w:r>
    </w:p>
    <w:p w14:paraId="1834FCDE">
      <w:pPr>
        <w:pStyle w:val="4"/>
        <w:keepNext w:val="0"/>
        <w:keepLines w:val="0"/>
        <w:widowControl/>
        <w:suppressLineNumbers w:val="0"/>
        <w:spacing w:before="0" w:beforeAutospacing="0" w:after="0" w:afterAutospacing="0"/>
        <w:ind w:left="0" w:right="0"/>
        <w:jc w:val="cente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drawing>
          <wp:inline distT="0" distB="0" distL="114300" distR="114300">
            <wp:extent cx="2631440" cy="2915285"/>
            <wp:effectExtent l="0" t="0" r="16510" b="18415"/>
            <wp:docPr id="1" name="图片 1" descr="deepseek_mermaid_20260128_9339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eepseek_mermaid_20260128_93399a"/>
                    <pic:cNvPicPr>
                      <a:picLocks noChangeAspect="1"/>
                    </pic:cNvPicPr>
                  </pic:nvPicPr>
                  <pic:blipFill>
                    <a:blip r:embed="rId4"/>
                    <a:stretch>
                      <a:fillRect/>
                    </a:stretch>
                  </pic:blipFill>
                  <pic:spPr>
                    <a:xfrm>
                      <a:off x="0" y="0"/>
                      <a:ext cx="2631440" cy="2915285"/>
                    </a:xfrm>
                    <a:prstGeom prst="rect">
                      <a:avLst/>
                    </a:prstGeom>
                  </pic:spPr>
                </pic:pic>
              </a:graphicData>
            </a:graphic>
          </wp:inline>
        </w:drawing>
      </w:r>
    </w:p>
    <w:p w14:paraId="73810B5B">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Detailed Guidance for Each Pathway:</w:t>
      </w:r>
    </w:p>
    <w:p w14:paraId="350E1A8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4C3639D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RED LIGHT (Defer &amp; Consult)</w:t>
      </w:r>
    </w:p>
    <w:p w14:paraId="4C7259D7">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3A5087E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Clinical Rationale: A “Yes” in Domain 1 indicates an acute, unstable medical or treatment-related condition where exercise could be harmful or interfere with urgent care. Safety is the absolute priority.</w:t>
      </w:r>
    </w:p>
    <w:p w14:paraId="01B3F40B">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Required Actions:</w:t>
      </w:r>
    </w:p>
    <w:p w14:paraId="104457F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Defer all exercise and document the specific trigger item(s).</w:t>
      </w:r>
    </w:p>
    <w:p w14:paraId="0768E94E">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Communicate promptly with the primary oncology team or relevant specialist (e.g., regarding fever, severe cytopenia, cardiac symptoms) to manage the acute issue.</w:t>
      </w:r>
    </w:p>
    <w:p w14:paraId="7564C569">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214586C8">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10DF1C19">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Re-assessment is condition-based, not time-based. Re-administer the checklist only after the acute issue has been medically resolved and clearance is provided.</w:t>
      </w:r>
    </w:p>
    <w:p w14:paraId="56DF4742">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108A39C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YELLOW LIGHT (Proceed with Modifications)</w:t>
      </w:r>
    </w:p>
    <w:p w14:paraId="71364F12">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7FC1FBB0">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Clinical Rationale: A “Yes” in Domains 2, 3, or 4 identifies a manageable risk factor—a symptom, functional limitation, or contextual barrier. The goal is to adapt the exercise prescription to work around this factor safely, aligning with supportive care principles.</w:t>
      </w:r>
    </w:p>
    <w:p w14:paraId="301674B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Required Actions &amp; Modification Strategies:</w:t>
      </w:r>
    </w:p>
    <w:p w14:paraId="7F4690F2">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Tailor the Exercise Plan: Modify the FITT principle (Frequency, Intensity, Time, Type).</w:t>
      </w:r>
    </w:p>
    <w:p w14:paraId="3D30081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For Symptoms (Domain 2): Reduce Intensity and Time (e.g., for severe fatigue: 10-min seated exercises, RPE &lt;3/10). Choose a comfortable Type (e.g., recumbent cycling for pain).</w:t>
      </w:r>
    </w:p>
    <w:p w14:paraId="6B8E93D8">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For Functional Issues (Domain 3): Prioritize safety and support. Modify Type (seated exercises, avoid complex balance tasks for neuropathy). Ensure supervision.</w:t>
      </w:r>
    </w:p>
    <w:p w14:paraId="6519EBC3">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For Contextual Factors (Domain 4): Address barriers. Start with familiar, low-skill activities to build confidence. Recommend supervised or home-based video programs.</w:t>
      </w:r>
    </w:p>
    <w:p w14:paraId="39ED892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Consider Referrals: Trigger referrals for concurrent management (e.g., to physical therapy for balance training, psychology for anxiety, dietetics for nutritional support).</w:t>
      </w:r>
    </w:p>
    <w:p w14:paraId="1A0B3A76">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Enhance Monitoring: Closely monitor the patient’s response during the first few sessions, particularly regarding the identified “Yellow Light” item.</w:t>
      </w:r>
    </w:p>
    <w:p w14:paraId="4011F510">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1761F72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GREEN LIGHT (Proceed with Personalized Prescription)</w:t>
      </w:r>
    </w:p>
    <w:p w14:paraId="473E6A1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4B286E24">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Clinical Rationale: The absence of red flags indicates the patient is medically stable for exercise. “Green” means proceed with a program personalized to the individual’s goals, treatment cycle, and baseline fitness, not a one-size-fits-all approach.</w:t>
      </w:r>
    </w:p>
    <w:p w14:paraId="273B356E">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Required Actions:</w:t>
      </w:r>
    </w:p>
    <w:p w14:paraId="4A61BCDC">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Prescribe according to evidence-based guidelines (e.g., ACSM/ASCO), considering treatment timing (lower intensity near infusion days).</w:t>
      </w:r>
    </w:p>
    <w:p w14:paraId="0CAA8AF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Set patient-centered goals and choose enjoyable activities to promote adherence.</w:t>
      </w:r>
    </w:p>
    <w:p w14:paraId="5FA807EE">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Implement standard progression principles as tolerated.</w:t>
      </w:r>
    </w:p>
    <w:p w14:paraId="7587D270">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textAlignment w:val="auto"/>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PART C: DOCUMENTATION &amp; MONITORING TEMPLATES</w:t>
      </w:r>
    </w:p>
    <w:p w14:paraId="3ED453D1">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C.1. Initial Assessment and Decision Record</w:t>
      </w:r>
    </w:p>
    <w:p w14:paraId="08B099FF">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Patient ID: ________ Date: _______</w:t>
      </w:r>
    </w:p>
    <w:p w14:paraId="56539D63">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Checklist Administrator (Role): _________________________</w:t>
      </w:r>
    </w:p>
    <w:p w14:paraId="19E1674A">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4F93F25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Risk Stratification Outcome: 🔴 Red / 🟡 Yellow / 🟢 Green</w:t>
      </w:r>
    </w:p>
    <w:p w14:paraId="1A12DA7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Key Trigger Items (if any): 1. __________ 2. __________</w:t>
      </w:r>
    </w:p>
    <w:p w14:paraId="080891B3">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Clinical Decision &amp; Plan:</w:t>
      </w:r>
    </w:p>
    <w:p w14:paraId="6CF237D9">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(If Red): Exercise deferred. Consulted with Dr. ________ on _______. Issue: ________. Plan for re-assessment: ________.</w:t>
      </w:r>
    </w:p>
    <w:p w14:paraId="097FF5B7">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(If Yellow): Modified exercise initiated. Key modifications: ________. Referral made to ________. Monitoring plan: ________.</w:t>
      </w:r>
    </w:p>
    <w:p w14:paraId="12201622">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(If Green): Standard personalized program initiated. Prescription: ________.</w:t>
      </w:r>
    </w:p>
    <w:p w14:paraId="702E6C91">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Patient Education Provided: ☐ Yes ☐ No. Topics covered: ________.</w:t>
      </w:r>
    </w:p>
    <w:p w14:paraId="6CA7F259">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bookmarkStart w:id="0" w:name="_GoBack"/>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Clinician Signature</w:t>
      </w:r>
      <w:bookmarkEnd w:id="0"/>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 _________________________</w:t>
      </w:r>
    </w:p>
    <w:p w14:paraId="1325B3A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bCs/>
          <w:i w:val="0"/>
          <w:iCs w:val="0"/>
          <w:caps w:val="0"/>
          <w:color w:val="0F1115"/>
          <w:spacing w:val="0"/>
          <w:kern w:val="2"/>
          <w:sz w:val="24"/>
          <w:szCs w:val="24"/>
          <w:shd w:val="clear" w:fill="FFFFFF"/>
          <w:lang w:val="en-US" w:eastAsia="zh-CN" w:bidi="ar-SA"/>
        </w:rPr>
        <w:t>C.2. Brief Session Monitoring Log (For Yellow/Green Light Patients)</w:t>
      </w: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00"/>
        <w:gridCol w:w="1041"/>
        <w:gridCol w:w="1181"/>
        <w:gridCol w:w="1161"/>
        <w:gridCol w:w="1374"/>
        <w:gridCol w:w="1980"/>
        <w:gridCol w:w="1087"/>
      </w:tblGrid>
      <w:tr w14:paraId="42593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600" w:type="dxa"/>
            <w:tcBorders>
              <w:top w:val="single" w:color="auto" w:sz="12" w:space="0"/>
              <w:bottom w:val="single" w:color="auto" w:sz="6" w:space="0"/>
            </w:tcBorders>
            <w:shd w:val="clear" w:color="auto" w:fill="auto"/>
            <w:tcMar>
              <w:top w:w="150" w:type="dxa"/>
              <w:left w:w="0" w:type="dxa"/>
              <w:bottom w:w="150" w:type="dxa"/>
              <w:right w:w="240" w:type="dxa"/>
            </w:tcMar>
            <w:vAlign w:val="center"/>
          </w:tcPr>
          <w:p w14:paraId="6AE09BB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Date</w:t>
            </w:r>
          </w:p>
        </w:tc>
        <w:tc>
          <w:tcPr>
            <w:tcW w:w="1041"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6C39D44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Session Focus</w:t>
            </w:r>
          </w:p>
        </w:tc>
        <w:tc>
          <w:tcPr>
            <w:tcW w:w="1181"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5CBE6E2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Duration</w:t>
            </w:r>
          </w:p>
        </w:tc>
        <w:tc>
          <w:tcPr>
            <w:tcW w:w="1161"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6539367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Intensity (RPE 0-10)</w:t>
            </w:r>
          </w:p>
        </w:tc>
        <w:tc>
          <w:tcPr>
            <w:tcW w:w="1374"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4BF4B5A4">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Symptoms Pre/Post (e.g., Fatigue 0-10)</w:t>
            </w:r>
          </w:p>
        </w:tc>
        <w:tc>
          <w:tcPr>
            <w:tcW w:w="1980"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649C80F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Notes/Adjustments</w:t>
            </w:r>
          </w:p>
        </w:tc>
        <w:tc>
          <w:tcPr>
            <w:tcW w:w="1087" w:type="dxa"/>
            <w:tcBorders>
              <w:top w:val="single" w:color="auto" w:sz="12" w:space="0"/>
              <w:bottom w:val="single" w:color="auto" w:sz="6" w:space="0"/>
            </w:tcBorders>
            <w:shd w:val="clear" w:color="auto" w:fill="auto"/>
            <w:tcMar>
              <w:top w:w="150" w:type="dxa"/>
              <w:left w:w="240" w:type="dxa"/>
              <w:bottom w:w="150" w:type="dxa"/>
              <w:right w:w="240" w:type="dxa"/>
            </w:tcMar>
            <w:vAlign w:val="center"/>
          </w:tcPr>
          <w:p w14:paraId="290BB153">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r>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t>Initials</w:t>
            </w:r>
          </w:p>
        </w:tc>
      </w:tr>
      <w:tr w14:paraId="2ACF0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00" w:type="dxa"/>
            <w:tcBorders>
              <w:top w:val="single" w:color="auto" w:sz="6" w:space="0"/>
            </w:tcBorders>
            <w:shd w:val="clear" w:color="auto" w:fill="auto"/>
            <w:tcMar>
              <w:top w:w="150" w:type="dxa"/>
              <w:left w:w="0" w:type="dxa"/>
              <w:bottom w:w="150" w:type="dxa"/>
              <w:right w:w="240" w:type="dxa"/>
            </w:tcMar>
            <w:vAlign w:val="center"/>
          </w:tcPr>
          <w:p w14:paraId="1FC45249">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041" w:type="dxa"/>
            <w:tcBorders>
              <w:top w:val="single" w:color="auto" w:sz="6" w:space="0"/>
            </w:tcBorders>
            <w:shd w:val="clear" w:color="auto" w:fill="auto"/>
            <w:tcMar>
              <w:top w:w="150" w:type="dxa"/>
              <w:left w:w="240" w:type="dxa"/>
              <w:bottom w:w="150" w:type="dxa"/>
              <w:right w:w="240" w:type="dxa"/>
            </w:tcMar>
            <w:vAlign w:val="center"/>
          </w:tcPr>
          <w:p w14:paraId="5637D3B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181" w:type="dxa"/>
            <w:tcBorders>
              <w:top w:val="single" w:color="auto" w:sz="6" w:space="0"/>
            </w:tcBorders>
            <w:shd w:val="clear" w:color="auto" w:fill="auto"/>
            <w:tcMar>
              <w:top w:w="150" w:type="dxa"/>
              <w:left w:w="240" w:type="dxa"/>
              <w:bottom w:w="150" w:type="dxa"/>
              <w:right w:w="240" w:type="dxa"/>
            </w:tcMar>
            <w:vAlign w:val="center"/>
          </w:tcPr>
          <w:p w14:paraId="6AD0D67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161" w:type="dxa"/>
            <w:tcBorders>
              <w:top w:val="single" w:color="auto" w:sz="6" w:space="0"/>
            </w:tcBorders>
            <w:shd w:val="clear" w:color="auto" w:fill="auto"/>
            <w:tcMar>
              <w:top w:w="150" w:type="dxa"/>
              <w:left w:w="240" w:type="dxa"/>
              <w:bottom w:w="150" w:type="dxa"/>
              <w:right w:w="240" w:type="dxa"/>
            </w:tcMar>
            <w:vAlign w:val="center"/>
          </w:tcPr>
          <w:p w14:paraId="0AA08A9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374" w:type="dxa"/>
            <w:tcBorders>
              <w:top w:val="single" w:color="auto" w:sz="6" w:space="0"/>
            </w:tcBorders>
            <w:shd w:val="clear" w:color="auto" w:fill="auto"/>
            <w:tcMar>
              <w:top w:w="150" w:type="dxa"/>
              <w:left w:w="240" w:type="dxa"/>
              <w:bottom w:w="150" w:type="dxa"/>
              <w:right w:w="240" w:type="dxa"/>
            </w:tcMar>
            <w:vAlign w:val="center"/>
          </w:tcPr>
          <w:p w14:paraId="0F8D0F1C">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980" w:type="dxa"/>
            <w:tcBorders>
              <w:top w:val="single" w:color="auto" w:sz="6" w:space="0"/>
            </w:tcBorders>
            <w:shd w:val="clear" w:color="auto" w:fill="auto"/>
            <w:tcMar>
              <w:top w:w="150" w:type="dxa"/>
              <w:left w:w="240" w:type="dxa"/>
              <w:bottom w:w="150" w:type="dxa"/>
              <w:right w:w="240" w:type="dxa"/>
            </w:tcMar>
            <w:vAlign w:val="center"/>
          </w:tcPr>
          <w:p w14:paraId="54036B8F">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087" w:type="dxa"/>
            <w:tcBorders>
              <w:top w:val="single" w:color="auto" w:sz="6" w:space="0"/>
            </w:tcBorders>
            <w:shd w:val="clear" w:color="auto" w:fill="auto"/>
            <w:tcMar>
              <w:top w:w="150" w:type="dxa"/>
              <w:left w:w="240" w:type="dxa"/>
              <w:bottom w:w="150" w:type="dxa"/>
              <w:right w:w="0" w:type="dxa"/>
            </w:tcMar>
            <w:vAlign w:val="center"/>
          </w:tcPr>
          <w:p w14:paraId="341C963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r>
      <w:tr w14:paraId="38493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600" w:type="dxa"/>
            <w:tcBorders>
              <w:bottom w:val="single" w:color="auto" w:sz="12" w:space="0"/>
            </w:tcBorders>
            <w:shd w:val="clear" w:color="auto" w:fill="auto"/>
            <w:tcMar>
              <w:top w:w="150" w:type="dxa"/>
              <w:left w:w="0" w:type="dxa"/>
              <w:bottom w:w="150" w:type="dxa"/>
              <w:right w:w="240" w:type="dxa"/>
            </w:tcMar>
            <w:vAlign w:val="center"/>
          </w:tcPr>
          <w:p w14:paraId="6EAAAE6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041" w:type="dxa"/>
            <w:tcBorders>
              <w:bottom w:val="single" w:color="auto" w:sz="12" w:space="0"/>
            </w:tcBorders>
            <w:shd w:val="clear" w:color="auto" w:fill="auto"/>
            <w:tcMar>
              <w:top w:w="150" w:type="dxa"/>
              <w:left w:w="240" w:type="dxa"/>
              <w:bottom w:w="150" w:type="dxa"/>
              <w:right w:w="240" w:type="dxa"/>
            </w:tcMar>
            <w:vAlign w:val="center"/>
          </w:tcPr>
          <w:p w14:paraId="6CE13982">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181" w:type="dxa"/>
            <w:tcBorders>
              <w:bottom w:val="single" w:color="auto" w:sz="12" w:space="0"/>
            </w:tcBorders>
            <w:shd w:val="clear" w:color="auto" w:fill="auto"/>
            <w:tcMar>
              <w:top w:w="150" w:type="dxa"/>
              <w:left w:w="240" w:type="dxa"/>
              <w:bottom w:w="150" w:type="dxa"/>
              <w:right w:w="240" w:type="dxa"/>
            </w:tcMar>
            <w:vAlign w:val="center"/>
          </w:tcPr>
          <w:p w14:paraId="6DFB8ACB">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161" w:type="dxa"/>
            <w:tcBorders>
              <w:bottom w:val="single" w:color="auto" w:sz="12" w:space="0"/>
            </w:tcBorders>
            <w:shd w:val="clear" w:color="auto" w:fill="auto"/>
            <w:tcMar>
              <w:top w:w="150" w:type="dxa"/>
              <w:left w:w="240" w:type="dxa"/>
              <w:bottom w:w="150" w:type="dxa"/>
              <w:right w:w="240" w:type="dxa"/>
            </w:tcMar>
            <w:vAlign w:val="center"/>
          </w:tcPr>
          <w:p w14:paraId="1AB74235">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374" w:type="dxa"/>
            <w:tcBorders>
              <w:bottom w:val="single" w:color="auto" w:sz="12" w:space="0"/>
            </w:tcBorders>
            <w:shd w:val="clear" w:color="auto" w:fill="auto"/>
            <w:tcMar>
              <w:top w:w="150" w:type="dxa"/>
              <w:left w:w="240" w:type="dxa"/>
              <w:bottom w:w="150" w:type="dxa"/>
              <w:right w:w="240" w:type="dxa"/>
            </w:tcMar>
            <w:vAlign w:val="center"/>
          </w:tcPr>
          <w:p w14:paraId="0DBFBD2E">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980" w:type="dxa"/>
            <w:tcBorders>
              <w:bottom w:val="single" w:color="auto" w:sz="12" w:space="0"/>
            </w:tcBorders>
            <w:shd w:val="clear" w:color="auto" w:fill="auto"/>
            <w:tcMar>
              <w:top w:w="150" w:type="dxa"/>
              <w:left w:w="240" w:type="dxa"/>
              <w:bottom w:w="150" w:type="dxa"/>
              <w:right w:w="240" w:type="dxa"/>
            </w:tcMar>
            <w:vAlign w:val="center"/>
          </w:tcPr>
          <w:p w14:paraId="5D5CD926">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c>
          <w:tcPr>
            <w:tcW w:w="1087" w:type="dxa"/>
            <w:tcBorders>
              <w:bottom w:val="single" w:color="auto" w:sz="12" w:space="0"/>
            </w:tcBorders>
            <w:shd w:val="clear" w:color="auto" w:fill="auto"/>
            <w:tcMar>
              <w:top w:w="150" w:type="dxa"/>
              <w:left w:w="240" w:type="dxa"/>
              <w:bottom w:w="150" w:type="dxa"/>
              <w:right w:w="0" w:type="dxa"/>
            </w:tcMar>
            <w:vAlign w:val="center"/>
          </w:tcPr>
          <w:p w14:paraId="60EC72BA">
            <w:pPr>
              <w:keepNext w:val="0"/>
              <w:keepLines w:val="0"/>
              <w:pageBreakBefore w:val="0"/>
              <w:widowControl/>
              <w:suppressLineNumbers w:val="0"/>
              <w:kinsoku/>
              <w:wordWrap/>
              <w:overflowPunct/>
              <w:topLinePunct w:val="0"/>
              <w:autoSpaceDE/>
              <w:autoSpaceDN/>
              <w:bidi w:val="0"/>
              <w:adjustRightInd/>
              <w:snapToGrid/>
              <w:spacing w:line="480" w:lineRule="auto"/>
              <w:jc w:val="center"/>
              <w:textAlignment w:val="auto"/>
              <w:rPr>
                <w:rFonts w:hint="default" w:ascii="Times New Roman" w:hAnsi="Times New Roman" w:eastAsia="宋体" w:cs="Times New Roman"/>
                <w:b/>
                <w:bCs/>
                <w:color w:val="000000" w:themeColor="text1"/>
                <w:kern w:val="0"/>
                <w:sz w:val="18"/>
                <w:szCs w:val="18"/>
                <w:lang w:val="en-US" w:eastAsia="zh-CN" w:bidi="ar"/>
                <w14:textFill>
                  <w14:solidFill>
                    <w14:schemeClr w14:val="tx1"/>
                  </w14:solidFill>
                </w14:textFill>
              </w:rPr>
            </w:pPr>
          </w:p>
        </w:tc>
      </w:tr>
    </w:tbl>
    <w:p w14:paraId="21B0EF02">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textAlignment w:val="auto"/>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C.3. Recommended Re-assessment Triggers</w:t>
      </w:r>
    </w:p>
    <w:p w14:paraId="08C3E1A5">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Routine: Before each new chemotherapy cycle.</w:t>
      </w:r>
    </w:p>
    <w:p w14:paraId="1CD69D6D">
      <w:pPr>
        <w:pStyle w:val="4"/>
        <w:keepNext w:val="0"/>
        <w:keepLines w:val="0"/>
        <w:widowControl/>
        <w:suppressLineNumbers w:val="0"/>
        <w:spacing w:before="0" w:beforeAutospacing="0" w:after="0" w:afterAutospacing="0"/>
        <w:ind w:left="0" w:right="0"/>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t>Event-driven: Upon any hospitalization, report of new/worsening symptoms (e.g., pain, falls, severe fatigue), or significant change in treatment plan.</w:t>
      </w:r>
    </w:p>
    <w:p w14:paraId="2BD476D9">
      <w:pP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68869EB1">
      <w:pPr>
        <w:rPr>
          <w:rStyle w:val="7"/>
          <w:rFonts w:hint="default" w:ascii="Times New Roman" w:hAnsi="Times New Roman" w:eastAsia="Segoe UI" w:cs="Times New Roman"/>
          <w:b w:val="0"/>
          <w:bCs w:val="0"/>
          <w:i w:val="0"/>
          <w:iCs w:val="0"/>
          <w:caps w:val="0"/>
          <w:color w:val="0F1115"/>
          <w:spacing w:val="0"/>
          <w:kern w:val="2"/>
          <w:sz w:val="24"/>
          <w:szCs w:val="24"/>
          <w:shd w:val="clear" w:fill="FFFFFF"/>
          <w:lang w:val="en-US" w:eastAsia="zh-CN" w:bidi="ar-SA"/>
        </w:rPr>
      </w:pPr>
    </w:p>
    <w:p w14:paraId="75EA413D">
      <w:pPr>
        <w:rPr>
          <w:rFonts w:hint="default" w:ascii="Times New Roman" w:hAnsi="Times New Roman" w:cs="Times New Roman"/>
          <w:b w:val="0"/>
          <w:bCs w:val="0"/>
          <w:sz w:val="24"/>
          <w:szCs w:val="24"/>
        </w:rPr>
      </w:pPr>
    </w:p>
    <w:p w14:paraId="332F3E54">
      <w:pPr>
        <w:rPr>
          <w:rFonts w:hint="default" w:ascii="Times New Roman" w:hAnsi="Times New Roman" w:cs="Times New Roman"/>
          <w:b w:val="0"/>
          <w:bCs w:val="0"/>
          <w:sz w:val="24"/>
          <w:szCs w:val="24"/>
        </w:rPr>
      </w:pP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A16A20"/>
    <w:rsid w:val="0E963B01"/>
    <w:rsid w:val="11461632"/>
    <w:rsid w:val="13581385"/>
    <w:rsid w:val="2F8337D6"/>
    <w:rsid w:val="362C0724"/>
    <w:rsid w:val="41837157"/>
    <w:rsid w:val="5E7C57FA"/>
    <w:rsid w:val="6EE3336E"/>
    <w:rsid w:val="79A16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
    <w:name w:val="Normal (Web)"/>
    <w:basedOn w:val="1"/>
    <w:qFormat/>
    <w:uiPriority w:val="0"/>
    <w:rPr>
      <w:sz w:val="24"/>
    </w:rPr>
  </w:style>
  <w:style w:type="character" w:styleId="7">
    <w:name w:val="Strong"/>
    <w:basedOn w:val="6"/>
    <w:qFormat/>
    <w:uiPriority w:val="0"/>
    <w:rPr>
      <w:b/>
    </w:rPr>
  </w:style>
  <w:style w:type="character" w:styleId="8">
    <w:name w:val="Emphasis"/>
    <w:basedOn w:val="6"/>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1125</Words>
  <Characters>6677</Characters>
  <Lines>0</Lines>
  <Paragraphs>0</Paragraphs>
  <TotalTime>47</TotalTime>
  <ScaleCrop>false</ScaleCrop>
  <LinksUpToDate>false</LinksUpToDate>
  <CharactersWithSpaces>7670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2026-01-14T09:20:00Z</dcterms:created>
  <dc:creator>囧人</dc:creator>
  <cp:lastModifiedBy>囧人</cp:lastModifiedBy>
  <dcterms:modified xsi:type="dcterms:W3CDTF">2026-03-23T03:15:20Z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E621E3BBFF95473090203890B59FE34C_13</vt:lpwstr>
  </property>
  <property fmtid="{D5CDD505-2E9C-101B-9397-08002B2CF9AE}" pid="4" name="KSOTemplateDocerSaveRecord">
    <vt:lpwstr>eyJoZGlkIjoiZjliMzZjZmE1NDA5ZDVlODIwZmY2YjAyMTFlZmNiYjUiLCJ1c2VySWQiOiI3Mjc1MDE1ODEifQ==</vt:lpwstr>
  </property>
</Properties>
</file>