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F8DAE" w14:textId="77777777" w:rsidR="00F0627B" w:rsidRPr="00647C4A" w:rsidRDefault="00F0627B" w:rsidP="00F0627B">
      <w:pPr>
        <w:rPr>
          <w:lang w:val="en-US"/>
        </w:rPr>
      </w:pPr>
      <w:r w:rsidRPr="00647C4A">
        <w:rPr>
          <w:noProof/>
          <w:lang w:val="en-US"/>
        </w:rPr>
        <w:drawing>
          <wp:inline distT="0" distB="0" distL="0" distR="0" wp14:anchorId="46390B8E" wp14:editId="157D3269">
            <wp:extent cx="4387499" cy="2641426"/>
            <wp:effectExtent l="0" t="0" r="6985" b="13335"/>
            <wp:docPr id="1073741825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F3B04EE" w14:textId="77777777" w:rsidR="00F0627B" w:rsidRPr="00647C4A" w:rsidRDefault="00F0627B" w:rsidP="00F0627B">
      <w:pPr>
        <w:rPr>
          <w:i/>
          <w:iCs/>
          <w:lang w:val="en-US"/>
        </w:rPr>
      </w:pPr>
      <w:r w:rsidRPr="00647C4A">
        <w:rPr>
          <w:i/>
          <w:iCs/>
          <w:lang w:val="en-US"/>
        </w:rPr>
        <w:t>Figure 1: Severity of the burden on the caregivers of terminally ill cancer patients</w:t>
      </w:r>
    </w:p>
    <w:p w14:paraId="030CDD17" w14:textId="77777777" w:rsidR="00416D0B" w:rsidRPr="00F0627B" w:rsidRDefault="00416D0B">
      <w:pPr>
        <w:rPr>
          <w:lang w:val="en-US"/>
        </w:rPr>
      </w:pPr>
    </w:p>
    <w:sectPr w:rsidR="00416D0B" w:rsidRPr="00F062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AA"/>
    <w:rsid w:val="001F4E1D"/>
    <w:rsid w:val="003608DB"/>
    <w:rsid w:val="00416D0B"/>
    <w:rsid w:val="004C18E3"/>
    <w:rsid w:val="007F29AA"/>
    <w:rsid w:val="00932DE9"/>
    <w:rsid w:val="009D0443"/>
    <w:rsid w:val="00C74DE6"/>
    <w:rsid w:val="00CC592A"/>
    <w:rsid w:val="00E130E1"/>
    <w:rsid w:val="00F0627B"/>
    <w:rsid w:val="00F6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1853CA"/>
  <w15:chartTrackingRefBased/>
  <w15:docId w15:val="{92DCC9E3-F353-2F4A-B7CB-EACB562A5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27B"/>
  </w:style>
  <w:style w:type="paragraph" w:styleId="Heading1">
    <w:name w:val="heading 1"/>
    <w:basedOn w:val="Normal"/>
    <w:next w:val="Normal"/>
    <w:link w:val="Heading1Char"/>
    <w:uiPriority w:val="9"/>
    <w:qFormat/>
    <w:rsid w:val="007F29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9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9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9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9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9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9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9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9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9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9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9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9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9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9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9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9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9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9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9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2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9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29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9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29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9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9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9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215500000000003E-2"/>
          <c:y val="5.7696100000000014E-2"/>
          <c:w val="0.92178400000000005"/>
          <c:h val="0.8365949999999999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Series1</c:v>
                </c:pt>
              </c:strCache>
            </c:strRef>
          </c:tx>
          <c:spPr>
            <a:solidFill>
              <a:schemeClr val="accent1"/>
            </a:solidFill>
            <a:ln w="12700">
              <a:noFill/>
              <a:miter lim="400000"/>
            </a:ln>
            <a:effectLst/>
          </c:spPr>
          <c:invertIfNegative val="0"/>
          <c:dLbls>
            <c:numFmt formatCode="0.#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 i="0" u="none" strike="noStrike">
                    <a:solidFill>
                      <a:srgbClr val="000000"/>
                    </a:solidFill>
                    <a:latin typeface="Calibri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No-little</c:v>
                </c:pt>
                <c:pt idx="1">
                  <c:v>Mild-moderate</c:v>
                </c:pt>
                <c:pt idx="2">
                  <c:v>Moderate-severe</c:v>
                </c:pt>
                <c:pt idx="3">
                  <c:v>Severe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  <c:pt idx="1">
                  <c:v>20</c:v>
                </c:pt>
                <c:pt idx="2">
                  <c:v>53.3</c:v>
                </c:pt>
                <c:pt idx="3">
                  <c:v>26.7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4B-1B46-86B1-0EAA6B3FCD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69524608"/>
        <c:axId val="170518016"/>
      </c:barChart>
      <c:catAx>
        <c:axId val="1695246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 w="12700">
            <a:solidFill>
              <a:srgbClr val="888888"/>
            </a:solidFill>
            <a:round/>
          </a:ln>
        </c:spPr>
        <c:txPr>
          <a:bodyPr rot="0"/>
          <a:lstStyle/>
          <a:p>
            <a:pPr>
              <a:defRPr sz="1100" b="1" i="0" u="none" strike="noStrike">
                <a:solidFill>
                  <a:srgbClr val="000000"/>
                </a:solidFill>
                <a:latin typeface="Calibri"/>
              </a:defRPr>
            </a:pPr>
            <a:endParaRPr lang="en-US"/>
          </a:p>
        </c:txPr>
        <c:crossAx val="170518016"/>
        <c:crosses val="autoZero"/>
        <c:auto val="1"/>
        <c:lblAlgn val="ctr"/>
        <c:lblOffset val="100"/>
        <c:noMultiLvlLbl val="1"/>
      </c:catAx>
      <c:valAx>
        <c:axId val="170518016"/>
        <c:scaling>
          <c:orientation val="minMax"/>
        </c:scaling>
        <c:delete val="0"/>
        <c:axPos val="l"/>
        <c:majorGridlines>
          <c:spPr>
            <a:ln w="12700">
              <a:solidFill>
                <a:srgbClr val="888888"/>
              </a:solidFill>
              <a:round/>
            </a:ln>
          </c:spPr>
        </c:majorGridlines>
        <c:numFmt formatCode="0.#" sourceLinked="0"/>
        <c:majorTickMark val="out"/>
        <c:minorTickMark val="none"/>
        <c:tickLblPos val="nextTo"/>
        <c:spPr>
          <a:ln w="12700">
            <a:solidFill>
              <a:srgbClr val="888888"/>
            </a:solidFill>
            <a:round/>
          </a:ln>
        </c:spPr>
        <c:txPr>
          <a:bodyPr rot="0"/>
          <a:lstStyle/>
          <a:p>
            <a:pPr>
              <a:defRPr sz="1000" b="0" i="0" u="none" strike="noStrike">
                <a:solidFill>
                  <a:srgbClr val="000000"/>
                </a:solidFill>
                <a:latin typeface="Calibri"/>
              </a:defRPr>
            </a:pPr>
            <a:endParaRPr lang="en-US"/>
          </a:p>
        </c:txPr>
        <c:crossAx val="169524608"/>
        <c:crosses val="autoZero"/>
        <c:crossBetween val="between"/>
        <c:majorUnit val="15"/>
        <c:minorUnit val="7.5"/>
      </c:valAx>
      <c:spPr>
        <a:solidFill>
          <a:srgbClr val="FFFFFF"/>
        </a:solidFill>
        <a:ln w="12700">
          <a:noFill/>
          <a:miter lim="400000"/>
        </a:ln>
        <a:effectLst/>
      </c:spPr>
    </c:plotArea>
    <c:plotVisOnly val="1"/>
    <c:dispBlanksAs val="gap"/>
    <c:showDLblsOverMax val="1"/>
  </c:chart>
  <c:spPr>
    <a:solidFill>
      <a:srgbClr val="FFFFFF"/>
    </a:solidFill>
    <a:ln w="12700">
      <a:solidFill>
        <a:srgbClr val="888888"/>
      </a:solidFill>
      <a:round/>
    </a:ln>
    <a:effectLst/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KAMEL, SHADY ABDELRAHMAN</dc:creator>
  <cp:keywords/>
  <dc:description/>
  <cp:lastModifiedBy>KAMEL, SHADY ABDELRAHMAN</cp:lastModifiedBy>
  <cp:revision>2</cp:revision>
  <dcterms:created xsi:type="dcterms:W3CDTF">2025-12-28T12:12:00Z</dcterms:created>
  <dcterms:modified xsi:type="dcterms:W3CDTF">2025-12-28T12:14:00Z</dcterms:modified>
</cp:coreProperties>
</file>