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AFC" w:rsidRPr="00531DF1" w:rsidRDefault="002B5BBA" w:rsidP="00607AFC">
      <w:pPr>
        <w:tabs>
          <w:tab w:val="left" w:pos="285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B5BBA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607AFC" w:rsidRPr="00531D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Comparison of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eneral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haracteristics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etween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ncluded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 xml:space="preserve">atients and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B5BBA">
        <w:rPr>
          <w:rFonts w:ascii="Times New Roman" w:hAnsi="Times New Roman" w:cs="Times New Roman"/>
          <w:b/>
          <w:bCs/>
          <w:sz w:val="24"/>
          <w:szCs w:val="24"/>
        </w:rPr>
        <w:t>atients with Missing Data</w:t>
      </w:r>
      <w:bookmarkStart w:id="0" w:name="_GoBack"/>
      <w:bookmarkEnd w:id="0"/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064"/>
        <w:gridCol w:w="2159"/>
        <w:gridCol w:w="910"/>
        <w:gridCol w:w="66"/>
      </w:tblGrid>
      <w:tr w:rsidR="00607AFC" w:rsidRPr="00531DF1" w:rsidTr="002B5BBA">
        <w:trPr>
          <w:trHeight w:val="330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Study group (n=530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27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07AFC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Missing group</w:t>
            </w:r>
          </w:p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</w:t>
            </w:r>
            <w:r w:rsidR="001B6B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tcBorders>
              <w:top w:val="single" w:sz="4" w:space="0" w:color="auto"/>
            </w:tcBorders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Age (years)</w:t>
            </w:r>
          </w:p>
        </w:tc>
        <w:tc>
          <w:tcPr>
            <w:tcW w:w="1033" w:type="pct"/>
            <w:tcBorders>
              <w:top w:val="single" w:sz="4" w:space="0" w:color="auto"/>
            </w:tcBorders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70.7</w:t>
            </w:r>
          </w:p>
        </w:tc>
        <w:tc>
          <w:tcPr>
            <w:tcW w:w="1275" w:type="pct"/>
            <w:tcBorders>
              <w:top w:val="single" w:sz="4" w:space="0" w:color="auto"/>
            </w:tcBorders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71.1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</w:tcBorders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0.816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Man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51.8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58.7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0.258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Cancer type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0.077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Lung cancer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15.9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21.3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Gastric cancer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10.2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13.3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Colon cancer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11.9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9.3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Hepatocellular carcinoma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6.0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12.0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Breast cancer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5.1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9.3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Pancreatic cancer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13.6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6.7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607AFC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Other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37.4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28.0</w:t>
            </w: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Past history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Diabetes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28.7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26.7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0.718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Hypertension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37.3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39.8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0.681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Cardiovascular disease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10.2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12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.0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0.631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Chronic kidney disease (%)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7.0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5.3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0.595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Liver cirrhosis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4.3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8.0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0.165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 Thromboembolic disease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5.9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4.0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0.515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Cancer treatment history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31" w:type="pct"/>
            <w:gridSpan w:val="2"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Chemotherapy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73.0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63.5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0.096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Radiation therapy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31.1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25.7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0.339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Operation (%) </w:t>
            </w:r>
          </w:p>
        </w:tc>
        <w:tc>
          <w:tcPr>
            <w:tcW w:w="1033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46.8</w:t>
            </w:r>
          </w:p>
        </w:tc>
        <w:tc>
          <w:tcPr>
            <w:tcW w:w="1275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43.2</w:t>
            </w:r>
          </w:p>
        </w:tc>
        <w:tc>
          <w:tcPr>
            <w:tcW w:w="631" w:type="pct"/>
            <w:gridSpan w:val="2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0.566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General performance and symptomes</w:t>
            </w:r>
          </w:p>
        </w:tc>
        <w:tc>
          <w:tcPr>
            <w:tcW w:w="1033" w:type="pct"/>
            <w:noWrap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275" w:type="pct"/>
            <w:noWrap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31" w:type="pct"/>
            <w:gridSpan w:val="2"/>
            <w:noWrap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607AFC" w:rsidRPr="00531DF1" w:rsidTr="002B5BBA">
        <w:trPr>
          <w:gridAfter w:val="1"/>
          <w:wAfter w:w="48" w:type="pct"/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ECOG 4 (%)</w:t>
            </w:r>
          </w:p>
        </w:tc>
        <w:tc>
          <w:tcPr>
            <w:tcW w:w="103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90.6</w:t>
            </w:r>
          </w:p>
        </w:tc>
        <w:tc>
          <w:tcPr>
            <w:tcW w:w="1275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93.3</w:t>
            </w:r>
          </w:p>
        </w:tc>
        <w:tc>
          <w:tcPr>
            <w:tcW w:w="58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0.435</w:t>
            </w:r>
          </w:p>
        </w:tc>
      </w:tr>
      <w:tr w:rsidR="00607AFC" w:rsidRPr="00531DF1" w:rsidTr="002B5BBA">
        <w:trPr>
          <w:gridAfter w:val="1"/>
          <w:wAfter w:w="48" w:type="pct"/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ain (%)</w:t>
            </w:r>
          </w:p>
        </w:tc>
        <w:tc>
          <w:tcPr>
            <w:tcW w:w="103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85.1</w:t>
            </w:r>
          </w:p>
        </w:tc>
        <w:tc>
          <w:tcPr>
            <w:tcW w:w="1275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81.3</w:t>
            </w:r>
          </w:p>
        </w:tc>
        <w:tc>
          <w:tcPr>
            <w:tcW w:w="58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0.398</w:t>
            </w:r>
          </w:p>
        </w:tc>
      </w:tr>
      <w:tr w:rsidR="00607AFC" w:rsidRPr="00531DF1" w:rsidTr="002B5BBA">
        <w:trPr>
          <w:gridAfter w:val="1"/>
          <w:wAfter w:w="48" w:type="pct"/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Dyspnea (%)</w:t>
            </w:r>
          </w:p>
        </w:tc>
        <w:tc>
          <w:tcPr>
            <w:tcW w:w="103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59.1</w:t>
            </w:r>
          </w:p>
        </w:tc>
        <w:tc>
          <w:tcPr>
            <w:tcW w:w="1275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62.7</w:t>
            </w:r>
          </w:p>
        </w:tc>
        <w:tc>
          <w:tcPr>
            <w:tcW w:w="58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0.551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Delirium (%)</w:t>
            </w:r>
          </w:p>
        </w:tc>
        <w:tc>
          <w:tcPr>
            <w:tcW w:w="103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71.4</w:t>
            </w:r>
          </w:p>
        </w:tc>
        <w:tc>
          <w:tcPr>
            <w:tcW w:w="1275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58.7</w:t>
            </w:r>
          </w:p>
        </w:tc>
        <w:tc>
          <w:tcPr>
            <w:tcW w:w="631" w:type="pct"/>
            <w:gridSpan w:val="2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607AFC">
              <w:rPr>
                <w:rFonts w:ascii="Times New Roman" w:eastAsia="맑은 고딕" w:hAnsi="Times New Roman" w:cs="Times New Roman"/>
                <w:color w:val="000000"/>
                <w:sz w:val="22"/>
              </w:rPr>
              <w:t>0.025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PPS</w:t>
            </w:r>
          </w:p>
        </w:tc>
        <w:tc>
          <w:tcPr>
            <w:tcW w:w="1033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26.6</w:t>
            </w:r>
          </w:p>
        </w:tc>
        <w:tc>
          <w:tcPr>
            <w:tcW w:w="1275" w:type="pct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24.8</w:t>
            </w:r>
          </w:p>
        </w:tc>
        <w:tc>
          <w:tcPr>
            <w:tcW w:w="631" w:type="pct"/>
            <w:gridSpan w:val="2"/>
            <w:noWrap/>
            <w:vAlign w:val="center"/>
          </w:tcPr>
          <w:p w:rsidR="00607AFC" w:rsidRDefault="00607AFC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0.155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Mental state</w:t>
            </w:r>
          </w:p>
        </w:tc>
        <w:tc>
          <w:tcPr>
            <w:tcW w:w="1033" w:type="pct"/>
            <w:noWrap/>
            <w:vAlign w:val="center"/>
          </w:tcPr>
          <w:p w:rsidR="00607AFC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1.8</w:t>
            </w:r>
          </w:p>
        </w:tc>
        <w:tc>
          <w:tcPr>
            <w:tcW w:w="1275" w:type="pct"/>
            <w:noWrap/>
            <w:vAlign w:val="center"/>
          </w:tcPr>
          <w:p w:rsidR="00607AFC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1.8</w:t>
            </w:r>
          </w:p>
        </w:tc>
        <w:tc>
          <w:tcPr>
            <w:tcW w:w="631" w:type="pct"/>
            <w:gridSpan w:val="2"/>
            <w:noWrap/>
            <w:vAlign w:val="center"/>
          </w:tcPr>
          <w:p w:rsidR="00607AFC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0.400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Hospice hospitalization period (day) 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17.0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14.0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0.095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2A2D5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Duration between Death and Exam (day)</w:t>
            </w:r>
          </w:p>
        </w:tc>
        <w:tc>
          <w:tcPr>
            <w:tcW w:w="1033" w:type="pct"/>
            <w:noWrap/>
            <w:vAlign w:val="center"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7.9</w:t>
            </w:r>
          </w:p>
        </w:tc>
        <w:tc>
          <w:tcPr>
            <w:tcW w:w="1275" w:type="pct"/>
            <w:noWrap/>
            <w:vAlign w:val="center"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6.2</w:t>
            </w:r>
          </w:p>
        </w:tc>
        <w:tc>
          <w:tcPr>
            <w:tcW w:w="631" w:type="pct"/>
            <w:gridSpan w:val="2"/>
            <w:noWrap/>
            <w:vAlign w:val="center"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0.006</w:t>
            </w:r>
          </w:p>
        </w:tc>
      </w:tr>
      <w:tr w:rsidR="00607AFC" w:rsidRPr="00531DF1" w:rsidTr="002B5BBA">
        <w:trPr>
          <w:trHeight w:val="36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White cell count (10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9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3F03A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12,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317.7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3F03A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,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677.7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0.169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Hemoglobin (g/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㎗</w:t>
            </w: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3F03A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10.1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9.8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0.219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Neutrophil-to-lymphocyte ratio (%)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0.456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Prothrombin time (INR) 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0.98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Blood urea nitrogen (mg/dL)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4.2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7A1EF7" w:rsidRDefault="00607AFC" w:rsidP="004D57A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</w:rPr>
              <w:t>4</w:t>
            </w:r>
            <w:r w:rsidR="004D57AF">
              <w:rPr>
                <w:rFonts w:ascii="Times New Roman" w:eastAsia="맑은 고딕" w:hAnsi="Times New Roman" w:cs="Times New Roman"/>
                <w:sz w:val="22"/>
              </w:rPr>
              <w:t>1.5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0.033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Creatinine (mg/dL)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0.116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lastRenderedPageBreak/>
              <w:t>Total protein (g/dL)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5.7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0.197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Albumin (g/dL)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2.6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0.432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AST (U/L)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74.3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86.1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0.543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ALT (U/L)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40.6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46.2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0.595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Total bilirubin (mg/dL) 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2.8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5.5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Uric acid (mg/dL)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5.6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0.543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Ca (mg/dL)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8.6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9.0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0.054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Na (mmol/L)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136.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6.2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0.842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K (mmol/L)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4.1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4.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0.896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 (mmol/L)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101.6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101.9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0.736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Mg (mg/dL)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2.1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2.2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0.279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Lactate Dehydrogenase (U/L)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845.3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689.8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0.501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C-reactive protein (mg/L)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4D57AF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</w:t>
            </w:r>
            <w:r w:rsidR="004D57AF">
              <w:rPr>
                <w:rFonts w:ascii="Times New Roman" w:eastAsia="맑은 고딕" w:hAnsi="Times New Roman" w:cs="Times New Roman"/>
                <w:color w:val="000000"/>
                <w:sz w:val="22"/>
              </w:rPr>
              <w:t>4.3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4D57AF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94.8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0.817</w:t>
            </w:r>
          </w:p>
        </w:tc>
      </w:tr>
      <w:tr w:rsidR="00607AFC" w:rsidRPr="00531DF1" w:rsidTr="002B5BBA">
        <w:trPr>
          <w:trHeight w:val="330"/>
        </w:trPr>
        <w:tc>
          <w:tcPr>
            <w:tcW w:w="2061" w:type="pct"/>
            <w:noWrap/>
            <w:hideMark/>
          </w:tcPr>
          <w:p w:rsidR="00607AFC" w:rsidRPr="00531DF1" w:rsidRDefault="00607AFC" w:rsidP="001B6028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31D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mGPS </w:t>
            </w:r>
          </w:p>
        </w:tc>
        <w:tc>
          <w:tcPr>
            <w:tcW w:w="1033" w:type="pct"/>
            <w:noWrap/>
            <w:vAlign w:val="center"/>
            <w:hideMark/>
          </w:tcPr>
          <w:p w:rsidR="00607AFC" w:rsidRPr="00531DF1" w:rsidRDefault="00607AFC" w:rsidP="003F03A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1.8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275" w:type="pct"/>
            <w:noWrap/>
            <w:vAlign w:val="center"/>
            <w:hideMark/>
          </w:tcPr>
          <w:p w:rsidR="00607AFC" w:rsidRPr="00531DF1" w:rsidRDefault="00607AFC" w:rsidP="003F03A7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</w:t>
            </w:r>
            <w:r w:rsid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631" w:type="pct"/>
            <w:gridSpan w:val="2"/>
            <w:noWrap/>
            <w:vAlign w:val="center"/>
            <w:hideMark/>
          </w:tcPr>
          <w:p w:rsidR="00607AFC" w:rsidRPr="00531DF1" w:rsidRDefault="003F03A7" w:rsidP="001B6028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F03A7">
              <w:rPr>
                <w:rFonts w:ascii="Times New Roman" w:eastAsia="맑은 고딕" w:hAnsi="Times New Roman" w:cs="Times New Roman"/>
                <w:color w:val="000000"/>
                <w:sz w:val="22"/>
              </w:rPr>
              <w:t>0.326</w:t>
            </w:r>
          </w:p>
        </w:tc>
      </w:tr>
    </w:tbl>
    <w:p w:rsidR="008642E3" w:rsidRDefault="002B5BBA" w:rsidP="002B5BBA">
      <w:pPr>
        <w:rPr>
          <w:rFonts w:hint="eastAsia"/>
        </w:rPr>
      </w:pPr>
      <w:r w:rsidRPr="002B5BBA">
        <w:rPr>
          <w:rFonts w:ascii="Times New Roman" w:hAnsi="Times New Roman" w:cs="Times New Roman"/>
          <w:sz w:val="22"/>
        </w:rPr>
        <w:t>Continuous variables were presented as means, whereas categorical variables were reported as percentages. ECOG; Eastern Cooperative Oncology Group, PPS; palliative performance scale, AST; aspartate aminotransferase, ALT; alanine aminotransferase, mGPS; modified Glasgow Prognostic Score</w:t>
      </w:r>
    </w:p>
    <w:sectPr w:rsidR="008642E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1FE" w:rsidRDefault="00F271FE" w:rsidP="002B5BBA">
      <w:pPr>
        <w:spacing w:after="0" w:line="240" w:lineRule="auto"/>
      </w:pPr>
      <w:r>
        <w:separator/>
      </w:r>
    </w:p>
  </w:endnote>
  <w:endnote w:type="continuationSeparator" w:id="0">
    <w:p w:rsidR="00F271FE" w:rsidRDefault="00F271FE" w:rsidP="002B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1FE" w:rsidRDefault="00F271FE" w:rsidP="002B5BBA">
      <w:pPr>
        <w:spacing w:after="0" w:line="240" w:lineRule="auto"/>
      </w:pPr>
      <w:r>
        <w:separator/>
      </w:r>
    </w:p>
  </w:footnote>
  <w:footnote w:type="continuationSeparator" w:id="0">
    <w:p w:rsidR="00F271FE" w:rsidRDefault="00F271FE" w:rsidP="002B5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FC"/>
    <w:rsid w:val="001B6BA8"/>
    <w:rsid w:val="002B5BBA"/>
    <w:rsid w:val="003F03A7"/>
    <w:rsid w:val="004D57AF"/>
    <w:rsid w:val="00607AFC"/>
    <w:rsid w:val="008642E3"/>
    <w:rsid w:val="00F2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AE129"/>
  <w15:chartTrackingRefBased/>
  <w15:docId w15:val="{DEA39687-7A84-4B69-8FCB-3AFC1FF4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AFC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3</cp:revision>
  <dcterms:created xsi:type="dcterms:W3CDTF">2026-08-13T04:52:00Z</dcterms:created>
  <dcterms:modified xsi:type="dcterms:W3CDTF">2026-08-14T01:30:00Z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4">
    <vt:lpwstr>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</vt:lpwstr>
  </property>
  <property fmtid="{D5CDD505-2E9C-101B-9397-08002B2CF9AE}" name="FDRClass" pid="5">
    <vt:lpwstr>0</vt:lpwstr>
  </property>
  <property fmtid="{D5CDD505-2E9C-101B-9397-08002B2CF9AE}" name="FDRSet" pid="6">
    <vt:lpwstr>manual</vt:lpwstr>
  </property>
</Properties>
</file>