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F8F3F" w14:textId="77777777" w:rsidR="00F25ED1" w:rsidRPr="00677ACC" w:rsidRDefault="00F25ED1" w:rsidP="00F25ED1">
      <w:pPr>
        <w:pStyle w:val="NormalWeb"/>
        <w:spacing w:before="0" w:beforeAutospacing="0" w:after="0" w:afterAutospacing="0" w:line="480" w:lineRule="auto"/>
        <w:rPr>
          <w:b/>
          <w:bCs/>
        </w:rPr>
      </w:pPr>
      <w:r w:rsidRPr="006279AD">
        <w:rPr>
          <w:b/>
          <w:bCs/>
          <w:highlight w:val="yellow"/>
        </w:rPr>
        <w:t>Article Type: Review Article</w:t>
      </w:r>
    </w:p>
    <w:p w14:paraId="0BB72B39" w14:textId="77777777" w:rsidR="00F25ED1" w:rsidRDefault="00F25ED1" w:rsidP="00F25ED1">
      <w:pPr>
        <w:pStyle w:val="NormalWeb"/>
        <w:spacing w:before="0" w:beforeAutospacing="0" w:after="0" w:afterAutospacing="0" w:line="480" w:lineRule="auto"/>
        <w:rPr>
          <w:b/>
          <w:bCs/>
          <w:lang w:eastAsia="zh-CN"/>
        </w:rPr>
      </w:pPr>
    </w:p>
    <w:p w14:paraId="2C175F9A" w14:textId="4FE47DB3" w:rsidR="00F25ED1" w:rsidRPr="00677ACC" w:rsidRDefault="00F25ED1" w:rsidP="00F25ED1">
      <w:pPr>
        <w:pStyle w:val="NormalWeb"/>
        <w:spacing w:before="0" w:beforeAutospacing="0" w:after="0" w:afterAutospacing="0" w:line="480" w:lineRule="auto"/>
      </w:pPr>
      <w:r>
        <w:rPr>
          <w:b/>
          <w:bCs/>
        </w:rPr>
        <w:t xml:space="preserve">Title: </w:t>
      </w:r>
      <w:r w:rsidRPr="00677ACC">
        <w:rPr>
          <w:b/>
          <w:bCs/>
        </w:rPr>
        <w:t>Catatonia in the Medically Ill and Dying: A Review for Palliative Care Clinicians</w:t>
      </w:r>
    </w:p>
    <w:p w14:paraId="17BB7030" w14:textId="77777777" w:rsidR="00F25ED1" w:rsidRDefault="00F25ED1" w:rsidP="00F25ED1">
      <w:pPr>
        <w:spacing w:line="480" w:lineRule="auto"/>
        <w:rPr>
          <w:lang w:eastAsia="zh-CN"/>
        </w:rPr>
      </w:pPr>
    </w:p>
    <w:p w14:paraId="20AE1010" w14:textId="6BC60959" w:rsidR="006279AD" w:rsidRDefault="006279AD" w:rsidP="00F25ED1">
      <w:pPr>
        <w:spacing w:line="480" w:lineRule="auto"/>
        <w:rPr>
          <w:lang w:eastAsia="zh-CN"/>
        </w:rPr>
      </w:pPr>
      <w:r w:rsidRPr="006279AD">
        <w:rPr>
          <w:b/>
          <w:bCs/>
          <w:lang w:eastAsia="zh-CN"/>
        </w:rPr>
        <w:t>Running Title</w:t>
      </w:r>
      <w:r>
        <w:rPr>
          <w:rFonts w:ascii="SimSun" w:eastAsia="SimSun" w:hAnsi="SimSun" w:cs="SimSun"/>
          <w:b/>
          <w:bCs/>
          <w:lang w:eastAsia="zh-CN"/>
        </w:rPr>
        <w:t xml:space="preserve">: </w:t>
      </w:r>
      <w:r w:rsidRPr="006279AD">
        <w:rPr>
          <w:lang w:eastAsia="zh-CN"/>
        </w:rPr>
        <w:t>Catatonia in the Medically Ill and Dying</w:t>
      </w:r>
    </w:p>
    <w:p w14:paraId="136FDF0A" w14:textId="77777777" w:rsidR="006279AD" w:rsidRPr="00677ACC" w:rsidRDefault="006279AD" w:rsidP="00F25ED1">
      <w:pPr>
        <w:spacing w:line="480" w:lineRule="auto"/>
        <w:rPr>
          <w:lang w:eastAsia="zh-CN"/>
        </w:rPr>
      </w:pPr>
    </w:p>
    <w:p w14:paraId="0CCBA1BB" w14:textId="77777777" w:rsidR="00F25ED1" w:rsidRPr="00677ACC" w:rsidRDefault="00F25ED1" w:rsidP="00F25ED1">
      <w:pPr>
        <w:pStyle w:val="NormalWeb"/>
        <w:spacing w:before="0" w:beforeAutospacing="0" w:after="0" w:afterAutospacing="0" w:line="480" w:lineRule="auto"/>
      </w:pPr>
      <w:r w:rsidRPr="00677ACC">
        <w:rPr>
          <w:b/>
          <w:bCs/>
        </w:rPr>
        <w:t>Authors:</w:t>
      </w:r>
    </w:p>
    <w:p w14:paraId="7B083090" w14:textId="77777777" w:rsidR="00F25ED1" w:rsidRPr="00677ACC" w:rsidRDefault="00F25ED1" w:rsidP="00F25ED1">
      <w:pPr>
        <w:pStyle w:val="NormalWeb"/>
        <w:spacing w:before="0" w:beforeAutospacing="0" w:after="0" w:afterAutospacing="0" w:line="480" w:lineRule="auto"/>
      </w:pPr>
      <w:r w:rsidRPr="00677ACC">
        <w:t>Gregg A. Robbins-Welty, MD, MS (1,2)</w:t>
      </w:r>
    </w:p>
    <w:p w14:paraId="043BF5E8" w14:textId="77777777" w:rsidR="00F25ED1" w:rsidRPr="00677ACC" w:rsidRDefault="00F25ED1" w:rsidP="00F25ED1">
      <w:pPr>
        <w:pStyle w:val="NormalWeb"/>
        <w:spacing w:before="0" w:beforeAutospacing="0" w:after="0" w:afterAutospacing="0" w:line="480" w:lineRule="auto"/>
      </w:pPr>
      <w:r w:rsidRPr="00677ACC">
        <w:t>Lauren Gensler, MD (2)</w:t>
      </w:r>
    </w:p>
    <w:p w14:paraId="0B5586D9" w14:textId="77777777" w:rsidR="00F25ED1" w:rsidRPr="00677ACC" w:rsidRDefault="00F25ED1" w:rsidP="00F25ED1">
      <w:pPr>
        <w:pStyle w:val="NormalWeb"/>
        <w:spacing w:before="0" w:beforeAutospacing="0" w:after="0" w:afterAutospacing="0" w:line="480" w:lineRule="auto"/>
      </w:pPr>
      <w:r w:rsidRPr="00677ACC">
        <w:t>Ben Kalivas, MD (3)</w:t>
      </w:r>
    </w:p>
    <w:p w14:paraId="6B22E3D5" w14:textId="77777777" w:rsidR="00F25ED1" w:rsidRPr="00677ACC" w:rsidRDefault="00F25ED1" w:rsidP="00F25ED1">
      <w:pPr>
        <w:pStyle w:val="NormalWeb"/>
        <w:spacing w:before="0" w:beforeAutospacing="0" w:after="0" w:afterAutospacing="0" w:line="480" w:lineRule="auto"/>
      </w:pPr>
      <w:r w:rsidRPr="00677ACC">
        <w:t>Jo Ellen Wilson, MD, PhD, MPH (4)</w:t>
      </w:r>
    </w:p>
    <w:p w14:paraId="348B5AA4" w14:textId="77777777" w:rsidR="00F25ED1" w:rsidRPr="00677ACC" w:rsidRDefault="00F25ED1" w:rsidP="00F25ED1">
      <w:pPr>
        <w:pStyle w:val="NormalWeb"/>
        <w:spacing w:before="0" w:beforeAutospacing="0" w:after="0" w:afterAutospacing="0" w:line="480" w:lineRule="auto"/>
      </w:pPr>
      <w:r w:rsidRPr="00677ACC">
        <w:t>Joshua R. Smith, MD (4)</w:t>
      </w:r>
    </w:p>
    <w:p w14:paraId="61210D95" w14:textId="77777777" w:rsidR="00F25ED1" w:rsidRPr="00677ACC" w:rsidRDefault="00F25ED1" w:rsidP="00F25ED1">
      <w:pPr>
        <w:pStyle w:val="NormalWeb"/>
        <w:spacing w:before="0" w:beforeAutospacing="0" w:after="0" w:afterAutospacing="0" w:line="480" w:lineRule="auto"/>
      </w:pPr>
      <w:r w:rsidRPr="00677ACC">
        <w:t>Paul Lindenfeld MD (5)    </w:t>
      </w:r>
    </w:p>
    <w:p w14:paraId="4C12FC52" w14:textId="77777777" w:rsidR="00F25ED1" w:rsidRPr="00677ACC" w:rsidRDefault="00F25ED1" w:rsidP="00F25ED1">
      <w:pPr>
        <w:pStyle w:val="NormalWeb"/>
        <w:spacing w:before="0" w:beforeAutospacing="0" w:after="0" w:afterAutospacing="0" w:line="480" w:lineRule="auto"/>
      </w:pPr>
      <w:r w:rsidRPr="00677ACC">
        <w:t>Paul Riordan, MD (6)</w:t>
      </w:r>
    </w:p>
    <w:p w14:paraId="0F66C4E9" w14:textId="77777777" w:rsidR="00F25ED1" w:rsidRPr="00677ACC" w:rsidRDefault="00F25ED1" w:rsidP="00F25ED1">
      <w:pPr>
        <w:pStyle w:val="NormalWeb"/>
        <w:spacing w:before="0" w:beforeAutospacing="0" w:after="0" w:afterAutospacing="0" w:line="480" w:lineRule="auto"/>
      </w:pPr>
      <w:r w:rsidRPr="00677ACC">
        <w:t>Andrew Coulter, MD (7)</w:t>
      </w:r>
    </w:p>
    <w:p w14:paraId="749CE06E" w14:textId="77777777" w:rsidR="00F25ED1" w:rsidRPr="00847639" w:rsidRDefault="00F25ED1" w:rsidP="00F25ED1">
      <w:pPr>
        <w:pStyle w:val="NormalWeb"/>
        <w:spacing w:before="0" w:beforeAutospacing="0" w:after="0" w:afterAutospacing="0" w:line="480" w:lineRule="auto"/>
        <w:rPr>
          <w:lang w:val="fr-FR"/>
        </w:rPr>
      </w:pPr>
      <w:r w:rsidRPr="00847639">
        <w:rPr>
          <w:lang w:val="fr-FR"/>
        </w:rPr>
        <w:t xml:space="preserve">Dan </w:t>
      </w:r>
      <w:proofErr w:type="spellStart"/>
      <w:r w:rsidRPr="00847639">
        <w:rPr>
          <w:lang w:val="fr-FR"/>
        </w:rPr>
        <w:t>Fishman</w:t>
      </w:r>
      <w:proofErr w:type="spellEnd"/>
      <w:r w:rsidRPr="00847639">
        <w:rPr>
          <w:lang w:val="fr-FR"/>
        </w:rPr>
        <w:t>, MD (8)</w:t>
      </w:r>
    </w:p>
    <w:p w14:paraId="415AC83C" w14:textId="77777777" w:rsidR="00F25ED1" w:rsidRPr="00677ACC" w:rsidRDefault="00F25ED1" w:rsidP="00F25ED1">
      <w:pPr>
        <w:pStyle w:val="NormalWeb"/>
        <w:spacing w:before="0" w:beforeAutospacing="0" w:after="0" w:afterAutospacing="0" w:line="480" w:lineRule="auto"/>
      </w:pPr>
      <w:r w:rsidRPr="00677ACC">
        <w:t xml:space="preserve">Paul </w:t>
      </w:r>
      <w:proofErr w:type="spellStart"/>
      <w:r w:rsidRPr="00677ACC">
        <w:t>Noufi</w:t>
      </w:r>
      <w:proofErr w:type="spellEnd"/>
      <w:r w:rsidRPr="00677ACC">
        <w:t>, MD (</w:t>
      </w:r>
      <w:r>
        <w:t>9</w:t>
      </w:r>
      <w:r w:rsidRPr="00677ACC">
        <w:t>)</w:t>
      </w:r>
    </w:p>
    <w:p w14:paraId="52C06B68" w14:textId="77777777" w:rsidR="00F25ED1" w:rsidRPr="00677ACC" w:rsidRDefault="00F25ED1" w:rsidP="00F25ED1">
      <w:pPr>
        <w:spacing w:line="480" w:lineRule="auto"/>
      </w:pPr>
    </w:p>
    <w:p w14:paraId="3AE544CE" w14:textId="77777777" w:rsidR="00F25ED1" w:rsidRPr="00677ACC" w:rsidRDefault="00F25ED1" w:rsidP="00F25ED1">
      <w:pPr>
        <w:pStyle w:val="NormalWeb"/>
        <w:spacing w:before="0" w:beforeAutospacing="0" w:after="0" w:afterAutospacing="0" w:line="480" w:lineRule="auto"/>
      </w:pPr>
      <w:r w:rsidRPr="00677ACC">
        <w:rPr>
          <w:b/>
          <w:bCs/>
        </w:rPr>
        <w:t>Affiliations:</w:t>
      </w:r>
    </w:p>
    <w:p w14:paraId="088D6C61" w14:textId="37DDC85A" w:rsidR="00F25ED1" w:rsidRPr="00677ACC" w:rsidRDefault="00F25ED1" w:rsidP="00F25ED1">
      <w:pPr>
        <w:pStyle w:val="NormalWeb"/>
        <w:numPr>
          <w:ilvl w:val="0"/>
          <w:numId w:val="2"/>
        </w:numPr>
        <w:spacing w:before="240" w:beforeAutospacing="0" w:after="0" w:afterAutospacing="0" w:line="480" w:lineRule="auto"/>
        <w:ind w:left="1440"/>
        <w:textAlignment w:val="baseline"/>
      </w:pPr>
      <w:r w:rsidRPr="00677ACC">
        <w:t xml:space="preserve">Department of Family and Preventive Medicine, Emory University School of Medicine, Atlanta, </w:t>
      </w:r>
      <w:proofErr w:type="gramStart"/>
      <w:r w:rsidRPr="00677ACC">
        <w:t>GA</w:t>
      </w:r>
      <w:r w:rsidR="006279AD">
        <w:rPr>
          <w:rFonts w:ascii="SimSun" w:eastAsia="SimSun" w:hAnsi="SimSun" w:cs="SimSun"/>
          <w:lang w:eastAsia="zh-CN"/>
        </w:rPr>
        <w:t>,</w:t>
      </w:r>
      <w:r w:rsidR="006279AD" w:rsidRPr="006279AD">
        <w:t>USA</w:t>
      </w:r>
      <w:proofErr w:type="gramEnd"/>
      <w:r w:rsidR="006279AD" w:rsidRPr="006279AD">
        <w:t xml:space="preserve"> </w:t>
      </w:r>
    </w:p>
    <w:p w14:paraId="34837B0A" w14:textId="6B267FA2" w:rsidR="00F25ED1" w:rsidRPr="00677ACC" w:rsidRDefault="00F25ED1" w:rsidP="00F25ED1">
      <w:pPr>
        <w:pStyle w:val="NormalWeb"/>
        <w:numPr>
          <w:ilvl w:val="0"/>
          <w:numId w:val="2"/>
        </w:numPr>
        <w:spacing w:before="0" w:beforeAutospacing="0" w:after="0" w:afterAutospacing="0" w:line="480" w:lineRule="auto"/>
        <w:ind w:left="1440"/>
        <w:textAlignment w:val="baseline"/>
      </w:pPr>
      <w:r w:rsidRPr="00677ACC">
        <w:t xml:space="preserve">Departments of Medicine and Psychiatry and Behavioral Sciences, Emory University School of Medicine and Grady Memorial Hospital, Atlanta, </w:t>
      </w:r>
      <w:proofErr w:type="gramStart"/>
      <w:r w:rsidRPr="00677ACC">
        <w:t>GA</w:t>
      </w:r>
      <w:r w:rsidR="006279AD">
        <w:rPr>
          <w:rFonts w:ascii="SimSun" w:eastAsia="SimSun" w:hAnsi="SimSun" w:cs="SimSun"/>
          <w:lang w:eastAsia="zh-CN"/>
        </w:rPr>
        <w:t>,</w:t>
      </w:r>
      <w:r w:rsidR="006279AD" w:rsidRPr="006279AD">
        <w:t>USA</w:t>
      </w:r>
      <w:proofErr w:type="gramEnd"/>
    </w:p>
    <w:p w14:paraId="3313F225" w14:textId="15F5500B" w:rsidR="00F25ED1" w:rsidRPr="00677ACC" w:rsidRDefault="00F25ED1" w:rsidP="00F25ED1">
      <w:pPr>
        <w:pStyle w:val="NormalWeb"/>
        <w:numPr>
          <w:ilvl w:val="0"/>
          <w:numId w:val="2"/>
        </w:numPr>
        <w:spacing w:before="0" w:beforeAutospacing="0" w:after="0" w:afterAutospacing="0" w:line="480" w:lineRule="auto"/>
        <w:ind w:left="1440"/>
        <w:textAlignment w:val="baseline"/>
      </w:pPr>
      <w:r w:rsidRPr="00677ACC">
        <w:lastRenderedPageBreak/>
        <w:t xml:space="preserve">Departments of Medicine and Psychiatry and Behavioral Sciences, Medical University of South Carolina, Charleston, </w:t>
      </w:r>
      <w:proofErr w:type="gramStart"/>
      <w:r w:rsidRPr="00677ACC">
        <w:t>SC</w:t>
      </w:r>
      <w:r w:rsidR="006279AD">
        <w:rPr>
          <w:rFonts w:ascii="SimSun" w:eastAsia="SimSun" w:hAnsi="SimSun" w:cs="SimSun"/>
          <w:lang w:eastAsia="zh-CN"/>
        </w:rPr>
        <w:t>,</w:t>
      </w:r>
      <w:r w:rsidR="006279AD" w:rsidRPr="006279AD">
        <w:t>USA</w:t>
      </w:r>
      <w:proofErr w:type="gramEnd"/>
    </w:p>
    <w:p w14:paraId="1F3D422C" w14:textId="71838BE5" w:rsidR="00F25ED1" w:rsidRPr="00677ACC" w:rsidRDefault="00F25ED1" w:rsidP="00F25ED1">
      <w:pPr>
        <w:pStyle w:val="NormalWeb"/>
        <w:numPr>
          <w:ilvl w:val="0"/>
          <w:numId w:val="2"/>
        </w:numPr>
        <w:spacing w:before="0" w:beforeAutospacing="0" w:after="0" w:afterAutospacing="0" w:line="480" w:lineRule="auto"/>
        <w:ind w:left="1440"/>
        <w:textAlignment w:val="baseline"/>
      </w:pPr>
      <w:r w:rsidRPr="00677ACC">
        <w:t xml:space="preserve">Department of Psychiatry and Behavioral Sciences, Vanderbilt University School of Medicine and Department of Veterans Affairs, Geriatric Research, Education and Clinical Center (GRECC), Nashville, </w:t>
      </w:r>
      <w:proofErr w:type="gramStart"/>
      <w:r w:rsidRPr="00677ACC">
        <w:t>TN</w:t>
      </w:r>
      <w:r w:rsidR="006279AD">
        <w:rPr>
          <w:rFonts w:ascii="SimSun" w:eastAsia="SimSun" w:hAnsi="SimSun" w:cs="SimSun"/>
          <w:lang w:eastAsia="zh-CN"/>
        </w:rPr>
        <w:t>,</w:t>
      </w:r>
      <w:r w:rsidR="006279AD" w:rsidRPr="006279AD">
        <w:t>USA</w:t>
      </w:r>
      <w:proofErr w:type="gramEnd"/>
    </w:p>
    <w:p w14:paraId="0C204577" w14:textId="6AED39C6"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 xml:space="preserve">Department of Medicine, University of California San Francisco School of Medicine, San Francisco, </w:t>
      </w:r>
      <w:proofErr w:type="gramStart"/>
      <w:r w:rsidRPr="00677ACC">
        <w:t>CA</w:t>
      </w:r>
      <w:r w:rsidR="006279AD">
        <w:rPr>
          <w:rFonts w:ascii="SimSun" w:eastAsia="SimSun" w:hAnsi="SimSun" w:cs="SimSun"/>
          <w:lang w:eastAsia="zh-CN"/>
        </w:rPr>
        <w:t>,</w:t>
      </w:r>
      <w:r w:rsidR="006279AD" w:rsidRPr="006279AD">
        <w:t>USA</w:t>
      </w:r>
      <w:proofErr w:type="gramEnd"/>
    </w:p>
    <w:p w14:paraId="4D15918A" w14:textId="229C6F1B"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 xml:space="preserve">Departments of Psychiatry, Duke University School of Medicine, Durham, </w:t>
      </w:r>
      <w:proofErr w:type="gramStart"/>
      <w:r w:rsidRPr="00677ACC">
        <w:t>NC</w:t>
      </w:r>
      <w:r w:rsidR="006279AD">
        <w:rPr>
          <w:rFonts w:ascii="SimSun" w:eastAsia="SimSun" w:hAnsi="SimSun" w:cs="SimSun"/>
          <w:lang w:eastAsia="zh-CN"/>
        </w:rPr>
        <w:t>,</w:t>
      </w:r>
      <w:r w:rsidR="006279AD" w:rsidRPr="006279AD">
        <w:t>USA</w:t>
      </w:r>
      <w:proofErr w:type="gramEnd"/>
    </w:p>
    <w:p w14:paraId="4F7D3486" w14:textId="56E1677C"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 xml:space="preserve">Department of Psychiatry, University of Pittsburgh School of Medicine, Pittsburgh, </w:t>
      </w:r>
      <w:proofErr w:type="gramStart"/>
      <w:r w:rsidRPr="00677ACC">
        <w:t>PA</w:t>
      </w:r>
      <w:r w:rsidR="006279AD">
        <w:rPr>
          <w:rFonts w:ascii="SimSun" w:eastAsia="SimSun" w:hAnsi="SimSun" w:cs="SimSun"/>
          <w:lang w:eastAsia="zh-CN"/>
        </w:rPr>
        <w:t>,</w:t>
      </w:r>
      <w:r w:rsidR="006279AD" w:rsidRPr="006279AD">
        <w:t>USA</w:t>
      </w:r>
      <w:proofErr w:type="gramEnd"/>
    </w:p>
    <w:p w14:paraId="1154C6E8" w14:textId="2E795CE2" w:rsidR="00F25ED1" w:rsidRPr="00677ACC" w:rsidRDefault="00F25ED1" w:rsidP="00F25ED1">
      <w:pPr>
        <w:pStyle w:val="NormalWeb"/>
        <w:numPr>
          <w:ilvl w:val="0"/>
          <w:numId w:val="2"/>
        </w:numPr>
        <w:spacing w:before="0" w:beforeAutospacing="0" w:after="0" w:afterAutospacing="0" w:line="480" w:lineRule="auto"/>
        <w:ind w:left="1440"/>
        <w:jc w:val="both"/>
        <w:textAlignment w:val="baseline"/>
      </w:pPr>
      <w:r w:rsidRPr="00677ACC">
        <w:t xml:space="preserve"> Department of Psychiatry and Behavioral Sciences, Stanford University School of Medicine, Palo Alto, </w:t>
      </w:r>
      <w:proofErr w:type="gramStart"/>
      <w:r w:rsidRPr="00677ACC">
        <w:t>CA</w:t>
      </w:r>
      <w:r w:rsidR="006279AD">
        <w:rPr>
          <w:rFonts w:ascii="SimSun" w:eastAsia="SimSun" w:hAnsi="SimSun" w:cs="SimSun"/>
          <w:lang w:eastAsia="zh-CN"/>
        </w:rPr>
        <w:t>,</w:t>
      </w:r>
      <w:r w:rsidR="006279AD" w:rsidRPr="006279AD">
        <w:t>USA</w:t>
      </w:r>
      <w:proofErr w:type="gramEnd"/>
    </w:p>
    <w:p w14:paraId="7C5F7E08" w14:textId="53B3D7E1" w:rsidR="00F25ED1" w:rsidRPr="00677ACC" w:rsidRDefault="00F25ED1" w:rsidP="00F25ED1">
      <w:pPr>
        <w:pStyle w:val="NormalWeb"/>
        <w:numPr>
          <w:ilvl w:val="0"/>
          <w:numId w:val="2"/>
        </w:numPr>
        <w:spacing w:before="0" w:beforeAutospacing="0" w:after="240" w:afterAutospacing="0" w:line="480" w:lineRule="auto"/>
        <w:ind w:left="1440"/>
        <w:jc w:val="both"/>
        <w:textAlignment w:val="baseline"/>
      </w:pPr>
      <w:r w:rsidRPr="00677ACC">
        <w:t xml:space="preserve">Departments of Psychiatry and Medicine, Georgetown University School of Medicine, Washington, </w:t>
      </w:r>
      <w:proofErr w:type="gramStart"/>
      <w:r w:rsidRPr="00677ACC">
        <w:t>DC</w:t>
      </w:r>
      <w:r w:rsidR="006279AD">
        <w:rPr>
          <w:rFonts w:ascii="SimSun" w:eastAsia="SimSun" w:hAnsi="SimSun" w:cs="SimSun"/>
          <w:lang w:eastAsia="zh-CN"/>
        </w:rPr>
        <w:t>,</w:t>
      </w:r>
      <w:r w:rsidR="006279AD" w:rsidRPr="006279AD">
        <w:t>USA</w:t>
      </w:r>
      <w:proofErr w:type="gramEnd"/>
    </w:p>
    <w:p w14:paraId="20508CD6" w14:textId="77777777" w:rsidR="00F25ED1" w:rsidRPr="00677ACC" w:rsidRDefault="00F25ED1" w:rsidP="00F25ED1">
      <w:pPr>
        <w:spacing w:line="480" w:lineRule="auto"/>
      </w:pPr>
    </w:p>
    <w:p w14:paraId="6E978051" w14:textId="177F9A4D" w:rsidR="00F25ED1" w:rsidRDefault="00F25ED1" w:rsidP="00F25ED1">
      <w:pPr>
        <w:pStyle w:val="NormalWeb"/>
        <w:spacing w:before="0" w:beforeAutospacing="0" w:after="0" w:afterAutospacing="0" w:line="480" w:lineRule="auto"/>
      </w:pPr>
      <w:r w:rsidRPr="00677ACC">
        <w:rPr>
          <w:b/>
          <w:bCs/>
        </w:rPr>
        <w:t>Corresponding Author:</w:t>
      </w:r>
      <w:r w:rsidR="002E03EF">
        <w:t xml:space="preserve"> </w:t>
      </w:r>
      <w:r w:rsidRPr="00677ACC">
        <w:t>Gregg Robbins-Welty, MD, MS, HEC-C</w:t>
      </w:r>
    </w:p>
    <w:p w14:paraId="1D716AFC" w14:textId="05E7193C" w:rsidR="002E03EF" w:rsidRDefault="002E03EF" w:rsidP="002E03EF">
      <w:pPr>
        <w:pStyle w:val="NormalWeb"/>
        <w:spacing w:before="240" w:beforeAutospacing="0" w:after="0" w:afterAutospacing="0" w:line="480" w:lineRule="auto"/>
        <w:textAlignment w:val="baseline"/>
      </w:pPr>
      <w:r w:rsidRPr="00677ACC">
        <w:t>Department of Family and Preventive Medicine, Emory University School of Medicine</w:t>
      </w:r>
      <w:r>
        <w:t xml:space="preserve">; </w:t>
      </w:r>
      <w:r w:rsidRPr="00677ACC">
        <w:t>Departments of Medicine and Psychiatry and Behavioral Sciences, Emory University School of Medicine and Grady Memorial Hospital</w:t>
      </w:r>
    </w:p>
    <w:p w14:paraId="45229EFC" w14:textId="77777777" w:rsidR="00F25ED1" w:rsidRDefault="00F25ED1" w:rsidP="00F25ED1">
      <w:r>
        <w:t xml:space="preserve">Emory Faculty Office Building – Office 273. </w:t>
      </w:r>
    </w:p>
    <w:p w14:paraId="5C39F140" w14:textId="6D8F0FED" w:rsidR="00F25ED1" w:rsidRPr="002E03EF" w:rsidRDefault="00F25ED1" w:rsidP="002E03EF">
      <w:pPr>
        <w:pStyle w:val="NormalWeb"/>
        <w:spacing w:before="0" w:beforeAutospacing="0" w:after="0" w:afterAutospacing="0" w:line="480" w:lineRule="auto"/>
        <w:textAlignment w:val="baseline"/>
      </w:pPr>
      <w:r w:rsidRPr="00873D18">
        <w:rPr>
          <w:rFonts w:ascii="Roboto" w:hAnsi="Roboto"/>
          <w:color w:val="1F1F1F"/>
        </w:rPr>
        <w:t xml:space="preserve">49 Jesse Hill Jr Dr SE, Atlanta, GA </w:t>
      </w:r>
      <w:proofErr w:type="gramStart"/>
      <w:r w:rsidRPr="00873D18">
        <w:rPr>
          <w:rFonts w:ascii="Roboto" w:hAnsi="Roboto"/>
          <w:color w:val="1F1F1F"/>
        </w:rPr>
        <w:t>30303</w:t>
      </w:r>
      <w:r w:rsidR="002E03EF">
        <w:rPr>
          <w:rFonts w:ascii="SimSun" w:eastAsia="SimSun" w:hAnsi="SimSun" w:cs="SimSun"/>
          <w:lang w:eastAsia="zh-CN"/>
        </w:rPr>
        <w:t>,</w:t>
      </w:r>
      <w:r w:rsidR="002E03EF" w:rsidRPr="006279AD">
        <w:t>USA</w:t>
      </w:r>
      <w:proofErr w:type="gramEnd"/>
    </w:p>
    <w:p w14:paraId="35E91DEF" w14:textId="77777777" w:rsidR="00F25ED1" w:rsidRDefault="00F25ED1" w:rsidP="00F25ED1">
      <w:pPr>
        <w:pStyle w:val="NormalWeb"/>
        <w:spacing w:before="0" w:beforeAutospacing="0" w:after="0" w:afterAutospacing="0" w:line="480" w:lineRule="auto"/>
      </w:pPr>
      <w:hyperlink r:id="rId6" w:history="1">
        <w:r w:rsidRPr="00677ACC">
          <w:rPr>
            <w:rStyle w:val="Hyperlink"/>
            <w:rFonts w:eastAsiaTheme="majorEastAsia"/>
          </w:rPr>
          <w:t>greggrobbinswelty@gmail.com</w:t>
        </w:r>
      </w:hyperlink>
    </w:p>
    <w:p w14:paraId="4B2E3310" w14:textId="77777777" w:rsidR="00F25ED1" w:rsidRPr="00677ACC" w:rsidRDefault="00F25ED1" w:rsidP="00F25ED1">
      <w:pPr>
        <w:pStyle w:val="NormalWeb"/>
        <w:spacing w:before="0" w:beforeAutospacing="0" w:after="0" w:afterAutospacing="0" w:line="480" w:lineRule="auto"/>
      </w:pPr>
      <w:r>
        <w:t>(716) 581 - 2951</w:t>
      </w:r>
    </w:p>
    <w:p w14:paraId="4669D377" w14:textId="1A7C2A7C" w:rsidR="00F25ED1" w:rsidRDefault="00156D32" w:rsidP="00F25ED1">
      <w:pPr>
        <w:spacing w:line="480" w:lineRule="auto"/>
        <w:rPr>
          <w:lang w:eastAsia="zh-CN"/>
        </w:rPr>
      </w:pPr>
      <w:r w:rsidRPr="00156D32">
        <w:rPr>
          <w:b/>
          <w:bCs/>
        </w:rPr>
        <w:t>ORCID: </w:t>
      </w:r>
      <w:hyperlink r:id="rId7" w:tgtFrame="_blank" w:history="1">
        <w:r w:rsidRPr="00156D32">
          <w:rPr>
            <w:rStyle w:val="Hyperlink"/>
          </w:rPr>
          <w:t>0000-0003-4516-7368</w:t>
        </w:r>
      </w:hyperlink>
    </w:p>
    <w:p w14:paraId="41E28042" w14:textId="77777777" w:rsidR="00156D32" w:rsidRDefault="00156D32" w:rsidP="00F25ED1">
      <w:pPr>
        <w:spacing w:line="480" w:lineRule="auto"/>
        <w:rPr>
          <w:lang w:eastAsia="zh-CN"/>
        </w:rPr>
      </w:pPr>
    </w:p>
    <w:p w14:paraId="3064A205" w14:textId="77777777" w:rsidR="00156D32" w:rsidRPr="00677ACC" w:rsidRDefault="00156D32" w:rsidP="00F25ED1">
      <w:pPr>
        <w:spacing w:line="480" w:lineRule="auto"/>
        <w:rPr>
          <w:lang w:eastAsia="zh-CN"/>
        </w:rPr>
      </w:pPr>
    </w:p>
    <w:p w14:paraId="64E25039" w14:textId="77777777" w:rsidR="00F25ED1" w:rsidRPr="00677ACC" w:rsidRDefault="00F25ED1" w:rsidP="00F25ED1">
      <w:pPr>
        <w:pStyle w:val="NormalWeb"/>
        <w:spacing w:before="0" w:beforeAutospacing="0" w:after="0" w:afterAutospacing="0" w:line="480" w:lineRule="auto"/>
      </w:pPr>
      <w:r w:rsidRPr="00677ACC">
        <w:t>Word count:</w:t>
      </w:r>
      <w:r>
        <w:t xml:space="preserve"> 5652</w:t>
      </w:r>
    </w:p>
    <w:p w14:paraId="592C8C4C" w14:textId="77777777" w:rsidR="00F25ED1" w:rsidRPr="00677ACC" w:rsidRDefault="00F25ED1" w:rsidP="00F25ED1">
      <w:pPr>
        <w:pStyle w:val="NormalWeb"/>
        <w:spacing w:before="0" w:beforeAutospacing="0" w:after="0" w:afterAutospacing="0" w:line="480" w:lineRule="auto"/>
      </w:pPr>
      <w:r w:rsidRPr="00677ACC">
        <w:t>Figures/Tables:</w:t>
      </w:r>
      <w:r>
        <w:t xml:space="preserve"> 2, 3</w:t>
      </w:r>
    </w:p>
    <w:p w14:paraId="1D0F278A" w14:textId="77777777" w:rsidR="00F25ED1" w:rsidRPr="00677ACC" w:rsidRDefault="00F25ED1" w:rsidP="00F25ED1">
      <w:pPr>
        <w:spacing w:line="480" w:lineRule="auto"/>
      </w:pPr>
    </w:p>
    <w:p w14:paraId="696C8A22" w14:textId="77777777" w:rsidR="00F25ED1" w:rsidRPr="00677ACC" w:rsidRDefault="00F25ED1" w:rsidP="00F25ED1">
      <w:pPr>
        <w:pStyle w:val="NormalWeb"/>
        <w:spacing w:before="0" w:beforeAutospacing="0" w:after="0" w:afterAutospacing="0" w:line="480" w:lineRule="auto"/>
      </w:pPr>
      <w:r w:rsidRPr="002E03EF">
        <w:rPr>
          <w:b/>
          <w:bCs/>
        </w:rPr>
        <w:t xml:space="preserve">Keywords: </w:t>
      </w:r>
      <w:r w:rsidRPr="00677ACC">
        <w:t xml:space="preserve">catatonia, palliative care, serious illness, psychiatric aspects of palliative care, </w:t>
      </w:r>
      <w:r>
        <w:t>symptom management</w:t>
      </w:r>
    </w:p>
    <w:p w14:paraId="054A1AF6" w14:textId="77777777" w:rsidR="00F25ED1" w:rsidRDefault="00F25ED1" w:rsidP="00F25ED1">
      <w:pPr>
        <w:spacing w:line="480" w:lineRule="auto"/>
      </w:pPr>
    </w:p>
    <w:p w14:paraId="06F8F177" w14:textId="77777777" w:rsidR="00F25ED1" w:rsidRDefault="00F25ED1" w:rsidP="00F25ED1">
      <w:pPr>
        <w:spacing w:line="480" w:lineRule="auto"/>
      </w:pPr>
      <w:r>
        <w:t xml:space="preserve">Authors contribution &amp; Ethics: </w:t>
      </w:r>
    </w:p>
    <w:p w14:paraId="17540826" w14:textId="725736D1"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Conception and design:</w:t>
      </w:r>
      <w:r w:rsidR="002E03EF">
        <w:rPr>
          <w:sz w:val="22"/>
          <w:szCs w:val="22"/>
        </w:rPr>
        <w:t xml:space="preserve"> A</w:t>
      </w:r>
      <w:r>
        <w:rPr>
          <w:sz w:val="22"/>
          <w:szCs w:val="22"/>
        </w:rPr>
        <w:t>ll authors</w:t>
      </w:r>
    </w:p>
    <w:p w14:paraId="0DC949D6" w14:textId="3CDC58D7"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Administrative support:</w:t>
      </w:r>
      <w:r w:rsidR="002E03EF">
        <w:rPr>
          <w:sz w:val="22"/>
          <w:szCs w:val="22"/>
        </w:rPr>
        <w:t xml:space="preserve"> </w:t>
      </w:r>
      <w:r>
        <w:rPr>
          <w:sz w:val="22"/>
          <w:szCs w:val="22"/>
        </w:rPr>
        <w:t>n/a</w:t>
      </w:r>
    </w:p>
    <w:p w14:paraId="7E225AC6" w14:textId="592FE123"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Provision of study materials or patients:</w:t>
      </w:r>
      <w:r w:rsidR="002E03EF">
        <w:rPr>
          <w:sz w:val="22"/>
          <w:szCs w:val="22"/>
        </w:rPr>
        <w:t xml:space="preserve"> </w:t>
      </w:r>
      <w:r>
        <w:rPr>
          <w:sz w:val="22"/>
          <w:szCs w:val="22"/>
        </w:rPr>
        <w:t>n/a</w:t>
      </w:r>
      <w:r w:rsidRPr="0087060E">
        <w:rPr>
          <w:sz w:val="22"/>
          <w:szCs w:val="22"/>
        </w:rPr>
        <w:tab/>
      </w:r>
    </w:p>
    <w:p w14:paraId="07015B70" w14:textId="509244C0"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Collection and assembly of data:</w:t>
      </w:r>
      <w:r w:rsidR="002E03EF">
        <w:rPr>
          <w:sz w:val="22"/>
          <w:szCs w:val="22"/>
        </w:rPr>
        <w:t xml:space="preserve"> </w:t>
      </w:r>
      <w:r>
        <w:rPr>
          <w:sz w:val="22"/>
          <w:szCs w:val="22"/>
        </w:rPr>
        <w:t>n/a</w:t>
      </w:r>
    </w:p>
    <w:p w14:paraId="5A1D94C1" w14:textId="5BC4CFF1"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Data analysis and interpretation:</w:t>
      </w:r>
      <w:r w:rsidR="002E03EF">
        <w:rPr>
          <w:sz w:val="22"/>
          <w:szCs w:val="22"/>
        </w:rPr>
        <w:t xml:space="preserve"> A</w:t>
      </w:r>
      <w:r>
        <w:rPr>
          <w:sz w:val="22"/>
          <w:szCs w:val="22"/>
        </w:rPr>
        <w:t>ll authors</w:t>
      </w:r>
    </w:p>
    <w:p w14:paraId="3BE08B60" w14:textId="77777777" w:rsidR="00F25ED1" w:rsidRPr="0087060E" w:rsidRDefault="00F25ED1" w:rsidP="00F25ED1">
      <w:pPr>
        <w:pStyle w:val="ListParagraph"/>
        <w:widowControl w:val="0"/>
        <w:numPr>
          <w:ilvl w:val="1"/>
          <w:numId w:val="4"/>
        </w:numPr>
        <w:contextualSpacing w:val="0"/>
        <w:jc w:val="both"/>
        <w:rPr>
          <w:sz w:val="22"/>
          <w:szCs w:val="22"/>
        </w:rPr>
      </w:pPr>
      <w:r w:rsidRPr="0087060E">
        <w:rPr>
          <w:sz w:val="22"/>
          <w:szCs w:val="22"/>
        </w:rPr>
        <w:t>Manuscript writing: All authors</w:t>
      </w:r>
      <w:r w:rsidRPr="0087060E">
        <w:rPr>
          <w:sz w:val="22"/>
          <w:szCs w:val="22"/>
        </w:rPr>
        <w:tab/>
      </w:r>
      <w:r w:rsidRPr="0087060E">
        <w:rPr>
          <w:sz w:val="22"/>
          <w:szCs w:val="22"/>
        </w:rPr>
        <w:tab/>
      </w:r>
    </w:p>
    <w:p w14:paraId="304FC4DB" w14:textId="77777777" w:rsidR="00F25ED1" w:rsidRDefault="00F25ED1" w:rsidP="00F25ED1">
      <w:pPr>
        <w:pStyle w:val="ListParagraph"/>
        <w:widowControl w:val="0"/>
        <w:numPr>
          <w:ilvl w:val="1"/>
          <w:numId w:val="4"/>
        </w:numPr>
        <w:contextualSpacing w:val="0"/>
        <w:jc w:val="both"/>
        <w:rPr>
          <w:sz w:val="22"/>
          <w:szCs w:val="22"/>
        </w:rPr>
      </w:pPr>
      <w:r w:rsidRPr="0087060E">
        <w:rPr>
          <w:sz w:val="22"/>
          <w:szCs w:val="22"/>
        </w:rPr>
        <w:t>Final approval of manuscript: All authors</w:t>
      </w:r>
    </w:p>
    <w:p w14:paraId="1350EF7F" w14:textId="77777777" w:rsidR="002E03EF" w:rsidRPr="002E03EF" w:rsidRDefault="002E03EF" w:rsidP="002E03EF">
      <w:pPr>
        <w:widowControl w:val="0"/>
        <w:jc w:val="both"/>
        <w:rPr>
          <w:sz w:val="22"/>
          <w:szCs w:val="22"/>
        </w:rPr>
      </w:pPr>
    </w:p>
    <w:p w14:paraId="609B7B80" w14:textId="77777777" w:rsidR="002E03EF" w:rsidRPr="002E03EF" w:rsidRDefault="00F25ED1" w:rsidP="002E03EF">
      <w:pPr>
        <w:pStyle w:val="NormalWeb"/>
        <w:ind w:firstLineChars="150" w:firstLine="360"/>
        <w:rPr>
          <w:color w:val="000000"/>
        </w:rPr>
      </w:pPr>
      <w:r>
        <w:t xml:space="preserve">Abbreviations: </w:t>
      </w:r>
    </w:p>
    <w:p w14:paraId="501C8138" w14:textId="3369101A" w:rsidR="00F25ED1" w:rsidRDefault="00F25ED1" w:rsidP="00F25ED1">
      <w:pPr>
        <w:pStyle w:val="NormalWeb"/>
        <w:numPr>
          <w:ilvl w:val="0"/>
          <w:numId w:val="3"/>
        </w:numPr>
        <w:rPr>
          <w:color w:val="000000"/>
        </w:rPr>
      </w:pPr>
      <w:r>
        <w:rPr>
          <w:rStyle w:val="Strong"/>
          <w:rFonts w:eastAsiaTheme="majorEastAsia"/>
          <w:color w:val="000000"/>
        </w:rPr>
        <w:t>BFCRS</w:t>
      </w:r>
      <w:r>
        <w:rPr>
          <w:rStyle w:val="apple-converted-space"/>
          <w:rFonts w:eastAsiaTheme="majorEastAsia"/>
          <w:color w:val="000000"/>
        </w:rPr>
        <w:t> </w:t>
      </w:r>
      <w:r>
        <w:rPr>
          <w:color w:val="000000"/>
        </w:rPr>
        <w:t>— Bush–Francis Catatonia Rating Scale</w:t>
      </w:r>
    </w:p>
    <w:p w14:paraId="709616FC" w14:textId="77777777" w:rsidR="00F25ED1" w:rsidRDefault="00F25ED1" w:rsidP="00F25ED1">
      <w:pPr>
        <w:pStyle w:val="NormalWeb"/>
        <w:numPr>
          <w:ilvl w:val="0"/>
          <w:numId w:val="3"/>
        </w:numPr>
        <w:rPr>
          <w:color w:val="000000"/>
        </w:rPr>
      </w:pPr>
      <w:r>
        <w:rPr>
          <w:rStyle w:val="Strong"/>
          <w:rFonts w:eastAsiaTheme="majorEastAsia"/>
          <w:color w:val="000000"/>
        </w:rPr>
        <w:t>CAMC</w:t>
      </w:r>
      <w:r>
        <w:rPr>
          <w:rStyle w:val="apple-converted-space"/>
          <w:rFonts w:eastAsiaTheme="majorEastAsia"/>
          <w:color w:val="000000"/>
        </w:rPr>
        <w:t> </w:t>
      </w:r>
      <w:r>
        <w:rPr>
          <w:color w:val="000000"/>
        </w:rPr>
        <w:t>— Catatonia due to a Medical Condition</w:t>
      </w:r>
    </w:p>
    <w:p w14:paraId="48FCB2FD" w14:textId="77777777" w:rsidR="00F25ED1" w:rsidRDefault="00F25ED1" w:rsidP="00F25ED1">
      <w:pPr>
        <w:pStyle w:val="NormalWeb"/>
        <w:numPr>
          <w:ilvl w:val="0"/>
          <w:numId w:val="3"/>
        </w:numPr>
        <w:rPr>
          <w:color w:val="000000"/>
        </w:rPr>
      </w:pPr>
      <w:r>
        <w:rPr>
          <w:rStyle w:val="Strong"/>
          <w:rFonts w:eastAsiaTheme="majorEastAsia"/>
          <w:color w:val="000000"/>
        </w:rPr>
        <w:t>CAMD</w:t>
      </w:r>
      <w:r>
        <w:rPr>
          <w:rStyle w:val="apple-converted-space"/>
          <w:rFonts w:eastAsiaTheme="majorEastAsia"/>
          <w:color w:val="000000"/>
        </w:rPr>
        <w:t> </w:t>
      </w:r>
      <w:r>
        <w:rPr>
          <w:color w:val="000000"/>
        </w:rPr>
        <w:t>— Catatonia Associated with another Mental Disorder</w:t>
      </w:r>
    </w:p>
    <w:p w14:paraId="216B6DE7" w14:textId="77777777" w:rsidR="00F25ED1" w:rsidRDefault="00F25ED1" w:rsidP="00F25ED1">
      <w:pPr>
        <w:pStyle w:val="NormalWeb"/>
        <w:numPr>
          <w:ilvl w:val="0"/>
          <w:numId w:val="3"/>
        </w:numPr>
        <w:rPr>
          <w:color w:val="000000"/>
        </w:rPr>
      </w:pPr>
      <w:r>
        <w:rPr>
          <w:rStyle w:val="Strong"/>
          <w:rFonts w:eastAsiaTheme="majorEastAsia"/>
          <w:color w:val="000000"/>
        </w:rPr>
        <w:t>CSF</w:t>
      </w:r>
      <w:r>
        <w:rPr>
          <w:rStyle w:val="apple-converted-space"/>
          <w:rFonts w:eastAsiaTheme="majorEastAsia"/>
          <w:color w:val="000000"/>
        </w:rPr>
        <w:t> </w:t>
      </w:r>
      <w:r>
        <w:rPr>
          <w:color w:val="000000"/>
        </w:rPr>
        <w:t>— Cerebrospinal fluid</w:t>
      </w:r>
    </w:p>
    <w:p w14:paraId="3163F02A" w14:textId="77777777" w:rsidR="00F25ED1" w:rsidRDefault="00F25ED1" w:rsidP="00F25ED1">
      <w:pPr>
        <w:pStyle w:val="NormalWeb"/>
        <w:numPr>
          <w:ilvl w:val="0"/>
          <w:numId w:val="3"/>
        </w:numPr>
        <w:rPr>
          <w:color w:val="000000"/>
        </w:rPr>
      </w:pPr>
      <w:r>
        <w:rPr>
          <w:rStyle w:val="Strong"/>
          <w:rFonts w:eastAsiaTheme="majorEastAsia"/>
          <w:color w:val="000000"/>
        </w:rPr>
        <w:t>D2</w:t>
      </w:r>
      <w:r>
        <w:rPr>
          <w:rStyle w:val="apple-converted-space"/>
          <w:rFonts w:eastAsiaTheme="majorEastAsia"/>
          <w:color w:val="000000"/>
        </w:rPr>
        <w:t> </w:t>
      </w:r>
      <w:r>
        <w:rPr>
          <w:color w:val="000000"/>
        </w:rPr>
        <w:t>— Dopamine-2 (receptor)</w:t>
      </w:r>
    </w:p>
    <w:p w14:paraId="62014C67" w14:textId="77777777" w:rsidR="00F25ED1" w:rsidRDefault="00F25ED1" w:rsidP="00F25ED1">
      <w:pPr>
        <w:pStyle w:val="NormalWeb"/>
        <w:numPr>
          <w:ilvl w:val="0"/>
          <w:numId w:val="3"/>
        </w:numPr>
        <w:rPr>
          <w:color w:val="000000"/>
        </w:rPr>
      </w:pPr>
      <w:r>
        <w:rPr>
          <w:rStyle w:val="Strong"/>
          <w:rFonts w:eastAsiaTheme="majorEastAsia"/>
          <w:color w:val="000000"/>
        </w:rPr>
        <w:t>DSM-5-TR</w:t>
      </w:r>
      <w:r>
        <w:rPr>
          <w:rStyle w:val="apple-converted-space"/>
          <w:rFonts w:eastAsiaTheme="majorEastAsia"/>
          <w:color w:val="000000"/>
        </w:rPr>
        <w:t> </w:t>
      </w:r>
      <w:r>
        <w:rPr>
          <w:color w:val="000000"/>
        </w:rPr>
        <w:t>—</w:t>
      </w:r>
      <w:r>
        <w:rPr>
          <w:rStyle w:val="apple-converted-space"/>
          <w:rFonts w:eastAsiaTheme="majorEastAsia"/>
          <w:color w:val="000000"/>
        </w:rPr>
        <w:t> </w:t>
      </w:r>
      <w:r>
        <w:rPr>
          <w:rStyle w:val="Emphasis"/>
          <w:rFonts w:eastAsiaTheme="majorEastAsia"/>
          <w:color w:val="000000"/>
        </w:rPr>
        <w:t>Diagnostic and Statistical Manual of Mental Disorders</w:t>
      </w:r>
      <w:r>
        <w:rPr>
          <w:color w:val="000000"/>
        </w:rPr>
        <w:t>, Fifth Edition, Text Revision</w:t>
      </w:r>
    </w:p>
    <w:p w14:paraId="66DD00C1" w14:textId="77777777" w:rsidR="00F25ED1" w:rsidRDefault="00F25ED1" w:rsidP="00F25ED1">
      <w:pPr>
        <w:pStyle w:val="NormalWeb"/>
        <w:numPr>
          <w:ilvl w:val="0"/>
          <w:numId w:val="3"/>
        </w:numPr>
        <w:rPr>
          <w:color w:val="000000"/>
        </w:rPr>
      </w:pPr>
      <w:r>
        <w:rPr>
          <w:rStyle w:val="Strong"/>
          <w:rFonts w:eastAsiaTheme="majorEastAsia"/>
          <w:color w:val="000000"/>
        </w:rPr>
        <w:t>DVT</w:t>
      </w:r>
      <w:r>
        <w:rPr>
          <w:rStyle w:val="apple-converted-space"/>
          <w:rFonts w:eastAsiaTheme="majorEastAsia"/>
          <w:color w:val="000000"/>
        </w:rPr>
        <w:t> </w:t>
      </w:r>
      <w:r>
        <w:rPr>
          <w:color w:val="000000"/>
        </w:rPr>
        <w:t>— Deep vein thrombosis</w:t>
      </w:r>
    </w:p>
    <w:p w14:paraId="4772D730" w14:textId="77777777" w:rsidR="00F25ED1" w:rsidRDefault="00F25ED1" w:rsidP="00F25ED1">
      <w:pPr>
        <w:pStyle w:val="NormalWeb"/>
        <w:numPr>
          <w:ilvl w:val="0"/>
          <w:numId w:val="3"/>
        </w:numPr>
        <w:rPr>
          <w:color w:val="000000"/>
        </w:rPr>
      </w:pPr>
      <w:r>
        <w:rPr>
          <w:rStyle w:val="Strong"/>
          <w:rFonts w:eastAsiaTheme="majorEastAsia"/>
          <w:color w:val="000000"/>
        </w:rPr>
        <w:t>ECT</w:t>
      </w:r>
      <w:r>
        <w:rPr>
          <w:rStyle w:val="apple-converted-space"/>
          <w:rFonts w:eastAsiaTheme="majorEastAsia"/>
          <w:color w:val="000000"/>
        </w:rPr>
        <w:t> </w:t>
      </w:r>
      <w:r>
        <w:rPr>
          <w:color w:val="000000"/>
        </w:rPr>
        <w:t>— Electroconvulsive therapy</w:t>
      </w:r>
    </w:p>
    <w:p w14:paraId="1BB61592" w14:textId="77777777" w:rsidR="00F25ED1" w:rsidRDefault="00F25ED1" w:rsidP="00F25ED1">
      <w:pPr>
        <w:pStyle w:val="NormalWeb"/>
        <w:numPr>
          <w:ilvl w:val="0"/>
          <w:numId w:val="3"/>
        </w:numPr>
        <w:rPr>
          <w:color w:val="000000"/>
        </w:rPr>
      </w:pPr>
      <w:r>
        <w:rPr>
          <w:rStyle w:val="Strong"/>
          <w:rFonts w:eastAsiaTheme="majorEastAsia"/>
          <w:color w:val="000000"/>
        </w:rPr>
        <w:t>EEG</w:t>
      </w:r>
      <w:r>
        <w:rPr>
          <w:rStyle w:val="apple-converted-space"/>
          <w:rFonts w:eastAsiaTheme="majorEastAsia"/>
          <w:color w:val="000000"/>
        </w:rPr>
        <w:t> </w:t>
      </w:r>
      <w:r>
        <w:rPr>
          <w:color w:val="000000"/>
        </w:rPr>
        <w:t>— Electroencephalogram</w:t>
      </w:r>
    </w:p>
    <w:p w14:paraId="3366404E" w14:textId="77777777" w:rsidR="00F25ED1" w:rsidRDefault="00F25ED1" w:rsidP="00F25ED1">
      <w:pPr>
        <w:pStyle w:val="NormalWeb"/>
        <w:numPr>
          <w:ilvl w:val="0"/>
          <w:numId w:val="3"/>
        </w:numPr>
        <w:rPr>
          <w:color w:val="000000"/>
        </w:rPr>
      </w:pPr>
      <w:r>
        <w:rPr>
          <w:rStyle w:val="Strong"/>
          <w:rFonts w:eastAsiaTheme="majorEastAsia"/>
          <w:color w:val="000000"/>
        </w:rPr>
        <w:t>EOL</w:t>
      </w:r>
      <w:r>
        <w:rPr>
          <w:rStyle w:val="apple-converted-space"/>
          <w:rFonts w:eastAsiaTheme="majorEastAsia"/>
          <w:color w:val="000000"/>
        </w:rPr>
        <w:t> </w:t>
      </w:r>
      <w:r>
        <w:rPr>
          <w:color w:val="000000"/>
        </w:rPr>
        <w:t>— End of life</w:t>
      </w:r>
    </w:p>
    <w:p w14:paraId="74BDC800" w14:textId="77777777" w:rsidR="00F25ED1" w:rsidRDefault="00F25ED1" w:rsidP="00F25ED1">
      <w:pPr>
        <w:pStyle w:val="NormalWeb"/>
        <w:numPr>
          <w:ilvl w:val="0"/>
          <w:numId w:val="3"/>
        </w:numPr>
        <w:rPr>
          <w:color w:val="000000"/>
        </w:rPr>
      </w:pPr>
      <w:r>
        <w:rPr>
          <w:rStyle w:val="Strong"/>
          <w:rFonts w:eastAsiaTheme="majorEastAsia"/>
          <w:color w:val="000000"/>
        </w:rPr>
        <w:t>FDA</w:t>
      </w:r>
      <w:r>
        <w:rPr>
          <w:rStyle w:val="apple-converted-space"/>
          <w:rFonts w:eastAsiaTheme="majorEastAsia"/>
          <w:color w:val="000000"/>
        </w:rPr>
        <w:t> </w:t>
      </w:r>
      <w:r>
        <w:rPr>
          <w:color w:val="000000"/>
        </w:rPr>
        <w:t>— (U.S.) Food and Drug Administration</w:t>
      </w:r>
    </w:p>
    <w:p w14:paraId="2FAE95C5" w14:textId="77777777" w:rsidR="00F25ED1" w:rsidRDefault="00F25ED1" w:rsidP="00F25ED1">
      <w:pPr>
        <w:pStyle w:val="NormalWeb"/>
        <w:numPr>
          <w:ilvl w:val="0"/>
          <w:numId w:val="3"/>
        </w:numPr>
        <w:rPr>
          <w:color w:val="000000"/>
        </w:rPr>
      </w:pPr>
      <w:r>
        <w:rPr>
          <w:rStyle w:val="Strong"/>
          <w:rFonts w:eastAsiaTheme="majorEastAsia"/>
          <w:color w:val="000000"/>
        </w:rPr>
        <w:lastRenderedPageBreak/>
        <w:t>GABA</w:t>
      </w:r>
      <w:r>
        <w:rPr>
          <w:rStyle w:val="apple-converted-space"/>
          <w:rFonts w:eastAsiaTheme="majorEastAsia"/>
          <w:color w:val="000000"/>
        </w:rPr>
        <w:t> </w:t>
      </w:r>
      <w:r>
        <w:rPr>
          <w:color w:val="000000"/>
        </w:rPr>
        <w:t>— Gamma-aminobutyric acid</w:t>
      </w:r>
    </w:p>
    <w:p w14:paraId="57B48473" w14:textId="77777777" w:rsidR="00F25ED1" w:rsidRDefault="00F25ED1" w:rsidP="00F25ED1">
      <w:pPr>
        <w:pStyle w:val="NormalWeb"/>
        <w:numPr>
          <w:ilvl w:val="0"/>
          <w:numId w:val="3"/>
        </w:numPr>
        <w:rPr>
          <w:color w:val="000000"/>
        </w:rPr>
      </w:pPr>
      <w:r>
        <w:rPr>
          <w:rStyle w:val="Strong"/>
          <w:rFonts w:eastAsiaTheme="majorEastAsia"/>
          <w:color w:val="000000"/>
        </w:rPr>
        <w:t>GOC</w:t>
      </w:r>
      <w:r>
        <w:rPr>
          <w:rStyle w:val="apple-converted-space"/>
          <w:rFonts w:eastAsiaTheme="majorEastAsia"/>
          <w:color w:val="000000"/>
        </w:rPr>
        <w:t> </w:t>
      </w:r>
      <w:r>
        <w:rPr>
          <w:color w:val="000000"/>
        </w:rPr>
        <w:t>— Goals of care</w:t>
      </w:r>
    </w:p>
    <w:p w14:paraId="434A2078" w14:textId="77777777" w:rsidR="00F25ED1" w:rsidRDefault="00F25ED1" w:rsidP="00F25ED1">
      <w:pPr>
        <w:pStyle w:val="NormalWeb"/>
        <w:numPr>
          <w:ilvl w:val="0"/>
          <w:numId w:val="3"/>
        </w:numPr>
        <w:rPr>
          <w:color w:val="000000"/>
        </w:rPr>
      </w:pPr>
      <w:r>
        <w:rPr>
          <w:rStyle w:val="Strong"/>
          <w:rFonts w:eastAsiaTheme="majorEastAsia"/>
          <w:color w:val="000000"/>
        </w:rPr>
        <w:t>ICD-11</w:t>
      </w:r>
      <w:r>
        <w:rPr>
          <w:rStyle w:val="apple-converted-space"/>
          <w:rFonts w:eastAsiaTheme="majorEastAsia"/>
          <w:color w:val="000000"/>
        </w:rPr>
        <w:t> </w:t>
      </w:r>
      <w:r>
        <w:rPr>
          <w:color w:val="000000"/>
        </w:rPr>
        <w:t>—</w:t>
      </w:r>
      <w:r>
        <w:rPr>
          <w:rStyle w:val="apple-converted-space"/>
          <w:rFonts w:eastAsiaTheme="majorEastAsia"/>
          <w:color w:val="000000"/>
        </w:rPr>
        <w:t> </w:t>
      </w:r>
      <w:r>
        <w:rPr>
          <w:rStyle w:val="Emphasis"/>
          <w:rFonts w:eastAsiaTheme="majorEastAsia"/>
          <w:color w:val="000000"/>
        </w:rPr>
        <w:t>International Classification of Diseases</w:t>
      </w:r>
      <w:r>
        <w:rPr>
          <w:color w:val="000000"/>
        </w:rPr>
        <w:t>, 11th Revision</w:t>
      </w:r>
    </w:p>
    <w:p w14:paraId="0DCC7CA1" w14:textId="77777777" w:rsidR="00F25ED1" w:rsidRDefault="00F25ED1" w:rsidP="00F25ED1">
      <w:pPr>
        <w:pStyle w:val="NormalWeb"/>
        <w:numPr>
          <w:ilvl w:val="0"/>
          <w:numId w:val="3"/>
        </w:numPr>
        <w:rPr>
          <w:color w:val="000000"/>
        </w:rPr>
      </w:pPr>
      <w:r>
        <w:rPr>
          <w:rStyle w:val="Strong"/>
          <w:rFonts w:eastAsiaTheme="majorEastAsia"/>
          <w:color w:val="000000"/>
        </w:rPr>
        <w:t>ICU / ICUs</w:t>
      </w:r>
      <w:r>
        <w:rPr>
          <w:rStyle w:val="apple-converted-space"/>
          <w:rFonts w:eastAsiaTheme="majorEastAsia"/>
          <w:color w:val="000000"/>
        </w:rPr>
        <w:t> </w:t>
      </w:r>
      <w:r>
        <w:rPr>
          <w:color w:val="000000"/>
        </w:rPr>
        <w:t>— Intensive care unit(s)</w:t>
      </w:r>
    </w:p>
    <w:p w14:paraId="78D5E894" w14:textId="77777777" w:rsidR="00F25ED1" w:rsidRDefault="00F25ED1" w:rsidP="00F25ED1">
      <w:pPr>
        <w:pStyle w:val="NormalWeb"/>
        <w:numPr>
          <w:ilvl w:val="0"/>
          <w:numId w:val="3"/>
        </w:numPr>
        <w:rPr>
          <w:color w:val="000000"/>
        </w:rPr>
      </w:pPr>
      <w:r>
        <w:rPr>
          <w:rStyle w:val="Strong"/>
          <w:rFonts w:eastAsiaTheme="majorEastAsia"/>
          <w:color w:val="000000"/>
        </w:rPr>
        <w:t>IM</w:t>
      </w:r>
      <w:r>
        <w:rPr>
          <w:rStyle w:val="apple-converted-space"/>
          <w:rFonts w:eastAsiaTheme="majorEastAsia"/>
          <w:color w:val="000000"/>
        </w:rPr>
        <w:t> </w:t>
      </w:r>
      <w:r>
        <w:rPr>
          <w:color w:val="000000"/>
        </w:rPr>
        <w:t>— Intramuscular</w:t>
      </w:r>
    </w:p>
    <w:p w14:paraId="41486988" w14:textId="77777777" w:rsidR="00F25ED1" w:rsidRDefault="00F25ED1" w:rsidP="00F25ED1">
      <w:pPr>
        <w:pStyle w:val="NormalWeb"/>
        <w:numPr>
          <w:ilvl w:val="0"/>
          <w:numId w:val="3"/>
        </w:numPr>
        <w:rPr>
          <w:color w:val="000000"/>
        </w:rPr>
      </w:pPr>
      <w:r>
        <w:rPr>
          <w:rStyle w:val="Strong"/>
          <w:rFonts w:eastAsiaTheme="majorEastAsia"/>
          <w:color w:val="000000"/>
        </w:rPr>
        <w:t>IV</w:t>
      </w:r>
      <w:r>
        <w:rPr>
          <w:rStyle w:val="apple-converted-space"/>
          <w:rFonts w:eastAsiaTheme="majorEastAsia"/>
          <w:color w:val="000000"/>
        </w:rPr>
        <w:t> </w:t>
      </w:r>
      <w:r>
        <w:rPr>
          <w:color w:val="000000"/>
        </w:rPr>
        <w:t>— Intravenous</w:t>
      </w:r>
    </w:p>
    <w:p w14:paraId="12055250" w14:textId="77777777" w:rsidR="00F25ED1" w:rsidRDefault="00F25ED1" w:rsidP="00F25ED1">
      <w:pPr>
        <w:pStyle w:val="NormalWeb"/>
        <w:numPr>
          <w:ilvl w:val="0"/>
          <w:numId w:val="3"/>
        </w:numPr>
        <w:rPr>
          <w:color w:val="000000"/>
        </w:rPr>
      </w:pPr>
      <w:r>
        <w:rPr>
          <w:rStyle w:val="Strong"/>
          <w:rFonts w:eastAsiaTheme="majorEastAsia"/>
          <w:color w:val="000000"/>
        </w:rPr>
        <w:t>NMDA</w:t>
      </w:r>
      <w:r>
        <w:rPr>
          <w:rStyle w:val="apple-converted-space"/>
          <w:rFonts w:eastAsiaTheme="majorEastAsia"/>
          <w:color w:val="000000"/>
        </w:rPr>
        <w:t> </w:t>
      </w:r>
      <w:r>
        <w:rPr>
          <w:color w:val="000000"/>
        </w:rPr>
        <w:t>— N-methyl-D-aspartate</w:t>
      </w:r>
    </w:p>
    <w:p w14:paraId="71337A9C" w14:textId="77777777" w:rsidR="00F25ED1" w:rsidRDefault="00F25ED1" w:rsidP="00F25ED1">
      <w:pPr>
        <w:pStyle w:val="NormalWeb"/>
        <w:numPr>
          <w:ilvl w:val="0"/>
          <w:numId w:val="3"/>
        </w:numPr>
        <w:rPr>
          <w:color w:val="000000"/>
        </w:rPr>
      </w:pPr>
      <w:r>
        <w:rPr>
          <w:rStyle w:val="Strong"/>
          <w:rFonts w:eastAsiaTheme="majorEastAsia"/>
          <w:color w:val="000000"/>
        </w:rPr>
        <w:t>PC</w:t>
      </w:r>
      <w:r>
        <w:rPr>
          <w:rStyle w:val="apple-converted-space"/>
          <w:rFonts w:eastAsiaTheme="majorEastAsia"/>
          <w:color w:val="000000"/>
        </w:rPr>
        <w:t> </w:t>
      </w:r>
      <w:r>
        <w:rPr>
          <w:color w:val="000000"/>
        </w:rPr>
        <w:t>— Palliative care</w:t>
      </w:r>
    </w:p>
    <w:p w14:paraId="5EF3B1AC" w14:textId="77777777" w:rsidR="00F25ED1" w:rsidRDefault="00F25ED1" w:rsidP="00F25ED1">
      <w:pPr>
        <w:pStyle w:val="NormalWeb"/>
        <w:numPr>
          <w:ilvl w:val="0"/>
          <w:numId w:val="3"/>
        </w:numPr>
        <w:rPr>
          <w:color w:val="000000"/>
        </w:rPr>
      </w:pPr>
      <w:r>
        <w:rPr>
          <w:rStyle w:val="Strong"/>
          <w:rFonts w:eastAsiaTheme="majorEastAsia"/>
          <w:color w:val="000000"/>
        </w:rPr>
        <w:t>PE</w:t>
      </w:r>
      <w:r>
        <w:rPr>
          <w:rStyle w:val="apple-converted-space"/>
          <w:rFonts w:eastAsiaTheme="majorEastAsia"/>
          <w:color w:val="000000"/>
        </w:rPr>
        <w:t> </w:t>
      </w:r>
      <w:r>
        <w:rPr>
          <w:color w:val="000000"/>
        </w:rPr>
        <w:t>— Pulmonary embolism / emboli</w:t>
      </w:r>
    </w:p>
    <w:p w14:paraId="45F40F31" w14:textId="77777777" w:rsidR="00F25ED1" w:rsidRDefault="00F25ED1" w:rsidP="00F25ED1">
      <w:pPr>
        <w:pStyle w:val="NormalWeb"/>
        <w:numPr>
          <w:ilvl w:val="0"/>
          <w:numId w:val="3"/>
        </w:numPr>
        <w:rPr>
          <w:color w:val="000000"/>
        </w:rPr>
      </w:pPr>
      <w:r>
        <w:rPr>
          <w:rStyle w:val="Strong"/>
          <w:rFonts w:eastAsiaTheme="majorEastAsia"/>
          <w:color w:val="000000"/>
        </w:rPr>
        <w:t>QOL</w:t>
      </w:r>
      <w:r>
        <w:rPr>
          <w:rStyle w:val="apple-converted-space"/>
          <w:rFonts w:eastAsiaTheme="majorEastAsia"/>
          <w:color w:val="000000"/>
        </w:rPr>
        <w:t> </w:t>
      </w:r>
      <w:r>
        <w:rPr>
          <w:color w:val="000000"/>
        </w:rPr>
        <w:t>— Quality of life</w:t>
      </w:r>
    </w:p>
    <w:p w14:paraId="3EF7A05F" w14:textId="77777777" w:rsidR="00F25ED1" w:rsidRDefault="00F25ED1" w:rsidP="00F25ED1">
      <w:pPr>
        <w:pStyle w:val="NormalWeb"/>
        <w:numPr>
          <w:ilvl w:val="0"/>
          <w:numId w:val="3"/>
        </w:numPr>
        <w:rPr>
          <w:color w:val="000000"/>
        </w:rPr>
      </w:pPr>
      <w:r>
        <w:rPr>
          <w:rStyle w:val="Strong"/>
          <w:rFonts w:eastAsiaTheme="majorEastAsia"/>
          <w:color w:val="000000"/>
        </w:rPr>
        <w:t>TMS</w:t>
      </w:r>
      <w:r>
        <w:rPr>
          <w:rStyle w:val="apple-converted-space"/>
          <w:rFonts w:eastAsiaTheme="majorEastAsia"/>
          <w:color w:val="000000"/>
        </w:rPr>
        <w:t> </w:t>
      </w:r>
      <w:r>
        <w:rPr>
          <w:color w:val="000000"/>
        </w:rPr>
        <w:t>— Transcranial magnetic stimulation</w:t>
      </w:r>
    </w:p>
    <w:p w14:paraId="3CD0209F" w14:textId="77777777" w:rsidR="00F25ED1" w:rsidRDefault="00F25ED1" w:rsidP="00F25ED1">
      <w:pPr>
        <w:pStyle w:val="NormalWeb"/>
        <w:numPr>
          <w:ilvl w:val="0"/>
          <w:numId w:val="3"/>
        </w:numPr>
        <w:rPr>
          <w:color w:val="000000"/>
        </w:rPr>
      </w:pPr>
      <w:r>
        <w:rPr>
          <w:rStyle w:val="Strong"/>
          <w:rFonts w:eastAsiaTheme="majorEastAsia"/>
          <w:color w:val="000000"/>
        </w:rPr>
        <w:t>VTE</w:t>
      </w:r>
      <w:r>
        <w:rPr>
          <w:rStyle w:val="apple-converted-space"/>
          <w:rFonts w:eastAsiaTheme="majorEastAsia"/>
          <w:color w:val="000000"/>
        </w:rPr>
        <w:t> </w:t>
      </w:r>
      <w:r>
        <w:rPr>
          <w:color w:val="000000"/>
        </w:rPr>
        <w:t>— Venous thromboembolism</w:t>
      </w:r>
    </w:p>
    <w:p w14:paraId="178051E0" w14:textId="77777777" w:rsidR="00F25ED1" w:rsidRDefault="00F25ED1" w:rsidP="00F25ED1"/>
    <w:p w14:paraId="4BF2950C" w14:textId="77777777" w:rsidR="00F25ED1" w:rsidRDefault="00F25ED1" w:rsidP="00677ACC">
      <w:pPr>
        <w:pStyle w:val="NormalWeb"/>
        <w:spacing w:before="0" w:beforeAutospacing="0" w:after="0" w:afterAutospacing="0" w:line="480" w:lineRule="auto"/>
        <w:rPr>
          <w:b/>
          <w:bCs/>
          <w:u w:val="single"/>
          <w:lang w:eastAsia="zh-CN"/>
        </w:rPr>
      </w:pPr>
    </w:p>
    <w:p w14:paraId="3AA5965B" w14:textId="77777777" w:rsidR="00F25ED1" w:rsidRDefault="00F25ED1" w:rsidP="00677ACC">
      <w:pPr>
        <w:pStyle w:val="NormalWeb"/>
        <w:spacing w:before="0" w:beforeAutospacing="0" w:after="0" w:afterAutospacing="0" w:line="480" w:lineRule="auto"/>
        <w:rPr>
          <w:b/>
          <w:bCs/>
          <w:u w:val="single"/>
          <w:lang w:eastAsia="zh-CN"/>
        </w:rPr>
      </w:pPr>
    </w:p>
    <w:p w14:paraId="75940A2E" w14:textId="20AD7D1D" w:rsidR="0016432B" w:rsidRPr="00677ACC" w:rsidRDefault="0016432B" w:rsidP="00677ACC">
      <w:pPr>
        <w:pStyle w:val="NormalWeb"/>
        <w:spacing w:before="0" w:beforeAutospacing="0" w:after="0" w:afterAutospacing="0" w:line="480" w:lineRule="auto"/>
      </w:pPr>
      <w:r w:rsidRPr="00677ACC">
        <w:rPr>
          <w:b/>
          <w:bCs/>
          <w:u w:val="single"/>
        </w:rPr>
        <w:t>Abstract:</w:t>
      </w:r>
    </w:p>
    <w:p w14:paraId="0F72CFA7" w14:textId="69DD93E2" w:rsidR="0016432B" w:rsidRPr="00677ACC" w:rsidRDefault="0016432B" w:rsidP="00677ACC">
      <w:pPr>
        <w:pStyle w:val="NormalWeb"/>
        <w:spacing w:before="0" w:beforeAutospacing="0" w:after="0" w:afterAutospacing="0" w:line="480" w:lineRule="auto"/>
      </w:pPr>
      <w:r w:rsidRPr="00677ACC">
        <w:t xml:space="preserve">Catatonia is a severe and potentially life-threatening but often reversible neuropsychiatric syndrome. While commonly associated with psychiatric disorders, it is increasingly recognized in medically ill populations, including patients with serious illness. Catatonia frequently overlaps with delirium, dementia, and end-of-life changes, and can mimic irreversible decline, contributing to missed diagnoses and goal-discordant care. Palliative care (PC) clinicians are uniquely positioned to identify and treat catatonia in this context, yet awareness and familiarity with its </w:t>
      </w:r>
      <w:r w:rsidR="007F4BA9" w:rsidRPr="00677ACC">
        <w:t xml:space="preserve">assessment and </w:t>
      </w:r>
      <w:r w:rsidRPr="00677ACC">
        <w:t>management remain limited outside of psychiatric settings.</w:t>
      </w:r>
    </w:p>
    <w:p w14:paraId="429503EC" w14:textId="5E3DBCBA" w:rsidR="0016432B" w:rsidRPr="00677ACC" w:rsidRDefault="008104FC" w:rsidP="00677ACC">
      <w:pPr>
        <w:pStyle w:val="NormalWeb"/>
        <w:spacing w:line="480" w:lineRule="auto"/>
      </w:pPr>
      <w:r w:rsidRPr="008104FC">
        <w:t>This review aims to synthesize current evidence and provide practical guidance to help PC clinicians recognize, assess, and manage catatonia in patients with serious illness.</w:t>
      </w:r>
      <w:r>
        <w:t xml:space="preserve"> We</w:t>
      </w:r>
      <w:r w:rsidR="0016432B" w:rsidRPr="00677ACC">
        <w:t xml:space="preserve"> highlight the epidemiology, pathophysiology, clinical features, </w:t>
      </w:r>
      <w:r w:rsidR="005124BB" w:rsidRPr="00677ACC">
        <w:t xml:space="preserve">assessment </w:t>
      </w:r>
      <w:r w:rsidR="0016432B" w:rsidRPr="00677ACC">
        <w:t xml:space="preserve">and </w:t>
      </w:r>
      <w:r w:rsidR="005124BB" w:rsidRPr="00677ACC">
        <w:t>management</w:t>
      </w:r>
      <w:r w:rsidR="0016432B" w:rsidRPr="00677ACC">
        <w:t xml:space="preserve"> of catatonia in seriously ill patients, with a focus on practical application for PC clinicians. We </w:t>
      </w:r>
      <w:r>
        <w:t xml:space="preserve">also </w:t>
      </w:r>
      <w:r w:rsidR="0016432B" w:rsidRPr="00677ACC">
        <w:t xml:space="preserve">provide guidance on screening, diagnosis, and treatment—emphasizing the use of bedside tools such as the Bush-Francis Catatonia Rating Scale and the lorazepam challenge—and review first-line and </w:t>
      </w:r>
      <w:r w:rsidR="0016432B" w:rsidRPr="00677ACC">
        <w:lastRenderedPageBreak/>
        <w:t xml:space="preserve">adjunctive therapies, including </w:t>
      </w:r>
      <w:r w:rsidRPr="00677ACC">
        <w:t>benzodi</w:t>
      </w:r>
      <w:r>
        <w:t>a</w:t>
      </w:r>
      <w:r w:rsidRPr="00677ACC">
        <w:t>zepines</w:t>
      </w:r>
      <w:r w:rsidR="005124BB" w:rsidRPr="00677ACC">
        <w:t xml:space="preserve"> </w:t>
      </w:r>
      <w:r w:rsidR="0016432B" w:rsidRPr="00677ACC">
        <w:t>and electroconvulsive therapy. Clinical overlap with delirium and other forms of altered mental status is discussed, as is the importance of incorporating catatonia into routine diagnostic frameworks and prognostic conversations.</w:t>
      </w:r>
    </w:p>
    <w:p w14:paraId="69C44ECC" w14:textId="25964913" w:rsidR="0016432B" w:rsidRDefault="0016432B" w:rsidP="00677ACC">
      <w:pPr>
        <w:pStyle w:val="NormalWeb"/>
        <w:spacing w:line="480" w:lineRule="auto"/>
      </w:pPr>
      <w:r w:rsidRPr="00677ACC">
        <w:t xml:space="preserve">Recognizing and treating catatonia can relieve suffering, restore communication, and shift clinical trajectories in ways that support patients’ goals of care. Awareness of catatonia among </w:t>
      </w:r>
      <w:r w:rsidR="004A6623" w:rsidRPr="00677ACC">
        <w:t>PC</w:t>
      </w:r>
      <w:r w:rsidRPr="00677ACC">
        <w:t xml:space="preserve"> teams can lead to earlier diagnosis, effective treatment, and better alignment of care with patient values.</w:t>
      </w:r>
    </w:p>
    <w:p w14:paraId="38635CDC" w14:textId="77777777" w:rsidR="006021E2" w:rsidRPr="00677ACC" w:rsidRDefault="006021E2" w:rsidP="00677ACC">
      <w:pPr>
        <w:pStyle w:val="NormalWeb"/>
        <w:spacing w:line="480" w:lineRule="auto"/>
      </w:pPr>
    </w:p>
    <w:p w14:paraId="16AAF853" w14:textId="77777777" w:rsidR="0016432B" w:rsidRPr="00677ACC" w:rsidRDefault="0016432B" w:rsidP="00677ACC">
      <w:pPr>
        <w:spacing w:line="480" w:lineRule="auto"/>
        <w:rPr>
          <w:b/>
          <w:bCs/>
          <w:u w:val="single"/>
        </w:rPr>
      </w:pPr>
      <w:r w:rsidRPr="00677ACC">
        <w:rPr>
          <w:b/>
          <w:bCs/>
          <w:u w:val="single"/>
        </w:rPr>
        <w:t>Introduction:</w:t>
      </w:r>
    </w:p>
    <w:p w14:paraId="55B2F0E2" w14:textId="6CB154C6" w:rsidR="00D262E2" w:rsidRPr="00677ACC" w:rsidRDefault="00D262E2" w:rsidP="00677ACC">
      <w:pPr>
        <w:spacing w:line="480" w:lineRule="auto"/>
      </w:pPr>
      <w:r w:rsidRPr="00677ACC">
        <w:t xml:space="preserve">Catatonia is a complex neuropsychiatric syndrome that can be life-threatening if not recognized and treated promptly. Although frequently encountered by psychiatrists and commonly linked to mental disorders, catatonia is not limited to psychiatric illness. While mood disorders remain the most common underlying cause, catatonia can also occur in the context of </w:t>
      </w:r>
      <w:r w:rsidR="004A6623" w:rsidRPr="00677ACC">
        <w:t xml:space="preserve">medical illness including </w:t>
      </w:r>
      <w:r w:rsidRPr="00677ACC">
        <w:t>neurological disease, malignancy, autoimmune disease, or systemic infection</w:t>
      </w:r>
      <w:r w:rsidR="004A6623" w:rsidRPr="00677ACC">
        <w:t xml:space="preserve"> </w:t>
      </w:r>
      <w:r w:rsidR="004A6623" w:rsidRPr="00677ACC">
        <w:fldChar w:fldCharType="begin" w:fldLock="1"/>
      </w:r>
      <w:r w:rsidR="008104FC">
        <w:instrText>ADDIN CSL_CITATION {"citationItems":[{"id":"ITEM-1","itemData":{"author":[{"dropping-particle":"","family":"Association","given":"American Psychiatric","non-dropping-particle":"","parse-names":false,"suffix":""}],"container-title":"American Psychiatric Press, Inc.","id":"ITEM-1","issued":{"date-parts":[["2022"]]},"title":"Diagnostic and Statistical Manual of Mental Disorders, Text Revision Dsm-5-tr 5th Edition","type":"article-journal"},"uris":["http://www.mendeley.com/documents/?uuid=47ff78f0-f4c2-4706-97e4-5f9d1a940da0"]},{"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mendeley":{"formattedCitation":"(1,2)","plainTextFormattedCitation":"(1,2)","previouslyFormattedCitation":"(1,2)"},"properties":{"noteIndex":0},"schema":"https://github.com/citation-style-language/schema/raw/master/csl-citation.json"}</w:instrText>
      </w:r>
      <w:r w:rsidR="004A6623" w:rsidRPr="00677ACC">
        <w:fldChar w:fldCharType="separate"/>
      </w:r>
      <w:r w:rsidR="002C7F0B" w:rsidRPr="002C7F0B">
        <w:rPr>
          <w:noProof/>
        </w:rPr>
        <w:t>(1,2)</w:t>
      </w:r>
      <w:r w:rsidR="004A6623" w:rsidRPr="00677ACC">
        <w:fldChar w:fldCharType="end"/>
      </w:r>
      <w:r w:rsidR="008104FC">
        <w:t>.</w:t>
      </w:r>
      <w:r w:rsidRPr="00677ACC">
        <w:t xml:space="preserve"> As a result, it may present across a wide range of clinical settings, including general medical wards, intensive care units (ICU</w:t>
      </w:r>
      <w:r w:rsidR="00005A96" w:rsidRPr="00677ACC">
        <w:t>s</w:t>
      </w:r>
      <w:r w:rsidRPr="00677ACC">
        <w:t>), and palliative care (PC) clinics</w:t>
      </w:r>
      <w:r w:rsidR="008104FC">
        <w:t xml:space="preserve"> </w:t>
      </w:r>
      <w:r w:rsidRPr="00677ACC">
        <w:fldChar w:fldCharType="begin" w:fldLock="1"/>
      </w:r>
      <w:r w:rsidR="008104FC">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A.","non-dropping-particle":"","parse-names":false,"suffix":""}],"container-title":"Psychosomatics","id":"ITEM-3","issue":"4","issued":{"date-parts":[["2018","7","1"]]},"page":"333-340","publisher":"Psychosomatics","title":"The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(2–4)","plainTextFormattedCitation":"(2–4)","previouslyFormattedCitation":"(2–4)"},"properties":{"noteIndex":0},"schema":"https://github.com/citation-style-language/schema/raw/master/csl-citation.json"}</w:instrText>
      </w:r>
      <w:r w:rsidRPr="00677ACC">
        <w:fldChar w:fldCharType="separate"/>
      </w:r>
      <w:r w:rsidR="002C7F0B" w:rsidRPr="002C7F0B">
        <w:rPr>
          <w:noProof/>
        </w:rPr>
        <w:t>(2–4)</w:t>
      </w:r>
      <w:r w:rsidRPr="00677ACC">
        <w:fldChar w:fldCharType="end"/>
      </w:r>
      <w:r w:rsidR="008104FC">
        <w:t>.</w:t>
      </w:r>
    </w:p>
    <w:p w14:paraId="5EA01E9E" w14:textId="77777777" w:rsidR="00D262E2" w:rsidRPr="00677ACC" w:rsidRDefault="00D262E2" w:rsidP="00677ACC">
      <w:pPr>
        <w:spacing w:line="480" w:lineRule="auto"/>
      </w:pPr>
    </w:p>
    <w:p w14:paraId="44B1C2F1" w14:textId="3B2C39A6" w:rsidR="008104FC" w:rsidRDefault="008104FC" w:rsidP="00677ACC">
      <w:pPr>
        <w:spacing w:line="480" w:lineRule="auto"/>
      </w:pPr>
      <w:r>
        <w:t>PC</w:t>
      </w:r>
      <w:r w:rsidRPr="008104FC">
        <w:t xml:space="preserve"> is specialized medical care focused on relieving the symptoms and stress of serious illness through multidisciplinary management of physical, psychological, and spiritual needs</w:t>
      </w:r>
      <w:r>
        <w:t xml:space="preserve"> </w:t>
      </w:r>
      <w:r w:rsidRPr="00677ACC">
        <w:fldChar w:fldCharType="begin" w:fldLock="1"/>
      </w:r>
      <w:r>
        <w:instrText>ADDIN CSL_CITATION {"citationItems":[{"id":"ITEM-1","itemData":{"URL":"https://aahpm.org/about-aahpm/mission-vision-values/","accessed":{"date-parts":[["2025","6","21"]]},"id":"ITEM-1","issued":{"date-parts":[["0"]]},"title":"Mission, Vision, Values | AAHPM","type":"webpage"},"uris":["http://www.mendeley.com/documents/?uuid=35db1b5d-1d7b-394f-b70c-e8fbf6fd9f8a"]}],"mendeley":{"formattedCitation":"(5)","plainTextFormattedCitation":"(5)","previouslyFormattedCitation":"(5)"},"properties":{"noteIndex":0},"schema":"https://github.com/citation-style-language/schema/raw/master/csl-citation.json"}</w:instrText>
      </w:r>
      <w:r w:rsidRPr="00677ACC">
        <w:fldChar w:fldCharType="separate"/>
      </w:r>
      <w:r w:rsidRPr="002C7F0B">
        <w:rPr>
          <w:noProof/>
        </w:rPr>
        <w:t>(5)</w:t>
      </w:r>
      <w:r w:rsidRPr="00677ACC">
        <w:fldChar w:fldCharType="end"/>
      </w:r>
      <w:r>
        <w:t>.</w:t>
      </w:r>
      <w:r w:rsidRPr="008104FC">
        <w:t xml:space="preserve"> Evidence shows that PC improves quality of life, reduces caregiver burden, and may even prolong survival across a range of serious illnesses</w:t>
      </w:r>
      <w:r>
        <w:t xml:space="preserve"> </w:t>
      </w:r>
      <w:r w:rsidRPr="00677ACC">
        <w:fldChar w:fldCharType="begin" w:fldLock="1"/>
      </w:r>
      <w:r>
        <w:instrText>ADDIN CSL_CITATION {"citationItems":[{"id":"ITEM-1","itemData":{"DOI":"10.1177/17534666241305497","ISSN":"1753-4666","PMID":"39921545","abstract":"Lung cancer and chronic non-malignant respiratory disease cause pervasive, multifactorial suffering for patients and informal carers alike. Palliative care aims to reduce suffering and improve quality of life for patients and their families. An established evidence base exists that has demonstrated the essential role of specialist palliative care for people with lung cancer. Emerging evidence supports similar benefits among people with chronic respiratory disease. Many lessons can be learnt from lung cancer care, particularly as the model of care delivery has transformed over recent decades due to major advances in the diagnostic pathway and the development of new treatments. This narrative review aims to summarize the evidence for specialist palliative care in lung cancer and chronic respiratory disease, by highlighting seven key lessons from lung cancer care that can inform the development of proactive, integrated models of palliative care among those with chronic respiratory disease. These seven lessons emphasize (1) managing challenging symptoms; (2) the efficacy of specialist palliative care; (3) the importance of providing specialist palliative care integrated with disease-directed care according to patients’ needs not prognosis; (4) the need for new models of collaborative palliative care, (5) which are culturally appropriate and (6) able to evolve with changes in disease-directed care. Finally, we discuss (7) some of the critical research gaps that persist and reduce implementation in practice.","author":[{"dropping-particle":"","family":"Walker","given":"Anne M.","non-dropping-particle":"","parse-names":false,"suffix":""},{"dropping-particle":"","family":"Sullivan","given":"Donald R.","non-dropping-particle":"","parse-names":false,"suffix":""},{"dropping-particle":"","family":"Nguyen","given":"Phan","non-dropping-particle":"","parse-names":false,"suffix":""},{"dropping-particle":"","family":"Holland","given":"Anne E.","non-dropping-particle":"","parse-names":false,"suffix":""},{"dropping-particle":"","family":"Smallwood","given":"Natasha","non-dropping-particle":"","parse-names":false,"suffix":""}],"container-title":"Therapeutic advances in respiratory disease","id":"ITEM-1","issued":{"date-parts":[["2025","1","1"]]},"publisher":"Ther Adv Respir Dis","title":"Early, integrated palliative care for people with chronic respiratory disease: lessons learnt from lung cancer","type":"article-journal","volume":"19"},"uris":["http://www.mendeley.com/documents/?uuid=efd9f9c2-4d49-3193-8fde-2e146cc2d61a"]},{"id":"ITEM-2","itemData":{"DOI":"10.1056/NEJMoa1000678","author":[{"dropping-particle":"","family":"Temel","given":"Jennifer S","non-dropping-particle":"","parse-names":false,"suffix":""},{"dropping-particle":"","family":"Greer","given":"Joseph A","non-dropping-particle":"","parse-names":false,"suffix":""},{"dropping-particle":"","family":"Muzikansky","given":"Alona","non-dropping-particle":"","parse-names":false,"suffix":""},{"dropping-particle":"","family":"Gallagher","given":"Emily R","non-dropping-particle":"","parse-names":false,"suffix":""},{"dropping-particle":"","family":"Admane","given":"Sonal","non-dropping-particle":"","parse-names":false,"suffix":""},{"dropping-particle":"","family":"Jackson","given":"Vicki A","non-dropping-particle":"","parse-names":false,"suffix":""},{"dropping-particle":"","family":"Dahlin","given":"Constance M","non-dropping-particle":"","parse-names":false,"suffix":""},{"dropping-particle":"","family":"Blinderman","given":"Craig D","non-dropping-particle":"","parse-names":false,"suffix":""},{"dropping-particle":"","family":"Jacobsen","given":"Juliet","non-dropping-particle":"","parse-names":false,"suffix":""},{"dropping-particle":"","family":"Pirl","given":"William F","non-dropping-particle":"","parse-names":false,"suffix":""},{"dropping-particle":"","family":"Billings","given":"J Andrew","non-dropping-particle":"","parse-names":false,"suffix":""},{"dropping-particle":"","family":"Lynch","given":"Thomas J","non-dropping-particle":"","parse-names":false,"suffix":""}],"container-title":"New England Journal of Medicine","id":"ITEM-2","issue":"8","issued":{"date-parts":[["2010","8"]]},"note":"doi: 10.1056/NEJMoa1000678","page":"733-742","publisher":"Massachusetts Medical Society","title":"Early Palliative Care for Patients with Metastatic Non–Small-Cell Lung Cancer","type":"article-journal","volume":"363"},"uris":["http://www.mendeley.com/documents/?uuid=59268036-0e76-306d-a1aa-b24a2fb2df08"]}],"mendeley":{"formattedCitation":"(6,7)","plainTextFormattedCitation":"(6,7)","previouslyFormattedCitation":"(6,7)"},"properties":{"noteIndex":0},"schema":"https://github.com/citation-style-language/schema/raw/master/csl-citation.json"}</w:instrText>
      </w:r>
      <w:r w:rsidRPr="00677ACC">
        <w:fldChar w:fldCharType="separate"/>
      </w:r>
      <w:r w:rsidRPr="002C7F0B">
        <w:rPr>
          <w:noProof/>
        </w:rPr>
        <w:t>(6,7)</w:t>
      </w:r>
      <w:r w:rsidRPr="00677ACC">
        <w:fldChar w:fldCharType="end"/>
      </w:r>
      <w:r w:rsidRPr="008104FC">
        <w:t>.</w:t>
      </w:r>
      <w:r>
        <w:t xml:space="preserve"> </w:t>
      </w:r>
    </w:p>
    <w:p w14:paraId="25F38D04" w14:textId="77777777" w:rsidR="008104FC" w:rsidRDefault="008104FC" w:rsidP="00677ACC">
      <w:pPr>
        <w:spacing w:line="480" w:lineRule="auto"/>
      </w:pPr>
    </w:p>
    <w:p w14:paraId="4AF1646A" w14:textId="7EEB44A5" w:rsidR="00D262E2" w:rsidRPr="00677ACC" w:rsidRDefault="008104FC" w:rsidP="00677ACC">
      <w:pPr>
        <w:spacing w:line="480" w:lineRule="auto"/>
      </w:pPr>
      <w:r w:rsidRPr="008104FC">
        <w:lastRenderedPageBreak/>
        <w:t>The interface between palliative care (PC) and psychiatry is expanding in both directions, with palliative psychiatry advancing ethical debate and clinical psychiatry increasingly adopting palliative approaches</w:t>
      </w:r>
      <w:r>
        <w:t xml:space="preserve"> </w:t>
      </w:r>
      <w:r>
        <w:fldChar w:fldCharType="begin" w:fldLock="1"/>
      </w:r>
      <w:r>
        <w:instrText>ADDIN CSL_CITATION {"citationItems":[{"id":"ITEM-1","itemData":{"DOI":"10.1016/S2215-0366(16)00005-5","ISSN":"2215-0374","PMID":"26946387","author":[{"dropping-particle":"","family":"Trachsel","given":"Manuel","non-dropping-particle":"","parse-names":false,"suffix":""},{"dropping-particle":"","family":"Irwin","given":"Scott A.","non-dropping-particle":"","parse-names":false,"suffix":""},{"dropping-particle":"","family":"Biller-Andorno","given":"Nikola","non-dropping-particle":"","parse-names":false,"suffix":""},{"dropping-particle":"","family":"Hoff","given":"Paul","non-dropping-particle":"","parse-names":false,"suffix":""},{"dropping-particle":"","family":"Riese","given":"Florian","non-dropping-particle":"","parse-names":false,"suffix":""}],"container-title":"The lancet. Psychiatry","id":"ITEM-1","issue":"3","issued":{"date-parts":[["2016","3","1"]]},"page":"200","publisher":"Lancet Psychiatry","title":"Palliative psychiatry for severe and persistent mental illness","type":"article-journal","volume":"3"},"uris":["http://www.mendeley.com/documents/?uuid=4b0668e4-51b1-3e6b-8cd9-4a9ef3d2bb88"]}],"mendeley":{"formattedCitation":"(8)","plainTextFormattedCitation":"(8)","previouslyFormattedCitation":"(8)"},"properties":{"noteIndex":0},"schema":"https://github.com/citation-style-language/schema/raw/master/csl-citation.json"}</w:instrText>
      </w:r>
      <w:r>
        <w:fldChar w:fldCharType="separate"/>
      </w:r>
      <w:r w:rsidRPr="008104FC">
        <w:rPr>
          <w:noProof/>
        </w:rPr>
        <w:t>(8)</w:t>
      </w:r>
      <w:r>
        <w:fldChar w:fldCharType="end"/>
      </w:r>
      <w:r w:rsidRPr="008104FC">
        <w:t>. PC psychiatry, in turn, is an emerging subspecialty that integrates the principles of both fields to address complex needs—expanding PC access for medically ill patients in psychiatric settings, applying palliative approaches to treatment-refractory mental illness, and providing specialized psychiatric care for serious medical conditions such as catatonia</w:t>
      </w:r>
      <w:r>
        <w:t xml:space="preserve"> </w:t>
      </w:r>
      <w:r w:rsidR="00D262E2" w:rsidRPr="00677ACC">
        <w:fldChar w:fldCharType="begin" w:fldLock="1"/>
      </w:r>
      <w:r>
        <w:instrText>ADDIN CSL_CITATION {"citationItems":[{"id":"ITEM-1","itemData":{"DOI":"10.1007/s11920-024-01485-5","ISSN":"0123456789","abstract":"Purpose of Review: Palliative care (PC) psychiatry is a growing subspecialty focusing on improving the mental health of those with serious medical conditions and their caregivers. This review elucidates the current practice and ongoing evolution of PC psychiatry. Recent Findings: PC psychiatry leverages training and clinical practices from both PC and psychiatry, addressing a wide range of needs, including enhanced psychiatric care for patients with serious medical illness, PC access for patients with medical needs in psychiatric settings, and PC-informed psychiatric approaches for individuals with treatment-refractory serious mental illness. PC psychiatry is practiced by a diverse workforce comprising hospice and palliative medicine–trained psychiatrists, psycho-oncologists, geriatric psychiatrists, other mental health professionals, and non-psychiatrist PC clinicians. As a result, PC psychiatry faces challenges in defining its operational scope. The manuscript outlines the growth, current state, and prospects of PC psychiatry. It examines its roles across various healthcare settings, including medical, integrated care, and psychiatric environments, highlighting the unique challenges and opportunities in each. Summary: PC psychiatry is a vibrant and growing subspecialty of psychiatry that must be operationalized to continue its developmental trajectory. There is a need for a distinct professional identity for PC psychiatry, strategies to navigate administrative and regulatory hurdles, and greater support for novel clinical, educational, and research initiatives.","author":[{"dropping-particle":"","family":"Shalev","given":"Daniel","non-dropping-particle":"","parse-names":false,"suffix":""},{"dropping-particle":"","family":"Brenner","given":"Keri","non-dropping-particle":"","parse-names":false,"suffix":""},{"dropping-particle":"","family":"Carlson","given":"Rose L","non-dropping-particle":"","parse-names":false,"suffix":""},{"dropping-particle":"","family":"Chammas","given":"Danielle","non-dropping-particle":"","parse-names":false,"suffix":""},{"dropping-particle":"","family":"Levitt","given":"Sarah","non-dropping-particle":"","parse-names":false,"suffix":""},{"dropping-particle":"","family":"Noufi","given":"Paul E","non-dropping-particle":"","parse-names":false,"suffix":""},{"dropping-particle":"","family":"Robbins-Welty","given":"Gregg","non-dropping-particle":"","parse-names":false,"suffix":""},{"dropping-particle":"","family":"Webb","given":"Jason A","non-dropping-particle":"","parse-names":false,"suffix":""}],"container-title":"Current Psychiatry Reports","id":"ITEM-1","issue":"0123456789","issued":{"date-parts":[["2024"]]},"publisher":"Springer US","title":"Palliative Care Psychiatry: Building Synergy Across the Spectrum","type":"article-journal"},"uris":["http://www.mendeley.com/documents/?uuid=00e6ffd3-2da6-469e-b5db-3caf8f518ca7"]}],"mendeley":{"formattedCitation":"(9)","plainTextFormattedCitation":"(9)","previouslyFormattedCitation":"(9)"},"properties":{"noteIndex":0},"schema":"https://github.com/citation-style-language/schema/raw/master/csl-citation.json"}</w:instrText>
      </w:r>
      <w:r w:rsidR="00D262E2" w:rsidRPr="00677ACC">
        <w:fldChar w:fldCharType="separate"/>
      </w:r>
      <w:r w:rsidRPr="008104FC">
        <w:rPr>
          <w:noProof/>
        </w:rPr>
        <w:t>(9)</w:t>
      </w:r>
      <w:r w:rsidR="00D262E2" w:rsidRPr="00677ACC">
        <w:fldChar w:fldCharType="end"/>
      </w:r>
      <w:r>
        <w:t>.</w:t>
      </w:r>
    </w:p>
    <w:p w14:paraId="4CB1A26E" w14:textId="77777777" w:rsidR="00D262E2" w:rsidRPr="00677ACC" w:rsidRDefault="00D262E2" w:rsidP="00677ACC">
      <w:pPr>
        <w:spacing w:line="480" w:lineRule="auto"/>
      </w:pPr>
    </w:p>
    <w:p w14:paraId="0810CDD5" w14:textId="7E18BFDC" w:rsidR="00D262E2" w:rsidRPr="00677ACC" w:rsidRDefault="00D262E2" w:rsidP="00677ACC">
      <w:pPr>
        <w:spacing w:line="480" w:lineRule="auto"/>
      </w:pPr>
      <w:r w:rsidRPr="00677ACC">
        <w:t>The evaluation and management of catatonia is directly relevant to PC practice</w:t>
      </w:r>
      <w:r w:rsidR="002D50BE" w:rsidRPr="00677ACC">
        <w:t xml:space="preserve">, as illustrated </w:t>
      </w:r>
      <w:r w:rsidR="00005A96" w:rsidRPr="00677ACC">
        <w:t xml:space="preserve">by case studies </w:t>
      </w:r>
      <w:r w:rsidR="002D50BE" w:rsidRPr="00677ACC">
        <w:t xml:space="preserve">in </w:t>
      </w:r>
      <w:r w:rsidR="002D50BE" w:rsidRPr="00677ACC">
        <w:rPr>
          <w:b/>
          <w:bCs/>
        </w:rPr>
        <w:t>Table 1</w:t>
      </w:r>
      <w:r w:rsidR="002D50BE" w:rsidRPr="00677ACC">
        <w:t xml:space="preserve">. </w:t>
      </w:r>
      <w:r w:rsidRPr="00677ACC">
        <w:t>Catatonia is a potentially life-threatening syndrome associated with substantial morbidity, including autonomic instability, venous thromboembolism</w:t>
      </w:r>
      <w:r w:rsidR="0016432B" w:rsidRPr="00677ACC">
        <w:t xml:space="preserve"> (VTE)</w:t>
      </w:r>
      <w:r w:rsidRPr="00677ACC">
        <w:t>, malnutrition, dehydration, pressure injuries, infection, and death</w:t>
      </w:r>
      <w:r w:rsidR="008104FC">
        <w:t xml:space="preserve"> </w:t>
      </w:r>
      <w:r w:rsidRPr="00677ACC">
        <w:fldChar w:fldCharType="begin" w:fldLock="1"/>
      </w:r>
      <w:r w:rsidR="008104FC">
        <w:instrText>ADDIN CSL_CITATION {"citationItems":[{"id":"ITEM-1","itemData":{"DOI":"10.4088/JCP.13R08870","ISSN":"01606689","PMID":"25004188","abstract":"Objective: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Psychiatry","id":"ITEM-1","issue":"6","issued":{"date-parts":[["2014"]]},"page":"644-651","publisher":"Physicians Postgraduate Press Inc.","title":"Guidelines for preventing common medical complications of catatonia: Case report and literature review","type":"article-journal","volume":"75"},"uris":["http://www.mendeley.com/documents/?uuid=3b657238-de80-35ce-b8ed-05b5811c2d25"]}],"mendeley":{"formattedCitation":"(10)","plainTextFormattedCitation":"(10)","previouslyFormattedCitation":"(10)"},"properties":{"noteIndex":0},"schema":"https://github.com/citation-style-language/schema/raw/master/csl-citation.json"}</w:instrText>
      </w:r>
      <w:r w:rsidRPr="00677ACC">
        <w:fldChar w:fldCharType="separate"/>
      </w:r>
      <w:r w:rsidR="008104FC" w:rsidRPr="008104FC">
        <w:rPr>
          <w:noProof/>
        </w:rPr>
        <w:t>(10)</w:t>
      </w:r>
      <w:r w:rsidRPr="00677ACC">
        <w:fldChar w:fldCharType="end"/>
      </w:r>
      <w:r w:rsidR="008104FC">
        <w:t>.</w:t>
      </w:r>
      <w:r w:rsidRPr="00677ACC">
        <w:t> In addition to its physical consequences, catatonia often impairs communication and decision-making capacity, limiting patients’ ability to express goals and values in the setting of serious illness and increasing caregiver burden</w:t>
      </w:r>
      <w:r w:rsidR="008104FC">
        <w:t xml:space="preserve"> </w:t>
      </w:r>
      <w:r w:rsidRPr="00677ACC">
        <w:fldChar w:fldCharType="begin" w:fldLock="1"/>
      </w:r>
      <w:r w:rsidR="008104FC">
        <w:instrText>ADDIN CSL_CITATION {"citationItems":[{"id":"ITEM-1","itemData":{"DOI":"10.4088/JCP.13R08870","ISSN":"01606689","PMID":"25004188","abstract":"Objective: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Psychiatry","id":"ITEM-1","issue":"6","issued":{"date-parts":[["2014"]]},"page":"644-651","publisher":"Physicians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review","type":"article-journal","volume":"75"},"uris":["http://www.mendeley.com/documents/?uuid=3b657238-de80-35ce-b8ed-05b5811c2d25"]},{"id":"ITEM-2","itemData":{"author":[{"dropping-particle":"","family":"Association","given":"American Psychiatric","non-dropping-particle":"","parse-names":false,"suffix":""}],"container-title":"American Psychiatric Press, Inc.","id":"ITEM-2","issued":{"date-parts":[["2022"]]},"title":"Diagnostic and Statistical Manual of Mental Disorders, Text Revision Dsm-5-tr 5th Edition","type":"article-journal"},"uris":["http://www.mendeley.com/documents/?uuid=47ff78f0-f4c2-4706-97e4-5f9d1a940da0"]}],"mendeley":{"formattedCitation":"(1,10)","plainTextFormattedCitation":"(1,10)","previouslyFormattedCitation":"(1,10)"},"properties":{"noteIndex":0},"schema":"https://github.com/citation-style-language/schema/raw/master/csl-citation.json"}</w:instrText>
      </w:r>
      <w:r w:rsidRPr="00677ACC">
        <w:fldChar w:fldCharType="separate"/>
      </w:r>
      <w:r w:rsidR="008104FC" w:rsidRPr="008104FC">
        <w:rPr>
          <w:noProof/>
        </w:rPr>
        <w:t>(1,10)</w:t>
      </w:r>
      <w:r w:rsidRPr="00677ACC">
        <w:fldChar w:fldCharType="end"/>
      </w:r>
      <w:r w:rsidR="008104FC">
        <w:t>.</w:t>
      </w:r>
      <w:r w:rsidRPr="00677ACC">
        <w:t xml:space="preserve"> Qualitative studies of individuals who recover from catatonia describe the experience as profoundly distressing and frightening, with lasting effects on </w:t>
      </w:r>
      <w:r w:rsidR="004A6623" w:rsidRPr="00677ACC">
        <w:t>QOL</w:t>
      </w:r>
      <w:r w:rsidR="008104FC">
        <w:t xml:space="preserve"> </w:t>
      </w:r>
      <w:r w:rsidRPr="00677ACC">
        <w:fldChar w:fldCharType="begin" w:fldLock="1"/>
      </w:r>
      <w:r w:rsidR="008104FC">
        <w:instrText>ADDIN CSL_CITATION {"citationItems":[{"id":"ITEM-1","itemData":{"DOI":"10.1186/S40359-022-00885-7","ISSN":"2050-7283","PMID":"35841077","abstract":"Background: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psychology","id":"ITEM-1","issue":"1","issued":{"date-parts":[["2022","12","1"]]},"publisher":"BMC Psychol","title":"The psychological and subjective experience of catatonia: a qualitative study","type":"article-journal","volume":"10"},"uris":["http://www.mendeley.com/documents/?uuid=83efd862-90bc-38bd-9425-0f5595a450b9"]},{"id":"ITEM-2","itemData":{"DOI":"10.4103/0019-5545.75559","ISSN":"19983794","abstract":"Background: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Psychiatry","id":"ITEM-2","issue":"1","issued":{"date-parts":[["2011"]]},"page":"36-40","publisher":"Medknow Publications","title":"Phenomenology and treatment of Catatonia: A descriptive study from north India","type":"article-journal","volume":"53"},"uris":["http://www.mendeley.com/documents/?uuid=ae264852-40cb-37d6-98c2-e6b1813dd1f1"]},{"id":"ITEM-3","itemData":{"DOI":"10.3389/FPSYT.2022.886662","ISSN":"1664-0640","PMID":"35677876","abstract":"Background: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psychiatry","id":"ITEM-3","issued":{"date-parts":[["2022","5","23"]]},"publisher":"Front Psychiatry","title":"Catatonia Psychopathology and Phenomenology in a Large Dataset","type":"article-journal","volume":"13"},"uris":["http://www.mendeley.com/documents/?uuid=fa44f150-c135-3e18-94c4-0ff6a8761eeb"]},{"id":"ITEM-4","itemData":{"DOI":"10.1016/J.SCHRES.2023.06.002","ISSN":"1573-2509","PMID":"37331880","abstract":"Background: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research","id":"ITEM-4","issued":{"date-parts":[["2024","1","1"]]},"page":"282-288","publisher":"Schizophr Res","title":"Extension, translation and preliminary validation of the Northoff Scale for Subjective Experience in Catatonia (NSSC)","type":"article-journal","volume":"263"},"uris":["http://www.mendeley.com/documents/?uuid=6ef56bcd-b092-31d2-873e-68054e7468ae"]}],"mendeley":{"formattedCitation":"(11–14)","plainTextFormattedCitation":"(11–14)","previouslyFormattedCitation":"(11–14)"},"properties":{"noteIndex":0},"schema":"https://github.com/citation-style-language/schema/raw/master/csl-citation.json"}</w:instrText>
      </w:r>
      <w:r w:rsidRPr="00677ACC">
        <w:fldChar w:fldCharType="separate"/>
      </w:r>
      <w:r w:rsidR="008104FC" w:rsidRPr="008104FC">
        <w:rPr>
          <w:noProof/>
        </w:rPr>
        <w:t>(11–14)</w:t>
      </w:r>
      <w:r w:rsidRPr="00677ACC">
        <w:fldChar w:fldCharType="end"/>
      </w:r>
      <w:r w:rsidR="008104FC">
        <w:t>.</w:t>
      </w:r>
      <w:r w:rsidRPr="00677ACC">
        <w:t xml:space="preserve"> It also commonly occurs in conjunction with other serious conditions</w:t>
      </w:r>
      <w:r w:rsidR="0016432B" w:rsidRPr="00677ACC">
        <w:t xml:space="preserve">, </w:t>
      </w:r>
      <w:r w:rsidRPr="00677ACC">
        <w:t>such as advanced cancer, progressive neurologic disease, or systemic infections</w:t>
      </w:r>
      <w:r w:rsidR="0016432B" w:rsidRPr="00677ACC">
        <w:t xml:space="preserve">, </w:t>
      </w:r>
      <w:r w:rsidRPr="00677ACC">
        <w:t>and may signify disease progression or the dying process</w:t>
      </w:r>
      <w:r w:rsidR="008104FC">
        <w:t xml:space="preserve"> </w:t>
      </w:r>
      <w:r w:rsidR="004A6623" w:rsidRPr="00677ACC">
        <w:fldChar w:fldCharType="begin" w:fldLock="1"/>
      </w:r>
      <w:r w:rsidR="008104FC">
        <w:instrText>ADDIN CSL_CITATION {"citationItems":[{"id":"ITEM-1","itemData":{"DOI":"10.1176/JNP.6.2.122","ISSN":"08950172","PMID":"8044033","abstract":"Catatonia is a neuropsychiatric syndrome that may present a difficult diagnostic dilemma. Catatonic disorder due to general medical conditions must be considered in every patient with catatonic signs. Four patients with this disorder are presented. In these patients, general medical conditions associated with catatonic disorder included dystonia, HIV encephalopathy, progressive multifocal leukoencephalopathy, encephalitis, and renal failure. Three of these patients had multifactorial presentations of medical conditions or prior psychiatric disorders. A critical literature review concerning catatonia and associated nonpsychiatric medical conditions only infrequently supported causal relationships between organic factors and the development of catatonia. The majority of patients have multifactorial etiologies.","author":[{"dropping-particle":"","family":"Carroll","given":"B. T.","non-dropping-particle":"","parse-names":false,"suffix":""},{"dropping-particle":"","family":"Anfinson","given":"T. J.","non-dropping-particle":"","parse-names":false,"suffix":""},{"dropping-particle":"","family":"Kennedy","given":"J. C.","non-dropping-particle":"","parse-names":false,"suffix":""},{"dropping-particle":"","family":"Yendrek","given":"R.","non-dropping-particle":"","parse-names":false,"suffix":""},{"dropping-particle":"","family":"Boutros","given":"M.","non-dropping-particle":"","parse-names":false,"suffix":""},{"dropping-particle":"","family":"Bilon","given":"A.","non-dropping-particle":"","parse-names":false,"suffix":""}],"container-title":"Journal of Neuropsychiatry and Clinical Neurosciences","id":"ITEM-1","issue":"2","issued":{"date-parts":[["1994"]]},"page":"122-133","publisher":"American Psychiatric Association","title":"Catatonic disorder due to general medical conditions","type":"article-journal","volume":"6"},"uris":["http://www.mendeley.com/documents/?uuid=d23e7037-9254-3d50-976d-8893fca21d7a"]},{"id":"ITEM-2","itemData":{"DOI":"10.1017/S0033291721004402","ISSN":"0033-2917","PMID":"35135642","abstract":"Background\n    Catatonia, a severe neuropsychiatric syndrome, has few studies of sufficient scale to clarify its epidemiology or pathophysiology. We aimed to characterise demographic associations, peripheral inflammatory markers and outcome of catatonia. Methods\n    Electronic healthcare records were searched for validated clinical diagnoses of catatonia. In a case–control study, demographics and inflammatory markers were compared in psychiatric inpatients with and without catatonia. In a cohort study, the two groups were compared in terms of their duration of admission and mortality. Results\n    We identified 1456 patients with catatonia (of whom 25.1% had two or more episodes) and 24 956 psychiatric inpatients without catatonia. Incidence was 10.6 episodes of catatonia per 100 000 person-years. Patients with and without catatonia were similar in sex, younger and more likely to be of Black ethnicity. Serum iron was reduced in patients with catatonia [11.6 v. 14.2 μmol/L, odds ratio (OR) 0.65 (95% confidence interval (CI) 0.45–0.95), p = 0.03] and creatine kinase was raised [2545 v. 459 IU/L, OR 1.53 (95% CI 1.29–1.81), p &amp;lt; 0.001], but there was no difference in C-reactive protein or white cell count. N-Methyl-d-aspartate receptor antibodies were significantly associated with catatonia, but there were small numbers of positive results. Duration of hospitalisation was greater in the catatonia group (median: 43 v. 25 days), but there was no difference in mortality after adjustment. Conclusions\n    In the largest clinical study of catatonia, we found catatonia occurred in approximately 1 per 10 000 person-years. Evidence for a proinflammatory state was mixed. Catatonia was associated with prolonged inpatient admission but not with increased mortality.","author":[{"dropping-particle":"","family":"Rogers","given":"Jonathan P.","non-dropping-particle":"","parse-names":false,"suffix":""},{"dropping-particle":"","family":"Pollak","given":"Thomas A.","non-dropping-particle":"","parse-names":false,"suffix":""},{"dropping-particle":"","family":"Begum","given":"Nazifa","non-dropping-particle":"","parse-names":false,"suffix":""},{"dropping-particle":"","family":"Griffin","given":"Anna","non-dropping-particle":"","parse-names":false,"suffix":""},{"dropping-particle":"","family":"Carter","given":"Ben","non-dropping-particle":"","parse-names":false,"suffix":""},{"dropping-particle":"","family":"Pritchard","given":"Megan","non-dropping-particle":"","parse-names":false,"suffix":""},{"dropping-particle":"","family":"Broadbent","given":"Matthew","non-dropping-particle":"","parse-names":false,"suffix":""},{"dropping-particle":"","family":"Kolliakou","given":"Anna","non-dropping-particle":"","parse-names":false,"suffix":""},{"dropping-particle":"","family":"Ke","given":"Jessie","non-dropping-particle":"","parse-names":false,"suffix":""},{"dropping-particle":"","family":"Stewart","given":"Robert","non-dropping-particle":"","parse-names":false,"suffix":""},{"dropping-particle":"","family":"Patel","given":"Rashmi","non-dropping-particle":"","parse-names":false,"suffix":""},{"dropping-particle":"","family":"Bomford","given":"Adria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S.","non-dropping-particle":"","parse-names":false,"suffix":""},{"dropping-particle":"","family":"Lewis","given":"Glyn","non-dropping-particle":"","parse-names":false,"suffix":""},{"dropping-particle":"","family":"Nicholson","given":"Timothy R.","non-dropping-particle":"","parse-names":false,"suffix":""},{"dropping-particle":"","family":"David","given":"Anthony S.","non-dropping-particle":"","parse-names":false,"suffix":""}],"container-title":"Psychological Medicine","id":"ITEM-2","issue":"6","issued":{"date-parts":[["2023","4","2"]]},"page":"2492-2502","publisher":"Cambridge University Press","title":"Catatonia: demographic, clinical and laboratory associations","type":"article-journal","volume":"53"},"uris":["http://www.mendeley.com/documents/?uuid=d6b84526-b7d2-31e5-9e60-1223cf19dba0"]},{"id":"ITEM-3","itemData":{"DOI":"10.1038/s41572-024-00534-w","ISSN":"2056676X","PMID":"39025858","abstract":"Catatonia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Primers","id":"ITEM-3","issue":"1","issued":{"date-parts":[["2024","12","1"]]},"publisher":"Nature Research","title":"Catatonia","type":"article-journal","volume":"10"},"uris":["http://www.mendeley.com/documents/?uuid=4326a704-62f4-3cc1-b3d9-e311e36e7fa4"]}],"mendeley":{"formattedCitation":"(15–17)","plainTextFormattedCitation":"(15–17)","previouslyFormattedCitation":"(15–17)"},"properties":{"noteIndex":0},"schema":"https://github.com/citation-style-language/schema/raw/master/csl-citation.json"}</w:instrText>
      </w:r>
      <w:r w:rsidR="004A6623" w:rsidRPr="00677ACC">
        <w:fldChar w:fldCharType="separate"/>
      </w:r>
      <w:r w:rsidR="008104FC" w:rsidRPr="008104FC">
        <w:rPr>
          <w:noProof/>
        </w:rPr>
        <w:t>(15–17)</w:t>
      </w:r>
      <w:r w:rsidR="004A6623" w:rsidRPr="00677ACC">
        <w:fldChar w:fldCharType="end"/>
      </w:r>
      <w:r w:rsidR="008104FC">
        <w:t>.</w:t>
      </w:r>
      <w:r w:rsidRPr="00677ACC">
        <w:t xml:space="preserve"> Although often reversible, catatonia has important implications for symptom management, prognostication, and patient-centered care, making it a critical syndrome for </w:t>
      </w:r>
      <w:r w:rsidR="004A6623" w:rsidRPr="00677ACC">
        <w:t xml:space="preserve">PC </w:t>
      </w:r>
      <w:r w:rsidRPr="00677ACC">
        <w:t xml:space="preserve">clinicians to recognize and address </w:t>
      </w:r>
      <w:r w:rsidRPr="00677ACC">
        <w:fldChar w:fldCharType="begin" w:fldLock="1"/>
      </w:r>
      <w:r w:rsidR="008104FC">
        <w:instrText>ADDIN CSL_CITATION {"citationItems":[{"id":"ITEM-1","itemData":{"DOI":"10.1097/PSY.0000000000000574","ISSN":"15347796","PMID":"29521882","abstract":"Objective Although catatonia can occur secondary to a general medical condition, catatonia itself has been known to lead to various medical compolications. Although case reports on the association of catatonia with subsequent medical complications have been documented, no comprehensive large-scale study has been performed. To investigate specific medical complications after catatonia, we conducted a retrospective cohort study of specific medical complications of schizophrenia patients with catatonia. Methods The 1719 schizophrenia inpatients in our study were categorized into two groups: the catatonia group, i.e., those who exhibited catatonic stupor while they were hospitalized, and the noncatatonia group, i.e., those who never exhibited catatonic stupor. Differences between the two groups in the occurrence of subsequent medical complications were examined using linear and logistic regression analyses, and models were adjusted for potentially confounding factors. Results The catatonia group had an increased risk for mortality (odds ratio = 4.8, 95% confidence interval = 2.0-10.6, p &lt;.01) and certain specific medical complications, i.e., pneumonia, urinary tract infection, sepsis, disseminated intravascular coagulation, rhabdomyolysis, dehydration, deep venous thrombosis, pulmonary embolism, urinary retention, decubitus, arrhythmia, renal failure, neuroleptic malignant syndrome, hypernatremia, and liver dysfunction (all p values &lt;.01, except for deep venous thrombosis, p =.04 in the multiple linear regression analysis). Conclusions Catatonic stupor in schizophrenia substantially raises the risk for specific medical complications and mortality. Hyperactivity of the sympathetic nervous system, dehydration, and immobility, which are frequently involved in catatonia, might contribute to these specific medical complications. In catatonia, meticulous care for both mental and medical conditions should be taken to reduce the risk of adverse medical consequences.","author":[{"dropping-particle":"","family":"Funayama","given":"Michitaka","non-dropping-particle":"","parse-names":false,"suffix":""},{"dropping-particle":"","family":"Takata","given":"Taketo","non-dropping-particle":"","parse-names":false,"suffix":""},{"dropping-particle":"","family":"Koreki","given":"Akihiro","non-dropping-particle":"","parse-names":false,"suffix":""},{"dropping-particle":"","family":"Ogino","given":"Satoyuki","non-dropping-particle":"","parse-names":false,"suffix":""},{"dropping-particle":"","family":"Mimura","given":"Masaru","non-dropping-particle":"","parse-names":false,"suffix":""}],"container-title":"Psychosomatic Medicine","id":"ITEM-1","issue":"4","issued":{"date-parts":[["2018","5","1"]]},"page":"370-376","publisher":"Lippincott Williams and Wilkins","title":"Catatonic Stupor in Schizophrenic Disorders and Subsequent Medical Complications and Mortality","type":"article-journal","volume":"80"},"uris":["http://www.mendeley.com/documents/?uuid=5e6a728d-fa2a-38e8-9bff-bd5930098c85"]},{"id":"ITEM-2","itemData":{"DOI":"10.1001/ARCHPSYC.1963.01720180020003","ISSN":"0003-990X","PMID":"14056835","abstract":"&lt;p&gt;Schizophrenic patients have been found to die at an earlier age than the normal population.&lt;sup&gt;5&lt;/sup&gt;This was true whether the patient had one attack of the mental disorder, recovered and was discharged, and died later out of the mental hospital, or whether he was continuously hospitalized after the onset of the disease. The former died at an age of death closer to the normal than the latter. Patients having multiple admissions and releases dying in or out of the mental hospital fell between the above two groups.&lt;/p&gt;&lt;p&gt;These findings prompted a second study, this one cross sectional, which revealed that four different groups of schizophrenic patients had the same causes of death over a 30-year span as did the normal population.&lt;sup&gt;4&lt;/sup&gt;Deaths in each group consistently occurred at a younger age compared to that of the normal population.&lt;/p&gt;&lt;p&gt;Two other interesting data were found.&lt;/p&gt;","author":[{"dropping-particle":"","family":"Niswander","given":"G. Donald","non-dropping-particle":"","parse-names":false,"suffix":""},{"dropping-particle":"","family":"Haslerud","given":"George M.","non-dropping-particle":"","parse-names":false,"suffix":""},{"dropping-particle":"","family":"Mitchell","given":"Gary D.","non-dropping-particle":"","parse-names":false,"suffix":""}],"container-title":"Archives of General Psychiatry","id":"ITEM-2","issue":"6","issued":{"date-parts":[["1963","12","1"]]},"page":"548-551","publisher":"American Medical Association","title":"Effect of Catatonia on Schizophrenic Mortality","type":"article-journal","volume":"9"},"uris":["http://www.mendeley.com/documents/?uuid=27117406-82b8-374a-ba50-63dc0890710c"]},{"id":"ITEM-3","itemData":{"DOI":"10.1017/S0033291721004402","ISSN":"0033-2917","PMID":"35135642","abstract":"Background\n    Catatonia, a severe neuropsychiatric syndrome, has few studies of sufficient scale to clarify its epidemiology or pathophysiology. We aimed to characterise demographic associations, peripheral inflammatory markers and outcome of catatonia. Methods\n    Electronic healthcare records were searched for validated clinical diagnoses of catatonia. In a case–control study, demographics and inflammatory markers were compared in psychiatric inpatients with and without catatonia. In a cohort study, the two groups were compared in terms of their duration of admission and mortality. Results\n    We identified 1456 patients with catatonia (of whom 25.1% had two or more episodes) and 24 956 psychiatric inpatients without catatonia. Incidence was 10.6 episodes of catatonia per 100 000 person-years. Patients with and without catatonia were similar in sex, younger and more likely to be of Black ethnicity. Serum iron was reduced in patients with catatonia [11.6 v. 14.2 μmol/L, odds ratio (OR) 0.65 (95% confidence interval (CI) 0.45–0.95), p = 0.03] and creatine kinase was raised [2545 v. 459 IU/L, OR 1.53 (95% CI 1.29–1.81), p &amp;lt; 0.001], but there was no difference in C-reactive protein or white cell count. N-Methyl-d-aspartate receptor antibodies were significantly associated with catatonia, but there were small numbers of positive results. Duration of hospitalisation was greater in the catatonia group (median: 43 v. 25 days), but there was no difference in mortality after adjustment. Conclusions\n    In the largest clinical study of catatonia, we found catatonia occurred in approximately 1 per 10 000 person-years. Evidence for a proinflammatory state was mixed. Catatonia was associated with prolonged inpatient admission but not with increased mortality.","author":[{"dropping-particle":"","family":"Rogers","given":"Jonathan P.","non-dropping-particle":"","parse-names":false,"suffix":""},{"dropping-particle":"","family":"Pollak","given":"Thomas A.","non-dropping-particle":"","parse-names":false,"suffix":""},{"dropping-particle":"","family":"Begum","given":"Nazifa","non-dropping-particle":"","parse-names":false,"suffix":""},{"dropping-particle":"","family":"Griffin","given":"Anna","non-dropping-particle":"","parse-names":false,"suffix":""},{"dropping-particle":"","family":"Carter","given":"Ben","non-dropping-particle":"","parse-names":false,"suffix":""},{"dropping-particle":"","family":"Pritchard","given":"Megan","non-dropping-particle":"","parse-names":false,"suffix":""},{"dropping-particle":"","family":"Broadbent","given":"Matthew","non-dropping-particle":"","parse-names":false,"suffix":""},{"dropping-particle":"","family":"Kolliakou","given":"Anna","non-dropping-particle":"","parse-names":false,"suffix":""},{"dropping-particle":"","family":"Ke","given":"Jessie","non-dropping-particle":"","parse-names":false,"suffix":""},{"dropping-particle":"","family":"Stewart","given":"Robert","non-dropping-particle":"","parse-names":false,"suffix":""},{"dropping-particle":"","family":"Patel","given":"Rashmi","non-dropping-particle":"","parse-names":false,"suffix":""},{"dropping-particle":"","family":"Bomford","given":"Adria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S.","non-dropping-particle":"","parse-names":false,"suffix":""},{"dropping-particle":"","family":"Lewis","given":"Glyn","non-dropping-particle":"","parse-names":false,"suffix":""},{"dropping-particle":"","family":"Nicholson","given":"Timothy R.","non-dropping-particle":"","parse-names":false,"suffix":""},{"dropping-particle":"","family":"David","given":"Anthony S.","non-dropping-particle":"","parse-names":false,"suffix":""}],"container-title":"Psychological Medicine","id":"ITEM-3","issue":"6","issued":{"date-parts":[["2023","4","2"]]},"page":"2492-2502","publisher":"Cambridge University Press","title":"Catatonia: demographic, clinical and laboratory associations","type":"article-journal","volume":"53"},"uris":["http://www.mendeley.com/documents/?uuid=d6b84526-b7d2-31e5-9e60-1223cf19dba0"]}],"mendeley":{"formattedCitation":"(16,18,19)","plainTextFormattedCitation":"(16,18,19)","previouslyFormattedCitation":"(16,18,19)"},"properties":{"noteIndex":0},"schema":"https://github.com/citation-style-language/schema/raw/master/csl-citation.json"}</w:instrText>
      </w:r>
      <w:r w:rsidRPr="00677ACC">
        <w:fldChar w:fldCharType="separate"/>
      </w:r>
      <w:r w:rsidR="008104FC" w:rsidRPr="008104FC">
        <w:rPr>
          <w:noProof/>
        </w:rPr>
        <w:t>(16,18,19)</w:t>
      </w:r>
      <w:r w:rsidRPr="00677ACC">
        <w:fldChar w:fldCharType="end"/>
      </w:r>
      <w:r w:rsidR="008104FC">
        <w:t>.</w:t>
      </w:r>
      <w:r w:rsidR="002D50BE" w:rsidRPr="00677ACC">
        <w:t xml:space="preserve"> </w:t>
      </w:r>
    </w:p>
    <w:p w14:paraId="487DE872" w14:textId="77777777" w:rsidR="00D262E2" w:rsidRPr="00677ACC" w:rsidRDefault="00D262E2" w:rsidP="00677ACC">
      <w:pPr>
        <w:spacing w:line="480" w:lineRule="auto"/>
      </w:pPr>
    </w:p>
    <w:p w14:paraId="77D33924" w14:textId="288CF9FC" w:rsidR="00D262E2" w:rsidRPr="00677ACC" w:rsidRDefault="00D262E2" w:rsidP="00677ACC">
      <w:pPr>
        <w:spacing w:line="480" w:lineRule="auto"/>
      </w:pPr>
      <w:r w:rsidRPr="00677ACC">
        <w:lastRenderedPageBreak/>
        <w:t xml:space="preserve">This clinically focused review examines the current literature at the intersection of PC and catatonia. We explore the epidemiology and diverse clinical presentations of catatonia in </w:t>
      </w:r>
      <w:r w:rsidR="0016432B" w:rsidRPr="00677ACC">
        <w:t xml:space="preserve">both adults and children </w:t>
      </w:r>
      <w:r w:rsidRPr="00677ACC">
        <w:t xml:space="preserve">with </w:t>
      </w:r>
      <w:r w:rsidR="0016432B" w:rsidRPr="00677ACC">
        <w:t xml:space="preserve">and without </w:t>
      </w:r>
      <w:r w:rsidRPr="00677ACC">
        <w:t xml:space="preserve">serious illness, review its underlying pathophysiology and common etiologies relevant to PC settings, and consider its impact on prognosis, </w:t>
      </w:r>
      <w:r w:rsidR="004A6623" w:rsidRPr="00677ACC">
        <w:t>QOL</w:t>
      </w:r>
      <w:r w:rsidRPr="00677ACC">
        <w:t>, medical decision-making capacity, and caregiver burden. Treatment approaches are discussed with attention to the unique considerations in patients</w:t>
      </w:r>
      <w:r w:rsidR="00F5530E" w:rsidRPr="00677ACC">
        <w:t xml:space="preserve"> with serious illness</w:t>
      </w:r>
      <w:r w:rsidRPr="00677ACC">
        <w:t>, and we highlight opportunities for PC involvement in the recognition and management of this complex and often underdiagnosed condition. The goal of this review is to enhance PC clinicians’ knowledge and confidence in identifying and treating catatonia across care settings, while also identifying areas where further research and advocacy could advance clinical care.</w:t>
      </w:r>
    </w:p>
    <w:p w14:paraId="5ACCC09C" w14:textId="77777777" w:rsidR="00D262E2" w:rsidRPr="00677ACC" w:rsidRDefault="00D262E2" w:rsidP="00677ACC">
      <w:pPr>
        <w:spacing w:line="480" w:lineRule="auto"/>
      </w:pPr>
    </w:p>
    <w:p w14:paraId="1DD009E2" w14:textId="77777777" w:rsidR="0016432B" w:rsidRPr="00677ACC" w:rsidRDefault="0016432B" w:rsidP="00677ACC">
      <w:pPr>
        <w:spacing w:line="480" w:lineRule="auto"/>
      </w:pPr>
    </w:p>
    <w:p w14:paraId="612E7D8C" w14:textId="2B8A8925" w:rsidR="0016432B" w:rsidRPr="00677ACC" w:rsidRDefault="0016432B" w:rsidP="00677ACC">
      <w:pPr>
        <w:spacing w:line="480" w:lineRule="auto"/>
        <w:rPr>
          <w:b/>
          <w:bCs/>
          <w:u w:val="single"/>
        </w:rPr>
      </w:pPr>
      <w:r w:rsidRPr="00677ACC">
        <w:rPr>
          <w:b/>
          <w:bCs/>
          <w:u w:val="single"/>
        </w:rPr>
        <w:t>Part 1: Catatonia in the General Population</w:t>
      </w:r>
    </w:p>
    <w:p w14:paraId="3102AE6A" w14:textId="1D9F6781" w:rsidR="00E423B7" w:rsidRPr="00677ACC" w:rsidRDefault="00E423B7" w:rsidP="00677ACC">
      <w:pPr>
        <w:spacing w:before="240" w:after="240" w:line="480" w:lineRule="auto"/>
      </w:pPr>
      <w:r w:rsidRPr="00677ACC">
        <w:rPr>
          <w:b/>
          <w:bCs/>
        </w:rPr>
        <w:t>Epidemiology</w:t>
      </w:r>
      <w:r w:rsidR="0016432B" w:rsidRPr="00677ACC">
        <w:rPr>
          <w:b/>
          <w:bCs/>
        </w:rPr>
        <w:t xml:space="preserve"> </w:t>
      </w:r>
    </w:p>
    <w:p w14:paraId="5F3C7BE2" w14:textId="2346A771" w:rsidR="0016432B" w:rsidRPr="00677ACC" w:rsidRDefault="0016432B" w:rsidP="00677ACC">
      <w:pPr>
        <w:spacing w:before="100" w:beforeAutospacing="1" w:after="100" w:afterAutospacing="1" w:line="480" w:lineRule="auto"/>
      </w:pPr>
      <w:r w:rsidRPr="00677ACC">
        <w:t xml:space="preserve">Catatonia is a frequently underdiagnosed psychomotor syndrome that can be mistaken for a range of medical or psychiatric conditions. Its varied presentation, overlap with delirium, and lack of confirmatory laboratory or imaging tests contribute to diagnostic uncertainty and missed recognition in both psychiatric and general medical settings </w:t>
      </w:r>
      <w:r w:rsidRPr="00677ACC">
        <w:fldChar w:fldCharType="begin" w:fldLock="1"/>
      </w:r>
      <w:r w:rsidR="008104FC">
        <w:instrText>ADDIN CSL_CITATION {"citationItems":[{"id":"ITEM-1","itemData":{"DOI":"10.1016/J.SCHRES.2023.07.031","ISSN":"1573-2509","PMID":"37580182","abstract":"Background: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research","id":"ITEM-1","issued":{"date-parts":[["2024","1","1"]]},"page":"223-228","publisher":"Schizophr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investigation","type":"article-journal","volume":"263"},"uris":["http://www.mendeley.com/documents/?uuid=48fbaf5d-c9e0-3e72-ac1a-5e8bea6d87b5"]},{"id":"ITEM-2","itemData":{"DOI":"10.1097/CCM.0000000000002642","ISSN":"15300293","PMID":"28841632","abstract":"Objectives: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Medicine","id":"ITEM-2","issue":"11","issued":{"date-parts":[["2017","11","1"]]},"page":"1837-1844","publisher":"Lippincott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investigation","type":"article-journal","volume":"45"},"uris":["http://www.mendeley.com/documents/?uuid=d65f5833-93cb-3a9e-9160-0554794dc903"]},{"id":"ITEM-3","itemData":{"DOI":"10.3389/FPSYT.2021.673166","ISSN":"1664-0640","PMID":"34867501","abstract":"Introduction: Catatonia, characterized by motor, behavioral and affective abnormalities, frequently co-occurs with delirium during critical illness. Advanced age is a known risk factor for development of delirium. However, the association between age and catatonia has not been described. We aim to describe the occurrence of catatonia, delirium, and coma by age group in a critically ill, adult population. Design: Convenience cohort, nested within two clinical trials and two observational cohort studies. Setting: Intensive care units in an academic medical center in Nashville, TN. Patients: 378 critically ill adult patients on mechanical ventilation and/or vasopressors. Measurements and Main Results: Patients were assessed for catatonia, delirium, and coma by independent and blinded personnel, the Bush Francis Catatonia Rating Scale, the Confusion Assessment Method for the Intensive Care Unit (ICU) and the Richmond Agitation and Sedation Scale. Of 378 patients, 23% met diagnostic criteria for catatonia, 66% experienced delirium, and 52% experienced coma during the period of observation. There was no relationship found between age and catatonia severity or age and presence of specific catatonia items. The prevalence of catatonia was strongly associated with age in the setting of critical illness (p &lt; 0.05). Delirium and comas' association with age was limited to the setting of catatonia. Conclusion: Given the significant relationship between age and catatonia independent of coma and delirium status, these data demonstrate catatonia's association with advanced age in the setting of critical illness. Future studies can explore the causative factors for this association and further elucidate the risk factors for acute brain dysfunction across the age spectrum.","author":[{"dropping-particle":"","family":"Connell","given":"Jennifer","non-dropping-particle":"","parse-names":false,"suffix":""},{"dropping-particle":"","family":"Kim","given":"Ahra","non-dropping-particle":"","parse-names":false,"suffix":""},{"dropping-particle":"","family":"Brummel","given":"Nathan E.","non-dropping-particle":"","parse-names":false,"suffix":""},{"dropping-particle":"","family":"Patel","given":"Mayur B.","non-dropping-particle":"","parse-names":false,"suffix":""},{"dropping-particle":"","family":"Vandekar","given":"Simon N.","non-dropping-particle":"","parse-names":false,"suffix":""},{"dropping-particle":"","family":"Pandharipande","given":"Pratik","non-dropping-particle":"","parse-names":false,"suffix":""},{"dropping-particle":"","family":"Dittus","given":"Robert S.","non-dropping-particle":"","parse-names":false,"suffix":""},{"dropping-particle":"","family":"Heckers","given":"Stephan","non-dropping-particle":"","parse-names":false,"suffix":""},{"dropping-particle":"","family":"Ely","given":"E.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Ellen","non-dropping-particle":"","parse-names":false,"suffix":""}],"container-title":"Frontiers in psychiatry","id":"ITEM-3","issued":{"date-parts":[["2021","11","19"]]},"publisher":"Front Psychiatry","title":"Advanced Age Is Associated With Catatonia in Critical Illness: Results From the Delirium and Catatonia Prospective Cohort Investigation","type":"article-journal","volume":"12"},"uris":["http://www.mendeley.com/documents/?uuid=2d116fb9-0b8b-3307-b19d-367243389574"]},{"id":"ITEM-4","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Neurosciences","id":"ITEM-4","issue":"2","issued":{"date-parts":[["2018","3","1"]]},"page":"145-151","publisher":"American Psychiatric Association","title":"Catatonia under-diagnosis in the general hospital","type":"article-journal","volume":"30"},"uris":["http://www.mendeley.com/documents/?uuid=75cc287d-cd55-39ce-9158-0063e5892907"]},{"id":"ITEM-5","itemData":{"DOI":"10.1176/appi.neuropsych.15090230","ISSN":"15457222","PMID":"27899050","abstract":"Although commonly linked to psychiatric disorders, catatonia is frequently identified secondary to neurological and general medical conditions (GMCs). The present study aimed to characterize the diagnostic workup of cases of catatonia in a general hospital setting. The authors performed a retrospective chart review of 54 cases of catatonia, over 3 years. Clinical suspicion of comorbid delirium was the strongest predictor of a more thorough general medical workup. Attribution of catatonia to a psychiatric etiology was associated with significantly less diagnostic workup. Prospective studies should help clarify the relationship between catatonia and delirium and standardize the diagnostic approach to patients presenting with catatonia.","author":[{"dropping-particle":"","family":"Llesuy","given":"Joan Roig","non-dropping-particle":"","parse-names":false,"suffix":""},{"dropping-particle":"","family":"Coffey","given":"M. Justin","non-dropping-particle":"","parse-names":false,"suffix":""},{"dropping-particle":"","family":"Jacobson","given":"Kristen C.","non-dropping-particle":"","parse-names":false,"suffix":""},{"dropping-particle":"","family":"Cooper","given":"Joseph J.","non-dropping-particle":"","parse-names":false,"suffix":""}],"container-title":"Journal of Neuropsychiatry and Clinical Neurosciences","id":"ITEM-5","issue":"2","issued":{"date-parts":[["2017","3","1"]]},"page":"148-154","publisher":"American Psychiatric Association","title":"Suspected delirium predicts the thoroughness of catatonia evaluation","type":"article-journal","volume":"29"},"uris":["http://www.mendeley.com/documents/?uuid=c61379a4-577f-320e-88a9-90a78f5e01fb"]}],"mendeley":{"formattedCitation":"(20–24)","plainTextFormattedCitation":"(20–24)","previouslyFormattedCitation":"(20–24)"},"properties":{"noteIndex":0},"schema":"https://github.com/citation-style-language/schema/raw/master/csl-citation.json"}</w:instrText>
      </w:r>
      <w:r w:rsidRPr="00677ACC">
        <w:fldChar w:fldCharType="separate"/>
      </w:r>
      <w:r w:rsidR="008104FC" w:rsidRPr="008104FC">
        <w:rPr>
          <w:noProof/>
        </w:rPr>
        <w:t>(20–24)</w:t>
      </w:r>
      <w:r w:rsidRPr="00677ACC">
        <w:fldChar w:fldCharType="end"/>
      </w:r>
      <w:r w:rsidR="008104FC">
        <w:t>.</w:t>
      </w:r>
      <w:r w:rsidRPr="00677ACC">
        <w:t xml:space="preserve">  A review of hospitalized patients found that among 133 individuals who retrospectively met diagnostic criteria for catatonia, only 41% had been recognized during their admission, suggesting that more than half of cases may go undetected </w:t>
      </w:r>
      <w:r w:rsidRPr="00677ACC">
        <w:fldChar w:fldCharType="begin" w:fldLock="1"/>
      </w:r>
      <w:r w:rsidR="008104FC">
        <w:instrText>ADDIN CSL_CITATION {"citationItems":[{"id":"ITEM-1","itemData":{"DOI":"10.1176/APPI.NEUROPSYCH.17060123/ASSET/IMAGES/LARGE/APPI.NEUROPSYCH.17060123F1.JPEG","ISSN":"15457222","PMID":"29325478","abstract":"Catatonia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Neurosciences","id":"ITEM-1","issue":"2","issued":{"date-parts":[["2018","3","1"]]},"page":"145-151","publisher":"American Psychiatric Association","title":"Catatonia under-diagnosis in the general hospital","type":"article-journal","volume":"30"},"uris":["http://www.mendeley.com/documents/?uuid=6cd5a459-b612-397c-88ed-84ca192884ba"]}],"mendeley":{"formattedCitation":"(23)","plainTextFormattedCitation":"(23)","previouslyFormattedCitation":"(23)"},"properties":{"noteIndex":0},"schema":"https://github.com/citation-style-language/schema/raw/master/csl-citation.json"}</w:instrText>
      </w:r>
      <w:r w:rsidRPr="00677ACC">
        <w:fldChar w:fldCharType="separate"/>
      </w:r>
      <w:r w:rsidR="008104FC" w:rsidRPr="008104FC">
        <w:rPr>
          <w:noProof/>
        </w:rPr>
        <w:t>(23)</w:t>
      </w:r>
      <w:r w:rsidRPr="00677ACC">
        <w:fldChar w:fldCharType="end"/>
      </w:r>
      <w:r w:rsidR="008104FC">
        <w:t>.</w:t>
      </w:r>
      <w:r w:rsidR="009C3412" w:rsidRPr="00677ACC">
        <w:t xml:space="preserve"> </w:t>
      </w:r>
      <w:r w:rsidRPr="00677ACC">
        <w:t xml:space="preserve">Therefore, true prevalence rates are likely underestimated, especially outside psychiatric settings </w:t>
      </w:r>
      <w:r w:rsidRPr="00677ACC">
        <w:fldChar w:fldCharType="begin" w:fldLock="1"/>
      </w:r>
      <w:r w:rsidR="008104FC">
        <w:instrText>ADDIN CSL_CITATION {"citationItems":[{"id":"ITEM-1","itemData":{"DOI":"10.1016/j.ajmo.2023.100059","ISSN":"2667-0364","PMID":"39035239","abstract":"BACKGROUND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open","id":"ITEM-1","issued":{"date-parts":[["2023","12"]]},"page":"100059","publisher":"Elsevier BV","title":"Catatonia: A Narrative Review for Hospitalists.","type":"article-journal","volume":"10"},"uris":["http://www.mendeley.com/documents/?uuid=ad166c68-95ef-3925-ab82-55fef7b17120"]},{"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Medicine","id":"ITEM-3","issue":"11","issued":{"date-parts":[["2017","11","1"]]},"page":"1837-1844","publisher":"Lippincott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investigation","type":"article-journal","volume":"45"},"uris":["http://www.mendeley.com/documents/?uuid=d65f5833-93cb-3a9e-9160-0554794dc903"]},{"id":"ITEM-4","itemData":{"DOI":"10.1016/J.JACLP.2024.12.001","ISSN":"2667-2960","PMID":"39662871","abstract":"Background: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Psychiatry","id":"ITEM-4","issued":{"date-parts":[["2024"]]},"publisher":"J Acad Consult Liaison Psychiatry","title":"Palliative Electroconvulsive Therapy: A Descriptive Cohort Study","type":"article-journal"},"uris":["http://www.mendeley.com/documents/?uuid=c1d075d1-af8f-3f1a-91a6-64564dd40c94"]}],"mendeley":{"formattedCitation":"(2,21,25,26)","plainTextFormattedCitation":"(2,21,25,26)","previouslyFormattedCitation":"(2,21,25,26)"},"properties":{"noteIndex":0},"schema":"https://github.com/citation-style-language/schema/raw/master/csl-citation.json"}</w:instrText>
      </w:r>
      <w:r w:rsidRPr="00677ACC">
        <w:fldChar w:fldCharType="separate"/>
      </w:r>
      <w:r w:rsidR="008104FC" w:rsidRPr="008104FC">
        <w:rPr>
          <w:noProof/>
        </w:rPr>
        <w:t>(2,21,25,26)</w:t>
      </w:r>
      <w:r w:rsidRPr="00677ACC">
        <w:fldChar w:fldCharType="end"/>
      </w:r>
      <w:r w:rsidR="008104FC">
        <w:t>.</w:t>
      </w:r>
    </w:p>
    <w:p w14:paraId="2E69660B" w14:textId="4FF4464A" w:rsidR="0016432B" w:rsidRPr="00677ACC" w:rsidRDefault="0016432B" w:rsidP="00677ACC">
      <w:pPr>
        <w:spacing w:before="100" w:beforeAutospacing="1" w:after="100" w:afterAutospacing="1" w:line="480" w:lineRule="auto"/>
        <w:rPr>
          <w:rFonts w:eastAsiaTheme="minorHAnsi"/>
          <w:kern w:val="2"/>
          <w14:ligatures w14:val="standardContextual"/>
        </w:rPr>
      </w:pPr>
      <w:r w:rsidRPr="00677ACC">
        <w:lastRenderedPageBreak/>
        <w:t>Reported prevalence rates vary widely across settings. In psychiatric populations, catatonia is found in 5–18% of inpatients, with higher rates observed among those with mood disorders</w:t>
      </w:r>
      <w:r w:rsidR="008104FC">
        <w:t xml:space="preserve"> </w:t>
      </w:r>
      <w:r w:rsidRPr="00677ACC">
        <w:fldChar w:fldCharType="begin" w:fldLock="1"/>
      </w:r>
      <w:r w:rsidR="008104FC">
        <w:instrText>ADDIN CSL_CITATION {"citationItems":[{"id":"ITEM-1","itemData":{"DOI":"10.1017/CBO9780511543777","ISBN":"9780521822268","author":[{"dropping-particle":"","family":"Fink","given":"Max","non-dropping-particle":"","parse-names":false,"suffix":""},{"dropping-particle":"","family":"Taylor","given":"Michael Alan","non-dropping-particle":"","parse-names":false,"suffix":""}],"id":"ITEM-1","issued":{"date-parts":[["2003","3","20"]]},"publisher":"Cambridge University Press","title":"Catatonia","type":"article-journal"},"uris":["http://www.mendeley.com/documents/?uuid=7b77f54a-99f2-3313-a7a3-d236e2e55c23"]},{"id":"ITEM-2","itemData":{"DOI":"10.3389/FPSYT.2014.00174","ISSN":"16640640","abstract":"Objective: In this exploratory open label study, we investigated the prevalence of catatonia in an acute psychiatric inpatient population. In addition, differences in symptom presentation of catatonia depending on the underlying psychiatric illness were investigated. Methods: One hundred thirty patients were assessed with the Bush-Francis Catatonia Rating Scale (BFCRS), the Positive and Negative Syndrome Scale, the Young Mania Rating Scale, and the Simpson-Angus Scale. A factor analysis was conducted in order to generate six catatonic symptom clusters. Composite scores based on this principal component analysis were calculated. Results: When focusing on the first 14 items of the BFCRS, 101 patients (77.7%) had at least 1 symptom scoring 1 or higher, whereas, 66 patients (50.8%) had at least 2 symptoms. Interestingly, when focusing on the DSM-5 criteria of catatonia, 22 patients (16.9%) could be considered for this diagnosis. Furthermore, different symptom profiles were found, depending on the underlying psychopathology. Psychotic symptomatology correlated strongly with excitement symptomatology (r = 0.528, p &lt; 0.001) and to a lesser degree with the stereotypy/mannerisms symptom cluster (r = 0.289; p = 0.001) and the echo/perseveration symptom cluster (r = 0.185; p = 0.035). Similarly, manic symptomatology correlated strongly with the excitement symptom cluster (r = 0.596; p &lt; 0.001) and to a lesser extent with the stereotypy/mannerisms symptom cluster (r = 0.277; p = 0.001). Conclusion: There was a high prevalence of catatonic symptomatology. Depending on the criteria being used, we noticed an important difference in exact prevalence, which makes it clear that we need clear-cut criteria. Another important finding is the fact that the catatonic presentation may vary depending on the underlying pathology, although an unambiguous delineation between these catatonic presentations cannot be made. Future research is needed to determine diagnostical criteria of catatonia, which are clinically relevant.","author":[{"dropping-particle":"","family":"Stuivenga","given":"Mirella","non-dropping-particle":"","parse-names":false,"suffix":""},{"dropping-particle":"","family":"Morrens","given":"Manuel","non-dropping-particle":"","parse-names":false,"suffix":""}],"container-title":"Frontiers in Psychiatry","id":"ITEM-2","issue":"DEC","issued":{"date-parts":[["2014"]]},"publisher":"Frontiers Research Foundation","title":"Prevalence of the catatonic syndrome in an acute inpatient sample","type":"article-journal","volume":"5"},"uris":["http://www.mendeley.com/documents/?uuid=a5b52175-c824-3431-b22e-993c880eddca"]},{"id":"ITEM-3","itemData":{"DOI":"10.1159/000083964","ISSN":"02544962","PMID":"15714008","abstract":"Background: Over the last century, especially during the latter half, the prevalence of the diagnosis of catatonic schizophrenia decreased considerably. Several explanations for this phenomenon have been put forward. Sampling and Methods: The present study investigated the frequency of the diagnosis of catatonic schizophrenia in a large sample of admitted psychiatric patients (n = 19,309). In addition, the presence of catatonic symptoms was studied in a sample of patients with schizophrenia (n = 701) and in a group of consecutively admitted psychotic patients (n = 139). In these two groups the effect of the diagnostic procedures on the recognition of catatonia was examined. Results:The diagnosis of catatonic schizophrenia dropped from 7.8% in 1980-1989 to 1.3% in 1990-2001 (p &lt; 0.001). In addition, a possible underdiagnosis of catatonic schizophrenia was found in an independent sample of patients with schizophrenia. Application of a systematic catatonia rating scale in patients admitted with acute psychosis identified a bimodally distributed catatonic dimension. At least 18% of these patients fulfilled the criteria for catatonia. Interestingly, the catatonic subgroup used atypical antipsychotic compounds more frequently (p &lt; 0.05). Conclusions: The results suggest that changes in diagnostic criteria and the diagnostic procedure itself are responsible for the under-recognition of catatonia. Copyright © 2005 S. Karger AG.","author":[{"dropping-particle":"","family":"Heijden","given":"F. M.M.A.","non-dropping-particle":"Van Der","parse-names":false,"suffix":""},{"dropping-particle":"","family":"Tuinier","given":"S.","non-dropping-particle":"","parse-names":false,"suffix":""},{"dropping-particle":"","family":"Arts","given":"N. J.M.","non-dropping-particle":"","parse-names":false,"suffix":""},{"dropping-particle":"","family":"Hoogendoorn","given":"M. L.C.","non-dropping-particle":"","parse-names":false,"suffix":""},{"dropping-particle":"","family":"Kahn","given":"R. S.","non-dropping-particle":"","parse-names":false,"suffix":""},{"dropping-particle":"","family":"Verhoeven","given":"W. M.A.","non-dropping-particle":"","parse-names":false,"suffix":""}],"container-title":"Psychopathology","id":"ITEM-3","issue":"1","issued":{"date-parts":[["2005","1"]]},"page":"3-8","title":"Catatonia: Disappeared or under-diagnosed?","type":"article-journal","volume":"38"},"uris":["http://www.mendeley.com/documents/?uuid=064e49d0-5ae4-3ac5-9dca-884ccc8ed02d"]},{"id":"ITEM-4","itemData":{"DOI":"10.1176/APPI.NEUROPSYCH.15090218","ISSN":"15457222","PMID":"26670787","abstract":"This study describes the prevalence, phenomenology, treatment, and outcome of neurological patients and psychiatric patients with catatonia at a tertiary neurological center. Clinical variables included nosological diagnoses and complications. Admission length and days with catatonia were used as outcome measures. Of 2,044 patients who were evaluated prospectively, 68 (3.32%) had catatonia, 42 (61.7%) were neurological patients, 19 (27.9%) were psychiatric patients, and 7 (10.2%) had drug-related diagnoses. Of all patients, the ratio of neurological to psychiatric patients was 3:1. Encephalitis was the most common diagnosis (N=26 [38.2%]), followed by schizophrenia (N=12 [17.6%]). Psychiatric patients exhibited a stuporous type of catatonia (15 [83.3%] versus 14 [33.3%], p&gt;0.001), whereas neurological patients exhibited a mixed form of catatonia (25 [59.5%] versus 1 [5.6], p&lt;0.001). Neurological patients had more complications, longer hospitalizations, and more days with catatonia. A total of 56 patients (82.3%) received lorazepam, and 14 patients (20.5%) underwent ECT. Second-and thirdline treatments included amantadine, bromocriptine, and levodopa. Catatonia is a prevalent syndrome that can remit with proper and opportune treatment.","author":[{"dropping-particle":"","family":"Espinola-Nadurille","given":"Mariana","non-dropping-particle":"","parse-names":false,"suffix":""},{"dropping-particle":"","family":"Ramirez-Bermudez","given":"Jesus","non-dropping-particle":"","parse-names":false,"suffix":""},{"dropping-particle":"","family":"Fricchione","given":"Gregory L.","non-dropping-particle":"","parse-names":false,"suffix":""},{"dropping-particle":"","family":"Ojeda-Lopez","given":"M. Carmen","non-dropping-particle":"","parse-names":false,"suffix":""},{"dropping-particle":"","family":"Perez-González","given":"Andres F.","non-dropping-particle":"","parse-names":false,"suffix":""},{"dropping-particle":"","family":"Aguilar-Venegas","given":"Luis C.","non-dropping-particle":"","parse-names":false,"suffix":""}],"container-title":"Journal of Neuropsychiatry and Clinical Neurosciences","id":"ITEM-4","issue":"2","issued":{"date-parts":[["2016","3","1"]]},"page":"124-130","publisher":"American Psychiatric Association","title":"Catatonia in neurologic and psychiatric patients at a tertiary neurological center","type":"article-journal","volume":"28"},"uris":["http://www.mendeley.com/documents/?uuid=c120a7eb-1598-318e-8ac0-8a060967a7d1"]},{"id":"ITEM-5","itemData":{"DOI":"10.1016/J.SCHRES.2009.12.023","ISSN":"09209964","PMID":"20071147","abstract":"Objective: To examine the prevalence, psychometric validity and response to antipsychotic drugs of DSM-IV catatonia signs and criteria in patients with a first-episode psychotic disorder. Methods: Two-hundred antipsychotic-naive patients with a DSM-IV nonaffective psychosis were assessed for catatonia signs and criteria using the Modified Rogers Scale, and the psychometric validity of the 12 DSM-IV catatonia signs and diagnostic criteria was examined. Treatment response of catatonia was assessed in 173 patients who completed one-month trial with haloperidol (n=23), risperidone (n=93) or olanzapine (n=57). Results: Sixty-two patients (31%) endorsed at least one catatonia sign and 24 (12%) met DSM-IV criteria for catatonia. DSM-IV catatonia signs showed an excellent convergent validity (r&gt;0.8) with other rating scales, and DSM-IV criteria showed moderate to fair concordance with other criteria (κ from 0.57 to 0.77). The total number of signs reflected catatonia severity and demonstrated excellent diagnostic performance against alternative diagnostic criteria. The presence of at least any three signs accurately identified patients with catatonia. Three catatonia domains were identified (hyperkinesia, volitional and hypokinesia), which showed a different association pattern with external variables. Overall, catatonia ratings were particularly related to both dyskinesia and disorganization symptoms and lacked diagnostic specificity for schizophrenia. Patients with catatonia responded well to antipsychotic medication irrespective of the type of antipsychotic drug used, although treatment response was dependent upon the remission of psychotic symptoms. Conclusions: These results may inform the DSM-V development on diagnosis and classification of catatonia, and indicate that catatonia signs and syndromes are highly responsive to antipsychotic drugs. © 2009 Elsevier B.V.","author":[{"dropping-particle":"","family":"Peralta","given":"Victor","non-dropping-particle":"","parse-names":false,"suffix":""},{"dropping-particle":"","family":"Campos","given":"Maria S.","non-dropping-particle":"","parse-names":false,"suffix":""},{"dropping-particle":"","family":"Jalon","given":"Elena Garcia","non-dropping-particle":"de","parse-names":false,"suffix":""},{"dropping-particle":"","family":"Cuesta","given":"Manuel J.","non-dropping-particle":"","parse-names":false,"suffix":""}],"container-title":"Schizophrenia Research","id":"ITEM-5","issue":"1-3","issued":{"date-parts":[["2010","5"]]},"page":"168-175","title":"DSM-IV catatonia signs and criteria in first-episode, drug-naive, psychotic patients: Psychometric validity and response to antipsychotic medication","type":"article-journal","volume":"118"},"uris":["http://www.mendeley.com/documents/?uuid=ee7c0eb8-267d-3c5d-815c-de0ae5dbdfcd"]},{"id":"ITEM-6","itemData":{"author":[{"dropping-particle":"","family":"Burrow","given":"Jeffrey","non-dropping-particle":"","parse-names":false,"suffix":""},{"dropping-particle":"","family":"Spurling","given":"Benjamin","non-dropping-particle":"","parse-names":false,"suffix":""},{"dropping-particle":"","family":"Marwaha","given":"Raman","non-dropping-particle":"","parse-names":false,"suffix":""}],"id":"ITEM-6","issued":{"date-parts":[["2023"]]},"publisher":"StatPearls","title":"Catatonia ","type":"book"},"uris":["http://www.mendeley.com/documents/?uuid=c032afc8-a7be-36b7-a7c1-7021c6eb0547"]}],"mendeley":{"formattedCitation":"(27–32)","plainTextFormattedCitation":"(27–32)","previouslyFormattedCitation":"(27–32)"},"properties":{"noteIndex":0},"schema":"https://github.com/citation-style-language/schema/raw/master/csl-citation.json"}</w:instrText>
      </w:r>
      <w:r w:rsidRPr="00677ACC">
        <w:fldChar w:fldCharType="separate"/>
      </w:r>
      <w:r w:rsidR="008104FC" w:rsidRPr="008104FC">
        <w:rPr>
          <w:noProof/>
        </w:rPr>
        <w:t>(27–32)</w:t>
      </w:r>
      <w:r w:rsidRPr="00677ACC">
        <w:fldChar w:fldCharType="end"/>
      </w:r>
      <w:r w:rsidR="008104FC">
        <w:t>.</w:t>
      </w:r>
      <w:r w:rsidRPr="00677ACC">
        <w:t xml:space="preserve">  On general medical wards, estimates range from 1.6% to 9%, with higher detection in older adults </w:t>
      </w:r>
      <w:r w:rsidRPr="00677ACC">
        <w:fldChar w:fldCharType="begin" w:fldLock="1"/>
      </w:r>
      <w:r w:rsidR="008104FC">
        <w:instrText>ADDIN CSL_CITATION {"citationItems":[{"id":"ITEM-1","itemData":{"DOI":"10.1016/J.PNPBP.2007.04.006","ISSN":"02785846","PMID":"17537561","abstract":"Nowadays, catatonia is no more considered as a subtype of schizophrenia. Catatonia seems more frequently associated to mood disorders as well as general medical conditions. It is sometimes difficult to associate formally a medical etiology to this syndrome. But we found, in the literature, three groups of associated general medical conditions: neurological disorders, drug induced and toxic induced conditions, metabolic conditions. We present a prospective study of 12 clinical cases of catatonia due to general medical conditions we realized in the Consultation-Liaison Psychiatry Department of the University Hospital of LILLE (France) during a period of 5 months. We find coherent data with the literature. However, our results suggest that if medical conditions precipitate the catatonia syndrome, they are rarely its only etiology. We think that if somatic factors are co-morbid with psychiatric conditions they do not necessarily predominate as the target of treatment. The treatment of the catatonia must be a priority and remain symptomatic, to allow in parallel the specific treatment for the somatic disorder or the psychiatric disorder. © 2007 Elsevier Inc. All rights reserved.","author":[{"dropping-particle":"","family":"Cottencin","given":"Olivier","non-dropping-particle":"","parse-names":false,"suffix":""},{"dropping-particle":"","family":"Warembourg","given":"Frédérique","non-dropping-particle":"","parse-names":false,"suffix":""},{"dropping-particle":"","family":"Chouly de Lenclave","given":"Marie Bérengère","non-dropping-particle":"de","parse-names":false,"suffix":""},{"dropping-particle":"","family":"Lucas","given":"Bernard","non-dropping-particle":"","parse-names":false,"suffix":""},{"dropping-particle":"","family":"Vaiva","given":"Guillaume","non-dropping-particle":"","parse-names":false,"suffix":""},{"dropping-particle":"","family":"Goudemand","given":"Michel","non-dropping-particle":"","parse-names":false,"suffix":""},{"dropping-particle":"","family":"Thomas","given":"Pierre","non-dropping-particle":"","parse-names":false,"suffix":""}],"container-title":"Progress in Neuro-Psychopharmacology and Biological Psychiatry","id":"ITEM-1","issue":"6","issued":{"date-parts":[["2007","8","15"]]},"page":"1170-1176","title":"Catatonia and consultation-liaison psychiatry study of 12 cases","type":"article-journal","volume":"31"},"uris":["http://www.mendeley.com/documents/?uuid=2cab18aa-f960-3136-913c-d80b646ba639"]},{"id":"ITEM-2","itemData":{"DOI":"10.2190/GTPP-MHH3-HKCP-R2NH","ISSN":"00912174","PMID":"7737788","abstract":"Objective: The aim of this study is to identify the frequency, presentation, identification, treatment recommendations and outcome of patients with catatonia in the general hospital setting. Method: All patients seen on a consultation-liaison (C-L) service over a six-month period were screened prospectively for catatonic disorders. Research and DSM-IV criteria for catatonic disorder were applied. Treatment and outcome were naturalistic. Results: Five (1.6%) of 297 patients met restrictive criteria for catatonic disorder. Data were extracted from medical charts. Case reports are presented to reflect the diagnosis and treatment. Extensive medical treatment was required in most cases and most had an unfavorable outcome. Conclusion: Catatonia is infrequent but underrecognized in medical-surgical settings. The C-L clinician should screen for catatonic signs in order to diagnose and treat patients with the catatonic disorders.","author":[{"dropping-particle":"","family":"Carroll","given":"B. T.","non-dropping-particle":"","parse-names":false,"suffix":""},{"dropping-particle":"","family":"Spetie","given":"L.","non-dropping-particle":"","parse-names":false,"suffix":""}],"container-title":"International Journal of Psychiatry in Medicine","id":"ITEM-2","issue":"4","issued":{"date-parts":[["1994"]]},"page":"329-337","publisher":"Baywood Publishing Co. Inc.","title":"Catatonia on the consultation-liaison service: A replication study","type":"article-journal","volume":"24"},"uris":["http://www.mendeley.com/documents/?uuid=c5455b3b-79aa-3ac1-823a-d651baeb6c33"]},{"id":"ITEM-3","itemData":{"DOI":"10.1016/J.GENHOSPPSYCH.2013.04.009","ISSN":"01638343","PMID":"23684045","abstract":"Aim: To determine the frequency and clinical correlations of catatonia in older patients referred to a liaison psychiatry service in a general hospital. Patients and Methods: All patients over 65 years referred to liaison psychiatry were screened for catatonic phenomena with the Bush-Francis Catatonia Screening Instrument (BFCSI) between January and May 2012. Their clinical characteristics and the outcome of treatment were recorded. Results: One hundred and twelve patients over 65 years were referred. Ten (8.9%) met research diagnostic criteria for catatonia and 7 (6.3%) Diagnostic and Statistical Manual of Mental Disorders, 4th Edition criteria for catatonia. All patients presented with the inhibited variant and 5 to 12 catatonic signs. Three patients presented concomitant delirium. The etiology of catatonia was multifactorial, and complications and death were frequent (40% and 20%, respectively). Lorazepam achieved full resolution of catatonia in 50% of patients. Conclusions: Catatonia in older adults referred to liaison psychiatry in a general hospital is not infrequent and has a multifactorial etiology. The BFCSI is a simple and reliable instrument to detect catatonia in this population. Lorazepam seems to be an effective treatment. © 2013 Elsevier Inc.","author":[{"dropping-particle":"","family":"Jaimes-Albornoz","given":"Walter","non-dropping-particle":"","parse-names":false,"suffix":""},{"dropping-particle":"","family":"Serra-Mestres","given":"Jordi","non-dropping-particle":"","parse-names":false,"suffix":""}],"container-title":"General Hospital Psychiatry","id":"ITEM-3","issue":"5","issued":{"date-parts":[["2013","9"]]},"page":"512-516","title":"Prevalence and clinical correlations of catatonia in older adults referred to a liaison psychiatry service in a general hospital","type":"article-journal","volume":"35"},"uris":["http://www.mendeley.com/documents/?uuid=6d852a2c-6c23-31f4-ac6f-15e408d6e307"]},{"id":"ITEM-4","itemData":{"DOI":"10.1111/J.1600-0447.2011.01778.X","ISSN":"0001690X","PMID":"22040029","abstract":"Objective: Identify the frequency of catatonia among at-risk children and adolescents receiving psychiatric treatment. Method: Subjects were children and adolescents (&lt;18years), who had received psychiatric treatment at a University Hospital during 2004-2009, and were diagnosed with disorders with known risk for catatonia or displayed symptoms suggestive of catatonia. Approval was obtained from the Investigational Review Board (IRB). The first 101 (n=101) subjects were selected among 570 subjects identified by psychiatric diagnoses: any pervasive developmental disorder, psychosis-NOS (Not Otherwise Specified), intermittent explosive disorder, mental retardation, catatonia and neuroleptic malignant syndrome. Subjects met study-defined criteria for catatonia, if they had three or more of the following symptoms: unexplained agitation/excitement, disturbed or unusual movements, reduced movements, repetitive or stereotyped movements, or reduced or loss of speech. Results: Eighteen (17.8%) subjects, among a group suspected to be at a higher risk for catatonia, met the study-defined criteria for this syndrome. However, only two subjects had been diagnosed by their treatment providers. Higher rates of intellectual disability and aggression were found among the group that met study-criteria. Conclusion: We concluded that catatonia is under recognized and undertreated among children and adolescents receiving psychiatric treatment. © 2011 John Wiley &amp; Sons A/S.","author":[{"dropping-particle":"","family":"Ghaziuddin","given":"N.","non-dropping-particle":"","parse-names":false,"suffix":""},{"dropping-particle":"","family":"Dhossche","given":"D.","non-dropping-particle":"","parse-names":false,"suffix":""},{"dropping-particle":"","family":"Marcotte","given":"K.","non-dropping-particle":"","parse-names":false,"suffix":""}],"container-title":"Acta Psychiatrica Scandinavica","id":"ITEM-4","issue":"1","issued":{"date-parts":[["2012","1"]]},"page":"33-38","title":"Retrospective chart review of catatonia in child and adolescent psychiatric patients","type":"article-journal","volume":"125"},"uris":["http://www.mendeley.com/documents/?uuid=bc6d89ff-babc-3a5f-b99b-83733f4a3854"]},{"id":"ITEM-5","itemData":{"DOI":"10.1016/J.SCHRES.2023.07.031","ISSN":"1573-2509","PMID":"37580182","abstract":"Background: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research","id":"ITEM-5","issued":{"date-parts":[["2024","1","1"]]},"page":"223-228","publisher":"Schizophr Res","title":"In-hospital catatonia, delirium, and coma and mortality: Results from the delirium and catatonia prospective cohort investigation","type":"article-journal","volume":"263"},"uris":["http://www.mendeley.com/documents/?uuid=48fbaf5d-c9e0-3e72-ac1a-5e8bea6d87b5"]}],"mendeley":{"formattedCitation":"(20,33–36)","plainTextFormattedCitation":"(20,33–36)","previouslyFormattedCitation":"(20,33–36)"},"properties":{"noteIndex":0},"schema":"https://github.com/citation-style-language/schema/raw/master/csl-citation.json"}</w:instrText>
      </w:r>
      <w:r w:rsidRPr="00677ACC">
        <w:fldChar w:fldCharType="separate"/>
      </w:r>
      <w:r w:rsidR="008104FC" w:rsidRPr="008104FC">
        <w:rPr>
          <w:noProof/>
        </w:rPr>
        <w:t>(20,33–36)</w:t>
      </w:r>
      <w:r w:rsidRPr="00677ACC">
        <w:fldChar w:fldCharType="end"/>
      </w:r>
      <w:r w:rsidR="008104FC">
        <w:t>.</w:t>
      </w:r>
      <w:r w:rsidRPr="00677ACC">
        <w:t xml:space="preserve"> In critical care settings, reported rates range from 3.8% up to 23%, depending on the population studied and the diagnostic methods used </w:t>
      </w:r>
      <w:r w:rsidRPr="00677ACC">
        <w:fldChar w:fldCharType="begin" w:fldLock="1"/>
      </w:r>
      <w:r w:rsidR="008104FC">
        <w:instrText>ADDIN CSL_CITATION {"citationItems":[{"id":"ITEM-1","itemData":{"DOI":"10.1016/J.SCHRES.2023.12.019","ISSN":"1573-2509","PMID":"38183961","author":[{"dropping-particle":"","family":"Ferrafiat","given":"Vladimir","non-dropping-particle":"","parse-names":false,"suffix":""},{"dropping-particle":"","family":"Wachtel","given":"Lee","non-dropping-particle":"","parse-names":false,"suffix":""},{"dropping-particle":"","family":"Dhossche","given":"Dirk","non-dropping-particle":"","parse-names":false,"suffix":""},{"dropping-particle":"","family":"Hauptman","given":"Aaron","non-dropping-particle":"","parse-names":false,"suffix":""}],"container-title":"Schizophrenia research","id":"ITEM-1","issued":{"date-parts":[["2024","2","1"]]},"page":"233-235","publisher":"Schizophr Res","title":"Catatonia is an outpatient reality. What do we do now?","type":"article-journal","volume":"264"},"uris":["http://www.mendeley.com/documents/?uuid=d7926fc1-ba57-3642-918a-9828562b8fb4"]},{"id":"ITEM-2","itemData":{"DOI":"10.1002/AUR.3315","ISSN":"19393806","abstract":"Catatonia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Research","id":"ITEM-2","issued":{"date-parts":[["2025","2","1"]]},"publisher":"John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Study","type":"article-journal"},"uris":["http://www.mendeley.com/documents/?uuid=dbce7f6a-f302-3c42-b638-1091a7cbf1bf"]},{"id":"ITEM-3","itemData":{"DOI":"10.1016/J.SCHRES.2023.07.031","ISSN":"1573-2509","PMID":"37580182","abstract":"Background: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research","id":"ITEM-3","issued":{"date-parts":[["2024","1","1"]]},"page":"223-228","publisher":"Schizophr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mendeley":{"formattedCitation":"(17,20,37,38)","plainTextFormattedCitation":"(17,20,37,38)","previouslyFormattedCitation":"(17,20,37,38)"},"properties":{"noteIndex":0},"schema":"https://github.com/citation-style-language/schema/raw/master/csl-citation.json"}</w:instrText>
      </w:r>
      <w:r w:rsidRPr="00677ACC">
        <w:fldChar w:fldCharType="separate"/>
      </w:r>
      <w:r w:rsidR="008104FC" w:rsidRPr="008104FC">
        <w:rPr>
          <w:noProof/>
        </w:rPr>
        <w:t>(17,20,37,38)</w:t>
      </w:r>
      <w:r w:rsidRPr="00677ACC">
        <w:fldChar w:fldCharType="end"/>
      </w:r>
      <w:r w:rsidR="008104FC">
        <w:t>.</w:t>
      </w:r>
      <w:r w:rsidRPr="00677ACC">
        <w:t xml:space="preserve"> Among children, prevalence estimates range from 0.01% of all pediatric discharges, to 0.6% in adolescent psychiatric inpatients, and up to 17% in children and adolescents with neurodevelopmental disorders, particularly those with autism spectrum disorder</w:t>
      </w:r>
      <w:r w:rsidR="008104FC">
        <w:t xml:space="preserve"> </w:t>
      </w:r>
      <w:r w:rsidRPr="00677ACC">
        <w:fldChar w:fldCharType="begin" w:fldLock="1"/>
      </w:r>
      <w:r w:rsidR="008104FC">
        <w:instrText>ADDIN CSL_CITATION {"citationItems":[{"id":"ITEM-1","itemData":{"DOI":"10.3389/FPSYT.2022.878173","ISSN":"1664-0640","PMID":"35573347","abstract":"Objective: Catatonia is a neuropsychiatric condition occurring across the age spectrum and associated with great morbidity and mortality. While prospective cohorts have investigated catatonia incidence among psychiatric patients, no studies have comprehensively explored the incidence of catatonia in general hospitals. We examine the incidence of catatonia diagnosis, demographics of catatonia patients, comorbidities, and inpatient procedures utilized among pediatric patients hospitalized with catatonia in the United States. Methods: The Kids' Inpatient Database, a national all-payors sample of pediatric hospitalizations in general hospitals, was examined for the year 2019. Hospitalizations with a discharge diagnosis of catatonia were included in the analysis. Hospitalizations with catatonia as the primary discharge diagnosis were compared to hospitalizations with catatonia as a secondary discharge diagnosis. Results: A total of 900 (95% CI: 850–949) pediatric discharges (291 with catatonia as a primary diagnosis, 609 with catatonia as a secondary diagnosis) occurred during the study year. Mean age was 15.6 ± 2.6 years, and 9.9% were under age 13. Comorbidities were common among patients with catatonia, with psychotic disorders (165; 18.3%), major depressive disorder (69; 7.7%), bipolar disorder (39; 4.3%) and substance-related disorders (20; 2.2%) as the most common primary diagnoses. There was significant comorbidity with neurologic illness, developmental disorders, autism spectrum disorder, and inflammatory conditions. In total 390 catatonia discharges (43.3%) included at least one procedure during admission. Conclusions: catatonia is rarely diagnosed in pediatric patients in general hospitals but is associated with significant and severe psychiatric and medical comorbidities. Further research is needed into the optimal diagnosis, workup, and treatment of catatonia in pediatric patients.","author":[{"dropping-particle":"","family":"Luccarelli","given":"James","non-dropping-particle":"","parse-names":false,"suffix":""},{"dropping-particle":"","family":"Kalinich","given":"Mark","non-dropping-particle":"","parse-names":false,"suffix":""},{"dropping-particle":"","family":"Fernandez-Robles","given":"Carlos","non-dropping-particle":"","parse-names":false,"suffix":""},{"dropping-particle":"","family":"Fricchione","given":"Gregory","non-dropping-particle":"","parse-names":false,"suffix":""},{"dropping-particle":"","family":"Beach","given":"Scott R.","non-dropping-particle":"","parse-names":false,"suffix":""}],"container-title":"Frontiers in psychiatry","id":"ITEM-1","issued":{"date-parts":[["2022","4","29"]]},"publisher":"Front Psychiatry","title":"The Incidence of Catatonia Diagnosis Among Pediatric Patients Discharged From General Hospitals in the United States: A Kids' Inpatient Database Study","type":"article-journal","volume":"13"},"uris":["http://www.mendeley.com/documents/?uuid=5d628e23-7a5a-38c7-ad98-c008398ddc9a"]},{"id":"ITEM-2","itemData":{"DOI":"10.1097/DBP.0000000000001252","ISSN":"1536-7312","PMID":"38451868","abstract":"Objective:Catatonia is a distinct and severe medical syndrome comprising motor, somatic, and psychiatric symptoms that is reported in upwards of 17% of young patients with autism spectrum disorders. Clinical experience indicates catatonia is often under-recognized in this clinical population. Here we characterize the clinical presentation of catatonia in patients with and without neurodevelopmental disorders (NDDs) including autism, including the time from symptom onset to diagnosis of catatonia.Method:Retrospective chart review of electronic medical records at a large, academic pediatric medical center identified 113 pediatric and young adult patients with a charted history of catatonia, as identified by an encounter diagnosis or problem list entry between September 2017 and September 2021. Workup, treatments, and diagnoses (psychiatric, neurodevelopmental, and genetic) were identified.Results:We observed a clear and substantial delay in identification of catatonia in those with NDDs (diagnosis after 330 days for those without psychosis) compared with neurotypical patients (</w:instrText>
      </w:r>
      <w:r w:rsidR="008104FC">
        <w:rPr>
          <w:rFonts w:ascii="Cambria Math" w:hAnsi="Cambria Math" w:cs="Cambria Math"/>
        </w:rPr>
        <w:instrText>∼</w:instrText>
      </w:r>
      <w:r w:rsidR="008104FC">
        <w:instrText>16 days). Psychiatry involvement was associated with shorter delays.Conclusion:Intellectual disability and autism are risk factors for significantly delayed diagnosis of catatonia. It is unknown whether delayed diagnosis contributes to the difficulty in treating catatonia in this patient population or whether the treatment difficulties relate instead to differential and ongoing biological mechanisms and underlying encephalopathy. Overall, these findings highlight the importance of increased recognition of catatonia symptoms in patients with NDDs and suggest early referral to psychiatric specialists may shorten the delay to diagnosis.","author":[{"dropping-particle":"","family":"Zappia","given":"Katherine J.","non-dropping-particle":"","parse-names":false,"suffix":""},{"dropping-particle":"","family":"Shillington","given":"Amelle","non-dropping-particle":"","parse-names":false,"suffix":""},{"dropping-particle":"","family":"Fosdick","given":"Cara","non-dropping-particle":"","parse-names":false,"suffix":""},{"dropping-particle":"","family":"Erickson","given":"Craig A.","non-dropping-particle":"","parse-names":false,"suffix":""},{"dropping-particle":"","family":"Lamy","given":"Martine","non-dropping-particle":"","parse-names":false,"suffix":""},{"dropping-particle":"","family":"Dominick","given":"Kelli C.","non-dropping-particle":"","parse-names":false,"suffix":""}],"container-title":"Journal of developmental and behavioral pediatrics : JDBP","id":"ITEM-2","issue":"2","issued":{"date-parts":[["2024","3","1"]]},"page":"E137-E142","publisher":"J Dev Behav Pediatr","title":"Neurodevelopmental Disorders Including Autism Spectrum Disorder and Intellectual Disability as a Risk Factor for Delayed Diagnosis of Catatonia","type":"article-journal","volume":"45"},"uris":["http://www.mendeley.com/documents/?uuid=2a3d6b85-976b-3e5f-aa92-d8549ec31caf"]}],"mendeley":{"formattedCitation":"(39,40)","plainTextFormattedCitation":"(39,40)","previouslyFormattedCitation":"(39,40)"},"properties":{"noteIndex":0},"schema":"https://github.com/citation-style-language/schema/raw/master/csl-citation.json"}</w:instrText>
      </w:r>
      <w:r w:rsidRPr="00677ACC">
        <w:fldChar w:fldCharType="separate"/>
      </w:r>
      <w:r w:rsidR="008104FC" w:rsidRPr="008104FC">
        <w:rPr>
          <w:noProof/>
        </w:rPr>
        <w:t>(39,40)</w:t>
      </w:r>
      <w:r w:rsidRPr="00677ACC">
        <w:fldChar w:fldCharType="end"/>
      </w:r>
      <w:r w:rsidR="008104FC">
        <w:t>.</w:t>
      </w:r>
      <w:r w:rsidRPr="00677ACC">
        <w:t xml:space="preserve"> </w:t>
      </w:r>
      <w:r w:rsidR="00F5530E" w:rsidRPr="00677ACC">
        <w:t>Often conceptualized as a condition of acute hospitalization, catatonia is also encountered in outpatient care, though its recognition remains limited</w:t>
      </w:r>
      <w:r w:rsidR="008104FC">
        <w:t xml:space="preserve"> </w:t>
      </w:r>
      <w:r w:rsidR="004A6623" w:rsidRPr="00677ACC">
        <w:fldChar w:fldCharType="begin" w:fldLock="1"/>
      </w:r>
      <w:r w:rsidR="008104FC">
        <w:instrText>ADDIN CSL_CITATION {"citationItems":[{"id":"ITEM-1","itemData":{"DOI":"10.1016/J.SCHRES.2023.12.019","ISSN":"1573-2509","PMID":"38183961","author":[{"dropping-particle":"","family":"Ferrafiat","given":"Vladimir","non-dropping-particle":"","parse-names":false,"suffix":""},{"dropping-particle":"","family":"Wachtel","given":"Lee","non-dropping-particle":"","parse-names":false,"suffix":""},{"dropping-particle":"","family":"Dhossche","given":"Dirk","non-dropping-particle":"","parse-names":false,"suffix":""},{"dropping-particle":"","family":"Hauptman","given":"Aaron","non-dropping-particle":"","parse-names":false,"suffix":""}],"container-title":"Schizophrenia research","id":"ITEM-1","issued":{"date-parts":[["2024","2","1"]]},"page":"233-235","publisher":"Schizophr Res","title":"Catatonia is an outpatient reality. What do we do now?","type":"article-journal","volume":"264"},"uris":["http://www.mendeley.com/documents/?uuid=d7926fc1-ba57-3642-918a-9828562b8fb4"]}],"mendeley":{"formattedCitation":"(37)","plainTextFormattedCitation":"(37)","previouslyFormattedCitation":"(37)"},"properties":{"noteIndex":0},"schema":"https://github.com/citation-style-language/schema/raw/master/csl-citation.json"}</w:instrText>
      </w:r>
      <w:r w:rsidR="004A6623" w:rsidRPr="00677ACC">
        <w:fldChar w:fldCharType="separate"/>
      </w:r>
      <w:r w:rsidR="008104FC" w:rsidRPr="008104FC">
        <w:rPr>
          <w:noProof/>
        </w:rPr>
        <w:t>(37)</w:t>
      </w:r>
      <w:r w:rsidR="004A6623" w:rsidRPr="00677ACC">
        <w:fldChar w:fldCharType="end"/>
      </w:r>
      <w:r w:rsidR="008104FC">
        <w:t>.</w:t>
      </w:r>
      <w:r w:rsidRPr="00677ACC">
        <w:t xml:space="preserve"> </w:t>
      </w:r>
    </w:p>
    <w:p w14:paraId="04A079EE" w14:textId="7CEA3D26" w:rsidR="0016432B" w:rsidRPr="00677ACC" w:rsidRDefault="0016432B" w:rsidP="00677ACC">
      <w:pPr>
        <w:spacing w:before="240" w:after="240" w:line="480" w:lineRule="auto"/>
        <w:rPr>
          <w:b/>
          <w:bCs/>
        </w:rPr>
      </w:pPr>
      <w:r w:rsidRPr="00677ACC">
        <w:rPr>
          <w:b/>
          <w:bCs/>
        </w:rPr>
        <w:t>Pathophysiology</w:t>
      </w:r>
    </w:p>
    <w:p w14:paraId="243DCC84" w14:textId="295D9362" w:rsidR="0016432B" w:rsidRPr="00677ACC" w:rsidRDefault="0016432B" w:rsidP="00677ACC">
      <w:pPr>
        <w:pStyle w:val="NormalWeb"/>
        <w:spacing w:line="480" w:lineRule="auto"/>
      </w:pPr>
      <w:r w:rsidRPr="00677ACC">
        <w:t>Catatonia arises from a convergence of complex and interacting biological processes. While its precise pathophysiology remains incompletely understood, evidence suggests it reflects widespread disruptions across neurochemical, structural, and genetic systems. Rather than stemming from a single lesion or neurotransmitter deficit, catatonia likely represents a final common pathway of dysfunction involving motor control, affect regulation, and arousal</w:t>
      </w:r>
      <w:r w:rsidR="008104FC">
        <w:t xml:space="preserve"> </w:t>
      </w:r>
      <w:r w:rsidR="008104FC">
        <w:fldChar w:fldCharType="begin" w:fldLock="1"/>
      </w:r>
      <w:r w:rsidR="008104FC">
        <w:instrText>ADDIN CSL_CITATION {"citationItems":[{"id":"ITEM-1","itemData":{"DOI":"10.1017/S0033291720001853","ISSN":"1469-8978","PMID":"32539902","abstract":"Background Catatonia is a frequent, complex and severe identifiable syndrome of motor dysregulation. However, its pathophysiology is poorly understood.Methods We aimed to provide a systematic review of all brain imaging studies (both structural and functional) in catatonia.Results We identified 137 case reports and 18 group studies representing 186 individual patients with catatonia. Catatonia is often associated with brain imaging abnormalities (in more than 75% of cases). The majority of the case reports show diffuse lesions of white matter, in a wide range of brain regions. Most of the case reports of functional imaging usually show frontal, temporal, or basal ganglia hypoperfusion. These abnormalities appear to be alleviated after successful treatment of clinical symptoms. Structural brain magnetic resonance imaging studies are very scarce in the catatonia literature, mostly showing diffuse cerebral atrophy. Group studies assessing functional brain imaging after catatonic episodes show that emotional dysregulation is related to the GABAergic system, with hypoactivation of orbitofrontal cortex, hyperactivation of median prefrontal cortex, and dysconnectivity between frontal and motor areas.Conclusion In catatonia, brain imaging is abnormal in the majority of cases, and abnormalities more frequently diffuse than localised. Brain imaging studies published so far suffer from serious limitations and for now the different models presented in the literature do not explain most of the cases. There is an important need for further studies including a better clinical characterisation of patients with catatonia, functional imaging with concurrent catatonic symptoms and the use of novel brain imaging techniques.","author":[{"dropping-particle":"","family":"Haroche","given":"Alexandre","non-dropping-particle":"","parse-names":false,"suffix":""},{"dropping-particle":"","family":"Rogers","given":"Jonathan","non-dropping-particle":"","parse-names":false,"suffix":""},{"dropping-particle":"","family":"Plaze","given":"Marion","non-dropping-particle":"","parse-names":false,"suffix":""},{"dropping-particle":"","family":"Gaillard","given":"Raphaël","non-dropping-particle":"","parse-names":false,"suffix":""},{"dropping-particle":"","family":"Williams","given":"Steve C.R.","non-dropping-particle":"","parse-names":false,"suffix":""},{"dropping-particle":"","family":"Thomas","given":"Pierre","non-dropping-particle":"","parse-names":false,"suffix":""},{"dropping-particle":"","family":"Amad","given":"Ali","non-dropping-particle":"","parse-names":false,"suffix":""}],"container-title":"Psychological medicine","id":"ITEM-1","issue":"10","issued":{"date-parts":[["2020","7","1"]]},"page":"1585-1597","publisher":"Psychol Med","title":"Brain imaging in catatonia: systematic review and directions for future research","type":"article-journal","volume":"50"},"uris":["http://www.mendeley.com/documents/?uuid=a0ffc0a7-85b7-3e96-a15f-a249d6cbfac6"]},{"id":"ITEM-2","itemData":{"DOI":"10.1016/j.jpsychores.2024.111640","ISSN":"18791360","PMID":"38484496","abstract":"Background: Catatonia is a challenging and heterogeneous neuropsychiatric syndrome of motor, affective and behavioral dysregulation which has been associated with multiple disorders such as structural brain lesions, systemic diseases, and psychiatric disorders. This systematic review summarized and compared functional neuroimaging abnormalities in catatonia associated with psychiatric and medical conditions. Methods: Using PRISMA methods, we completed a systematic review of 6 databases from inception to February 7th, 2024 of patients with catatonia that had functional neuroimaging performed. Results: A total of 309 studies were identified through the systematic search and 62 met the criteria for full-text review. A total of 15 studies reported patients with catatonia associated with a psychiatric disorder (n = 241) and one study reported catatonia associated with another medical condition, involving patients with N-methyl-D-aspartate receptor antibody encephalitis (n = 23). Findings varied across disorders, with hyperactivity observed in areas like the prefrontal cortex (PFC), the supplementary motor area (SMA) and the ventral pre-motor cortex in acute catatonia associated to a psychiatric disorder, hypoactivity in PFC, the parietal cortex, and the SMA in catatonia associated to a medical condition, and mixed metabolic activity in the study on catatonia linked to a medical condition. Conclusion: Findings support the theory of dysfunction in cortico-striatal-thalamic, cortico-cerebellar, anterior cingulate-medial orbitofrontal, and lateral orbitofrontal networks in catatonia. However, the majority of the literature focuses on schizophrenia spectrum disorders, leaving the pathophysiologic characteristics of catatonia in other disorders less understood. This review highlights the need for further research to elucidate the pathophysiology of catatonia across various disorders.","author":[{"dropping-particle":"","family":"Duque","given":"Laura","non-dropping-particle":"","parse-names":false,"suffix":""},{"dropping-particle":"","family":"Ghafouri","given":"Mohammad","non-dropping-particle":"","parse-names":false,"suffix":""},{"dropping-particle":"","family":"Nunez","given":"Nicolas A.","non-dropping-particle":"","parse-names":false,"suffix":""},{"dropping-particle":"","family":"Ospina","given":"Juan Pablo","non-dropping-particle":"","parse-names":false,"suffix":""},{"dropping-particle":"","family":"Philbrick","given":"Kemuel L.","non-dropping-particle":"","parse-names":false,"suffix":""},{"dropping-particle":"","family":"Port","given":"John D.","non-dropping-particle":"","parse-names":false,"suffix":""},{"dropping-particle":"","family":"Savica","given":"Rodolfo","non-dropping-particle":"","parse-names":false,"suffix":""},{"dropping-particle":"","family":"Prokop","given":"Larry J.","non-dropping-particle":"","parse-names":false,"suffix":""},{"dropping-particle":"","family":"Rummans","given":"Teresa A.","non-dropping-particle":"","parse-names":false,"suffix":""},{"dropping-particle":"","family":"Singh","given":"Balwinder","non-dropping-particle":"","parse-names":false,"suffix":""}],"container-title":"Journal of Psychosomatic Research","id":"ITEM-2","issued":{"date-parts":[["2024","4","1"]]},"publisher":"Elsevier Inc.","title":"Functional neuroimaging in patients with catatonia: A systematic review","type":"article-journal","volume":"179"},"uris":["http://www.mendeley.com/documents/?uuid=7f8bcb50-30cf-3372-aea1-db3c54d1bb83"]},{"id":"ITEM-3","itemData":{"DOI":"10.1177/08850666221114303","ISSN":"15251489","PMID":"35861966","abstract":"Catatonia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Intensivist","type":"article-journal","volume":"38"},"uris":["http://www.mendeley.com/documents/?uuid=70039731-547d-3494-b614-7e3240f971ee"]},{"id":"ITEM-4","itemData":{"DOI":"10.1016/j.ajmo.2023.100059","ISSN":"2667-0364","PMID":"39035239","abstract":"BACKGROUND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open","id":"ITEM-4","issued":{"date-parts":[["2023","12"]]},"page":"100059","publisher":"Elsevier BV","title":"Catatonia: A Narrative Review for Hospitalists.","type":"article-journal","volume":"10"},"uris":["http://www.mendeley.com/documents/?uuid=ad166c68-95ef-3925-ab82-55fef7b17120"]},{"id":"ITEM-5","itemData":{"DOI":"10.1038/s41572-024-00534-w","ISSN":"2056676X","PMID":"39025858","abstract":"Catatonia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Research","title":"Catatonia","type":"article-journal","volume":"10"},"uris":["http://www.mendeley.com/documents/?uuid=4326a704-62f4-3cc1-b3d9-e311e36e7fa4"]},{"id":"ITEM-6","itemData":{"DOI":"10.3390/NEUROLINT13040057","ISSN":"2035-8385","PMID":"34842777","abstract":"Catatonia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international","id":"ITEM-6","issue":"4","issued":{"date-parts":[["2021","12","1"]]},"page":"570-586","publisher":"Neurol Int","title":"Catatonia: Clinical Overview of the Diagnosis, Treatment, and Clinical Challenges","type":"article-journal","volume":"13"},"uris":["http://www.mendeley.com/documents/?uuid=74d58ac4-f1c2-346b-b84e-e93c435ba06a"]},{"id":"ITEM-7","itemData":{"DOI":"10.1176/JNP.2009.21.4.371","ISSN":"08950172","abstract":"Catatonia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Neurosciences","id":"ITEM-7","issue":"4","issued":{"date-parts":[["2009"]]},"page":"371-380","publisher":"American Psychiatric Association","title":"Catatonia: Clinical aspects and neurobiological correlates","type":"article-journal","volume":"21"},"uris":["http://www.mendeley.com/documents/?uuid=eddb4709-00cd-3f52-9aeb-c861d6b95466"]}],"mendeley":{"formattedCitation":"(17,25,41–45)","plainTextFormattedCitation":"(17,25,41–45)","previouslyFormattedCitation":"(17,25,41–45)"},"properties":{"noteIndex":0},"schema":"https://github.com/citation-style-language/schema/raw/master/csl-citation.json"}</w:instrText>
      </w:r>
      <w:r w:rsidR="008104FC">
        <w:fldChar w:fldCharType="separate"/>
      </w:r>
      <w:r w:rsidR="008104FC" w:rsidRPr="008104FC">
        <w:rPr>
          <w:noProof/>
        </w:rPr>
        <w:t>(17,25,41–45)</w:t>
      </w:r>
      <w:r w:rsidR="008104FC">
        <w:fldChar w:fldCharType="end"/>
      </w:r>
      <w:r w:rsidRPr="00677ACC">
        <w:t xml:space="preserve">. </w:t>
      </w:r>
      <w:r w:rsidR="009C3412" w:rsidRPr="00677ACC">
        <w:t>Although subtypes discussed below share overlapping features, each may arise from distinct mechanisms</w:t>
      </w:r>
      <w:r w:rsidRPr="00677ACC">
        <w:t>.</w:t>
      </w:r>
    </w:p>
    <w:p w14:paraId="71DBB09A" w14:textId="0FBD7C73" w:rsidR="0016432B" w:rsidRPr="00677ACC" w:rsidRDefault="0016432B" w:rsidP="00677ACC">
      <w:pPr>
        <w:pStyle w:val="NormalWeb"/>
        <w:spacing w:line="480" w:lineRule="auto"/>
      </w:pPr>
      <w:r w:rsidRPr="00677ACC">
        <w:t xml:space="preserve">Neurotransmitter imbalance is central to catatonia’s neurobiology. Reductions in gamma-aminobutyric acid (GABA), excess glutamate activity at N-methyl-D-aspartate (NMDA) receptors, and decreased dopamine have all been implicated </w:t>
      </w:r>
      <w:r w:rsidRPr="00677ACC">
        <w:fldChar w:fldCharType="begin" w:fldLock="1"/>
      </w:r>
      <w:r w:rsidR="008104F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Neurosciences","id":"ITEM-4","issue":"4","issued":{"date-parts":[["2009"]]},"page":"371-380","publisher":"American Psychiatric Association","title":"Catatonia: Clinical aspects and neurobiological correlates","type":"article-journal","volume":"21"},"uris":["http://www.mendeley.com/documents/?uuid=eddb4709-00cd-3f52-9aeb-c861d6b95466"]}],"mendeley":{"formattedCitation":"(25,43–45)","plainTextFormattedCitation":"(25,43–45)","previouslyFormattedCitation":"(25,43–45)"},"properties":{"noteIndex":0},"schema":"https://github.com/citation-style-language/schema/raw/master/csl-citation.json"}</w:instrText>
      </w:r>
      <w:r w:rsidRPr="00677ACC">
        <w:fldChar w:fldCharType="separate"/>
      </w:r>
      <w:r w:rsidR="008104FC" w:rsidRPr="008104FC">
        <w:rPr>
          <w:noProof/>
        </w:rPr>
        <w:t>(25,43–45)</w:t>
      </w:r>
      <w:r w:rsidRPr="00677ACC">
        <w:fldChar w:fldCharType="end"/>
      </w:r>
      <w:r w:rsidR="008104FC">
        <w:t>.</w:t>
      </w:r>
      <w:r w:rsidRPr="00677ACC">
        <w:t xml:space="preserve"> This model is supported by the clinical response to benzodiazepines which enhance GABA, and by the observation that </w:t>
      </w:r>
      <w:r w:rsidRPr="00677ACC">
        <w:lastRenderedPageBreak/>
        <w:t>dopamine-</w:t>
      </w:r>
      <w:r w:rsidR="00EB579F" w:rsidRPr="00677ACC">
        <w:t xml:space="preserve">2-recptor (D2) </w:t>
      </w:r>
      <w:r w:rsidRPr="00677ACC">
        <w:t xml:space="preserve">blocking antipsychotics can trigger or worsen catatonia </w:t>
      </w:r>
      <w:r w:rsidRPr="00677ACC">
        <w:fldChar w:fldCharType="begin" w:fldLock="1"/>
      </w:r>
      <w:r w:rsidR="008104FC">
        <w:instrText>ADDIN CSL_CITATION {"citationItems":[{"id":"ITEM-1","itemData":{"DOI":"10.1017/S0033291720001853","ISSN":"1469-8978","PMID":"32539902","abstract":"Background Catatonia is a frequent, complex and severe identifiable syndrome of motor dysregulation. However, its pathophysiology is poorly understood.Methods We aimed to provide a systematic review of all brain imaging studies (both structural and functional) in catatonia.Results We identified 137 case reports and 18 group studies representing 186 individual patients with catatonia. Catatonia is often associated with brain imaging abnormalities (in more than 75% of cases). The majority of the case reports show diffuse lesions of white matter, in a wide range of brain regions. Most of the case reports of functional imaging usually show frontal, temporal, or basal ganglia hypoperfusion. These abnormalities appear to be alleviated after successful treatment of clinical symptoms. Structural brain magnetic resonance imaging studies are very scarce in the catatonia literature, mostly showing diffuse cerebral atrophy. Group studies assessing functional brain imaging after catatonic episodes show that emotional dysregulation is related to the GABAergic system, with hypoactivation of orbitofrontal cortex, hyperactivation of median prefrontal cortex, and dysconnectivity between frontal and motor areas.Conclusion In catatonia, brain imaging is abnormal in the majority of cases, and abnormalities more frequently diffuse than localised. Brain imaging studies published so far suffer from serious limitations and for now the different models presented in the literature do not explain most of the cases. There is an important need for further studies including a better clinical characterisation of patients with catatonia, functional imaging with concurrent catatonic symptoms and the use of novel brain imaging techniques.","author":[{"dropping-particle":"","family":"Haroche","given":"Alexandre","non-dropping-particle":"","parse-names":false,"suffix":""},{"dropping-particle":"","family":"Rogers","given":"Jonathan","non-dropping-particle":"","parse-names":false,"suffix":""},{"dropping-particle":"","family":"Plaze","given":"Marion","non-dropping-particle":"","parse-names":false,"suffix":""},{"dropping-particle":"","family":"Gaillard","given":"Raphaël","non-dropping-particle":"","parse-names":false,"suffix":""},{"dropping-particle":"","family":"Williams","given":"Steve C.R.","non-dropping-particle":"","parse-names":false,"suffix":""},{"dropping-particle":"","family":"Thomas","given":"Pierre","non-dropping-particle":"","parse-names":false,"suffix":""},{"dropping-particle":"","family":"Amad","given":"Ali","non-dropping-particle":"","parse-names":false,"suffix":""}],"container-title":"Psychological medicine","id":"ITEM-1","issue":"10","issued":{"date-parts":[["2020","7","1"]]},"page":"1585-1597","publisher":"Psychol Med","title":"Brain imaging in catatonia: systematic review and directions for future research","type":"article-journal","volume":"50"},"uris":["http://www.mendeley.com/documents/?uuid=a0ffc0a7-85b7-3e96-a15f-a249d6cbfac6"]},{"id":"ITEM-2","itemData":{"DOI":"10.1016/j.jpsychores.2024.111640","ISSN":"18791360","PMID":"38484496","abstract":"Background: Catatonia is a challenging and heterogeneous neuropsychiatric syndrome of motor, affective and behavioral dysregulation which has been associated with multiple disorders such as structural brain lesions, systemic diseases, and psychiatric disorders. This systematic review summarized and compared functional neuroimaging abnormalities in catatonia associated with psychiatric and medical conditions. Methods: Using PRISMA methods, we completed a systematic review of 6 databases from inception to February 7th, 2024 of patients with catatonia that had functional neuroimaging performed. Results: A total of 309 studies were identified through the systematic search and 62 met the criteria for full-text review. A total of 15 studies reported patients with catatonia associated with a psychiatric disorder (n = 241) and one study reported catatonia associated with another medical condition, involving patients with N-methyl-D-aspartate receptor antibody encephalitis (n = 23). Findings varied across disorders, with hyperactivity observed in areas like the prefrontal cortex (PFC), the supplementary motor area (SMA) and the ventral pre-motor cortex in acute catatonia associated to a psychiatric disorder, hypoactivity in PFC, the parietal cortex, and the SMA in catatonia associated to a medical condition, and mixed metabolic activity in the study on catatonia linked to a medical condition. Conclusion: Findings support the theory of dysfunction in cortico-striatal-thalamic, cortico-cerebellar, anterior cingulate-medial orbitofrontal, and lateral orbitofrontal networks in catatonia. However, the majority of the literature focuses on schizophrenia spectrum disorders, leaving the pathophysiologic characteristics of catatonia in other disorders less understood. This review highlights the need for further research to elucidate the pathophysiology of catatonia across various disorders.","author":[{"dropping-particle":"","family":"Duque","given":"Laura","non-dropping-particle":"","parse-names":false,"suffix":""},{"dropping-particle":"","family":"Ghafouri","given":"Mohammad","non-dropping-particle":"","parse-names":false,"suffix":""},{"dropping-particle":"","family":"Nunez","given":"Nicolas A.","non-dropping-particle":"","parse-names":false,"suffix":""},{"dropping-particle":"","family":"Ospina","given":"Juan Pablo","non-dropping-particle":"","parse-names":false,"suffix":""},{"dropping-particle":"","family":"Philbrick","given":"Kemuel L.","non-dropping-particle":"","parse-names":false,"suffix":""},{"dropping-particle":"","family":"Port","given":"John D.","non-dropping-particle":"","parse-names":false,"suffix":""},{"dropping-particle":"","family":"Savica","given":"Rodolfo","non-dropping-particle":"","parse-names":false,"suffix":""},{"dropping-particle":"","family":"Prokop","given":"Larry J.","non-dropping-particle":"","parse-names":false,"suffix":""},{"dropping-particle":"","family":"Rummans","given":"Teresa A.","non-dropping-particle":"","parse-names":false,"suffix":""},{"dropping-particle":"","family":"Singh","given":"Balwinder","non-dropping-particle":"","parse-names":false,"suffix":""}],"container-title":"Journal of Psychosomatic Research","id":"ITEM-2","issued":{"date-parts":[["2024","4","1"]]},"publisher":"Elsevier Inc.","title":"Functional neuroimaging in patients with catatonia: A systematic review","type":"article-journal","volume":"179"},"uris":["http://www.mendeley.com/documents/?uuid=7f8bcb50-30cf-3372-aea1-db3c54d1bb83"]},{"id":"ITEM-3","itemData":{"DOI":"10.1177/08850666221114303","ISSN":"15251489","PMID":"35861966","abstract":"Catatonia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Intensivist","type":"article-journal","volume":"38"},"uris":["http://www.mendeley.com/documents/?uuid=70039731-547d-3494-b614-7e3240f971ee"]},{"id":"ITEM-4","itemData":{"DOI":"10.1016/j.ajmo.2023.100059","ISSN":"2667-0364","PMID":"39035239","abstract":"BACKGROUND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open","id":"ITEM-4","issued":{"date-parts":[["2023","12"]]},"page":"100059","publisher":"Elsevier BV","title":"Catatonia: A Narrative Review for Hospitalists.","type":"article-journal","volume":"10"},"uris":["http://www.mendeley.com/documents/?uuid=ad166c68-95ef-3925-ab82-55fef7b17120"]},{"id":"ITEM-5","itemData":{"DOI":"10.1038/s41572-024-00534-w","ISSN":"2056676X","PMID":"39025858","abstract":"Catatonia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mendeley":{"formattedCitation":"(17,25,41–43)","plainTextFormattedCitation":"(17,25,41–43)","previouslyFormattedCitation":"(17,25,41–43)"},"properties":{"noteIndex":0},"schema":"https://github.com/citation-style-language/schema/raw/master/csl-citation.json"}</w:instrText>
      </w:r>
      <w:r w:rsidRPr="00677ACC">
        <w:fldChar w:fldCharType="separate"/>
      </w:r>
      <w:r w:rsidR="008104FC" w:rsidRPr="008104FC">
        <w:rPr>
          <w:noProof/>
        </w:rPr>
        <w:t>(17,25,41–43)</w:t>
      </w:r>
      <w:r w:rsidRPr="00677ACC">
        <w:fldChar w:fldCharType="end"/>
      </w:r>
      <w:r w:rsidR="008104FC">
        <w:t>.</w:t>
      </w:r>
      <w:r w:rsidRPr="00677ACC">
        <w:t xml:space="preserve"> Functional imaging studies also show disrupted connectivity and abnormal</w:t>
      </w:r>
      <w:r w:rsidR="00A80684" w:rsidRPr="00677ACC">
        <w:t>ities</w:t>
      </w:r>
      <w:r w:rsidRPr="00677ACC">
        <w:t xml:space="preserve"> in motor circuits, reinforcing the role of diffuse network dysfunction </w:t>
      </w:r>
      <w:r w:rsidRPr="00677ACC">
        <w:fldChar w:fldCharType="begin" w:fldLock="1"/>
      </w:r>
      <w:r w:rsidR="008104F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Neurosciences","id":"ITEM-4","issue":"4","issued":{"date-parts":[["2009"]]},"page":"371-380","publisher":"American Psychiatric Association","title":"Catatonia: Clinical aspects and neurobiological correlates","type":"article-journal","volume":"21"},"uris":["http://www.mendeley.com/documents/?uuid=eddb4709-00cd-3f52-9aeb-c861d6b95466"]}],"mendeley":{"formattedCitation":"(25,43–45)","plainTextFormattedCitation":"(25,43–45)","previouslyFormattedCitation":"(25,43–45)"},"properties":{"noteIndex":0},"schema":"https://github.com/citation-style-language/schema/raw/master/csl-citation.json"}</w:instrText>
      </w:r>
      <w:r w:rsidRPr="00677ACC">
        <w:fldChar w:fldCharType="separate"/>
      </w:r>
      <w:r w:rsidR="008104FC" w:rsidRPr="008104FC">
        <w:rPr>
          <w:noProof/>
        </w:rPr>
        <w:t>(25,43–45)</w:t>
      </w:r>
      <w:r w:rsidRPr="00677ACC">
        <w:fldChar w:fldCharType="end"/>
      </w:r>
      <w:r w:rsidR="008104FC">
        <w:t>.</w:t>
      </w:r>
    </w:p>
    <w:p w14:paraId="1412FD2F" w14:textId="76EA8A19" w:rsidR="0016432B" w:rsidRPr="00677ACC" w:rsidRDefault="0016432B" w:rsidP="00677ACC">
      <w:pPr>
        <w:pStyle w:val="NormalWeb"/>
        <w:spacing w:line="480" w:lineRule="auto"/>
      </w:pPr>
      <w:r w:rsidRPr="00677ACC">
        <w:t xml:space="preserve">Genetic and structural abnormalities may further predispose individuals. Variants in neurotransmitter-related genes and familial clustering support a heritable risk, with first-degree relatives showing significantly higher incidence </w:t>
      </w:r>
      <w:r w:rsidRPr="00677ACC">
        <w:fldChar w:fldCharType="begin" w:fldLock="1"/>
      </w:r>
      <w:r w:rsidR="008104FC">
        <w:instrText>ADDIN CSL_CITATION {"citationItems":[{"id":"ITEM-1","itemData":{"DOI":"10.1016/S2215-0366(18)30474-7","ISSN":"2215-0374","PMID":"31196794","abstract":"Catatonia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Psychiatry","id":"ITEM-1","issue":"7","issued":{"date-parts":[["2019","7","1"]]},"page":"610-619","publisher":"Lancet Psychiatry","title":"Structure and neural mechanisms of catatonia","type":"article-journal","volume":"6"},"uris":["http://www.mendeley.com/documents/?uuid=6da43b92-4f08-3aa5-8a4a-7c232fb07d08"]}],"mendeley":{"formattedCitation":"(46)","plainTextFormattedCitation":"(46)","previouslyFormattedCitation":"(46)"},"properties":{"noteIndex":0},"schema":"https://github.com/citation-style-language/schema/raw/master/csl-citation.json"}</w:instrText>
      </w:r>
      <w:r w:rsidRPr="00677ACC">
        <w:fldChar w:fldCharType="separate"/>
      </w:r>
      <w:r w:rsidR="008104FC" w:rsidRPr="008104FC">
        <w:rPr>
          <w:noProof/>
        </w:rPr>
        <w:t>(46)</w:t>
      </w:r>
      <w:r w:rsidRPr="00677ACC">
        <w:fldChar w:fldCharType="end"/>
      </w:r>
      <w:r w:rsidR="008104FC">
        <w:t>.</w:t>
      </w:r>
      <w:r w:rsidRPr="00677ACC">
        <w:t xml:space="preserve"> Malignant catatonia, marked by autonomic instability, may involve disrupted pathways between the orbitofrontal cortex, hypothalamus, and brainstem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Intensivist","type":"article-journal","volume":"38"},"uris":["http://www.mendeley.com/documents/?uuid=70039731-547d-3494-b614-7e3240f971ee"]},{"id":"ITEM-2","itemData":{"DOI":"10.1016/j.ajmo.2023.100059","ISSN":"2667-0364","PMID":"39035239","abstract":"BACKGROUND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open","id":"ITEM-2","issued":{"date-parts":[["2023","12"]]},"page":"100059","publisher":"Elsevier BV","title":"Catatonia: A Narrative Review for Hospitalists.","type":"article-journal","volume":"10"},"uris":["http://www.mendeley.com/documents/?uuid=ad166c68-95ef-3925-ab82-55fef7b17120"]},{"id":"ITEM-3","itemData":{"DOI":"10.1176/JNP.2009.21.4.371","ISSN":"08950172","abstract":"Catatonia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Neurosciences","id":"ITEM-3","issue":"4","issued":{"date-parts":[["2009"]]},"page":"371-380","publisher":"American Psychiatric Association","title":"Catatonia: Clinical aspects and neurobiological correlates","type":"article-journal","volume":"21"},"uris":["http://www.mendeley.com/documents/?uuid=eddb4709-00cd-3f52-9aeb-c861d6b95466"]}],"mendeley":{"formattedCitation":"(25,43,45)","plainTextFormattedCitation":"(25,43,45)","previouslyFormattedCitation":"(25,43,45)"},"properties":{"noteIndex":0},"schema":"https://github.com/citation-style-language/schema/raw/master/csl-citation.json"}</w:instrText>
      </w:r>
      <w:r w:rsidRPr="00677ACC">
        <w:fldChar w:fldCharType="separate"/>
      </w:r>
      <w:r w:rsidR="008104FC" w:rsidRPr="008104FC">
        <w:rPr>
          <w:noProof/>
        </w:rPr>
        <w:t>(25,43,45)</w:t>
      </w:r>
      <w:r w:rsidRPr="00677ACC">
        <w:fldChar w:fldCharType="end"/>
      </w:r>
      <w:r w:rsidR="008104FC">
        <w:t>.</w:t>
      </w:r>
      <w:r w:rsidR="004A6623" w:rsidRPr="00677ACC">
        <w:t xml:space="preserve"> </w:t>
      </w:r>
      <w:r w:rsidRPr="00677ACC">
        <w:t xml:space="preserve">Core motor features such as rigidity, mutism, and posturing </w:t>
      </w:r>
      <w:r w:rsidR="009C3412" w:rsidRPr="00677ACC">
        <w:t>likely reflect dysfunction in the basal ganglia, thalamus, supplemental motor area, and motor cortex</w:t>
      </w:r>
      <w:r w:rsidRPr="00677ACC">
        <w:t xml:space="preserve"> </w:t>
      </w:r>
      <w:r w:rsidRPr="00677ACC">
        <w:fldChar w:fldCharType="begin" w:fldLock="1"/>
      </w:r>
      <w:r w:rsidR="008104FC">
        <w:instrText>ADDIN CSL_CITATION {"citationItems":[{"id":"ITEM-1","itemData":{"DOI":"10.1176/JNP.2009.21.4.371","ISSN":"08950172","abstract":"Catatonia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Neurosciences","id":"ITEM-1","issue":"4","issued":{"date-parts":[["2009"]]},"page":"371-380","publisher":"American Psychiatric Association","title":"Catatonia: Clinical aspects and neurobiological correlates","type":"article-journal","volume":"21"},"uris":["http://www.mendeley.com/documents/?uuid=eddb4709-00cd-3f52-9aeb-c861d6b95466"]},{"id":"ITEM-2","itemData":{"DOI":"10.1016/S2215-0366(18)30474-7","ISSN":"2215-0374","PMID":"31196794","abstract":"Catatonia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Psychiatry","id":"ITEM-2","issue":"7","issued":{"date-parts":[["2019","7","1"]]},"page":"610-619","publisher":"Lancet Psychiatry","title":"Structure and neural mechanisms of catatonia","type":"article-journal","volume":"6"},"uris":["http://www.mendeley.com/documents/?uuid=6da43b92-4f08-3aa5-8a4a-7c232fb07d08"]},{"id":"ITEM-3","itemData":{"DOI":"10.1177/08850666221114303","ISSN":"15251489","PMID":"35861966","abstract":"Catatonia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mendeley":{"formattedCitation":"(43,45,46)","plainTextFormattedCitation":"(43,45,46)","previouslyFormattedCitation":"(43,45,46)"},"properties":{"noteIndex":0},"schema":"https://github.com/citation-style-language/schema/raw/master/csl-citation.json"}</w:instrText>
      </w:r>
      <w:r w:rsidRPr="00677ACC">
        <w:fldChar w:fldCharType="separate"/>
      </w:r>
      <w:r w:rsidR="008104FC" w:rsidRPr="008104FC">
        <w:rPr>
          <w:noProof/>
        </w:rPr>
        <w:t>(43,45,46)</w:t>
      </w:r>
      <w:r w:rsidRPr="00677ACC">
        <w:fldChar w:fldCharType="end"/>
      </w:r>
      <w:r w:rsidR="008104FC">
        <w:t>.</w:t>
      </w:r>
      <w:r w:rsidRPr="00677ACC">
        <w:t xml:space="preserve"> Evidence of glial activation and impaired blood-brain barrier function further supports a neuroinflammatory contribution </w:t>
      </w:r>
      <w:r w:rsidRPr="00677ACC">
        <w:fldChar w:fldCharType="begin" w:fldLock="1"/>
      </w:r>
      <w:r w:rsidR="008104FC">
        <w:instrText>ADDIN CSL_CITATION {"citationItems":[{"id":"ITEM-1","itemData":{"DOI":"10.1176/JNP.2009.21.4.371","ISSN":"08950172","abstract":"Catatonia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Neurosciences","id":"ITEM-1","issue":"4","issued":{"date-parts":[["2009"]]},"page":"371-380","publisher":"American Psychiatric Association","title":"Catatonia: Clinical aspects and neurobiological correlates","type":"article-journal","volume":"21"},"uris":["http://www.mendeley.com/documents/?uuid=eddb4709-00cd-3f52-9aeb-c861d6b95466"]},{"id":"ITEM-2","itemData":{"DOI":"10.1016/S2215-0366(18)30474-7","ISSN":"2215-0374","PMID":"31196794","abstract":"Catatonia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Psychiatry","id":"ITEM-2","issue":"7","issued":{"date-parts":[["2019","7","1"]]},"page":"610-619","publisher":"Lancet Psychiatry","title":"Structure and neural mechanisms of catatonia","type":"article-journal","volume":"6"},"uris":["http://www.mendeley.com/documents/?uuid=6da43b92-4f08-3aa5-8a4a-7c232fb07d08"]},{"id":"ITEM-3","itemData":{"DOI":"10.1177/08850666221114303","ISSN":"15251489","PMID":"35861966","abstract":"Catatonia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mendeley":{"formattedCitation":"(43,45,46)","plainTextFormattedCitation":"(43,45,46)","previouslyFormattedCitation":"(43,45,46)"},"properties":{"noteIndex":0},"schema":"https://github.com/citation-style-language/schema/raw/master/csl-citation.json"}</w:instrText>
      </w:r>
      <w:r w:rsidRPr="00677ACC">
        <w:fldChar w:fldCharType="separate"/>
      </w:r>
      <w:r w:rsidR="008104FC" w:rsidRPr="008104FC">
        <w:rPr>
          <w:noProof/>
        </w:rPr>
        <w:t>(43,45,46)</w:t>
      </w:r>
      <w:r w:rsidRPr="00677ACC">
        <w:fldChar w:fldCharType="end"/>
      </w:r>
      <w:r w:rsidR="008104FC">
        <w:t>.</w:t>
      </w:r>
    </w:p>
    <w:p w14:paraId="3A738D4A" w14:textId="334ECB65" w:rsidR="0016432B" w:rsidRPr="00677ACC" w:rsidRDefault="0016432B" w:rsidP="00677ACC">
      <w:pPr>
        <w:pStyle w:val="NormalWeb"/>
        <w:spacing w:line="480" w:lineRule="auto"/>
      </w:pPr>
      <w:r w:rsidRPr="00677ACC">
        <w:t>Psychological and developmental factors also shape vulnerability. Dysregulation in limbic pathways, particularly between the orbitofrontal cortex and amygdala, may underlie behavioral arrest and emotional withdrawal</w:t>
      </w:r>
      <w:r w:rsidR="008104FC">
        <w:t xml:space="preserve"> </w:t>
      </w:r>
      <w:r w:rsidRPr="00677ACC">
        <w:fldChar w:fldCharType="begin" w:fldLock="1"/>
      </w:r>
      <w:r w:rsidR="008104FC">
        <w:instrText>ADDIN CSL_CITATION {"citationItems":[{"id":"ITEM-1","itemData":{"DOI":"10.4103/0019-5545.75559","ISSN":"19983794","abstract":"Background: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Psychiatry","id":"ITEM-1","issue":"1","issued":{"date-parts":[["2011"]]},"page":"36-40","publisher":"Medknow Publications","title":"Phenomenology and treatment of Catatonia: A descriptive study from north India","type":"article-journal","volume":"53"},"uris":["http://www.mendeley.com/documents/?uuid=ae264852-40cb-37d6-98c2-e6b1813dd1f1"]},{"id":"ITEM-2","itemData":{"DOI":"10.3389/FPSYT.2022.886662","ISSN":"1664-0640","PMID":"35677876","abstract":"Background: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psychiatry","id":"ITEM-2","issued":{"date-parts":[["2022","5","23"]]},"publisher":"Front Psychiatry","title":"Catatonia Psychopathology and Phenomenology in a Large Dataset","type":"article-journal","volume":"13"},"uris":["http://www.mendeley.com/documents/?uuid=fa44f150-c135-3e18-94c4-0ff6a8761eeb"]},{"id":"ITEM-3","itemData":{"DOI":"10.1016/J.SCHRES.2023.06.002","ISSN":"1573-2509","PMID":"37331880","abstract":"Background: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research","id":"ITEM-3","issued":{"date-parts":[["2024","1","1"]]},"page":"282-288","publisher":"Schizophr Res","title":"Extension, translation and preliminary validation of the Northoff Scale for Subjective Experience in Catatonia (NSSC)","type":"article-journal","volume":"263"},"uris":["http://www.mendeley.com/documents/?uuid=6ef56bcd-b092-31d2-873e-68054e7468ae"]}],"mendeley":{"formattedCitation":"(12–14)","plainTextFormattedCitation":"(12–14)","previouslyFormattedCitation":"(12–14)"},"properties":{"noteIndex":0},"schema":"https://github.com/citation-style-language/schema/raw/master/csl-citation.json"}</w:instrText>
      </w:r>
      <w:r w:rsidRPr="00677ACC">
        <w:fldChar w:fldCharType="separate"/>
      </w:r>
      <w:r w:rsidR="008104FC" w:rsidRPr="008104FC">
        <w:rPr>
          <w:noProof/>
        </w:rPr>
        <w:t>(12–14)</w:t>
      </w:r>
      <w:r w:rsidRPr="00677ACC">
        <w:fldChar w:fldCharType="end"/>
      </w:r>
      <w:r w:rsidR="008104FC">
        <w:t>.</w:t>
      </w:r>
      <w:r w:rsidR="004A6623" w:rsidRPr="00677ACC">
        <w:t xml:space="preserve"> </w:t>
      </w:r>
      <w:r w:rsidRPr="00677ACC">
        <w:t xml:space="preserve">Some have likened this to tonic immobility, a primitive defense response to extreme threat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id":"ITEM-2","itemData":{"DOI":"10.1016/S2215-0366(18)30474-7","ISSN":"2215-0374","PMID":"31196794","abstract":"Catatonia is a psychomotor syndrome associated with several psychiatric and medical conditions. Psychomotor signs range from stupor to agitation, and include pathognomonic features such as verbigeration and waxy flexibility. Disturbances of volition led to the classification of catatonia as a subtype of schizophrenia, but changes in nosology now recognise the high prevalence in mood disorders, overlap with delirium, and comorbidity with medical conditions. Initial psychometric studies have revealed three behavioural factors, but the structure of catatonia is still unknown. Evidence from brain imaging studies of patients with psychotic disorders indicates increased neural activity in premotor areas in patients with hypokinetic catatonia. However, whether this localised hyperactivity is due to corticocortical inhibition or excess activity of inhibitory corticobasal ganglia loops is unclear. Current treatment of catatonia relies on benzodiazepines and electroconvulsive therapy—both effective, yet unspecific in their modes of action. Longitudinal research and treatment studies, with neuroimaging and brain stimulation techniques, are needed to advance our understanding of catatonia.","author":[{"dropping-particle":"","family":"Walther","given":"Sebastian","non-dropping-particle":"","parse-names":false,"suffix":""},{"dropping-particle":"","family":"Stegmayer","given":"Katharina","non-dropping-particle":"","parse-names":false,"suffix":""},{"dropping-particle":"","family":"Wilson","given":"Jo Ellen","non-dropping-particle":"","parse-names":false,"suffix":""},{"dropping-particle":"","family":"Heckers","given":"Stephan","non-dropping-particle":"","parse-names":false,"suffix":""}],"container-title":"The lancet. Psychiatry","id":"ITEM-2","issue":"7","issued":{"date-parts":[["2019","7","1"]]},"page":"610-619","publisher":"Lancet Psychiatry","title":"Structure and neural mechanisms of catatonia","type":"article-journal","volume":"6"},"uris":["http://www.mendeley.com/documents/?uuid=6da43b92-4f08-3aa5-8a4a-7c232fb07d08"]},{"id":"ITEM-3","itemData":{"DOI":"10.1177/08850666221114303","ISSN":"15251489","PMID":"35861966","abstract":"Catatonia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Medicine","id":"ITEM-3","issue":"2","issued":{"date-parts":[["2023","2","1"]]},"page":"137-150","publisher":"SAGE Publications Inc.","title":"Malignant Catatonia: A Review for the Intensivist","type":"article-journal","volume":"38"},"uris":["http://www.mendeley.com/documents/?uuid=70039731-547d-3494-b614-7e3240f971ee"]}],"mendeley":{"formattedCitation":"(17,43,46)","plainTextFormattedCitation":"(17,43,46)","previouslyFormattedCitation":"(17,43,46)"},"properties":{"noteIndex":0},"schema":"https://github.com/citation-style-language/schema/raw/master/csl-citation.json"}</w:instrText>
      </w:r>
      <w:r w:rsidRPr="00677ACC">
        <w:fldChar w:fldCharType="separate"/>
      </w:r>
      <w:r w:rsidR="008104FC" w:rsidRPr="008104FC">
        <w:rPr>
          <w:noProof/>
        </w:rPr>
        <w:t>(17,43,46)</w:t>
      </w:r>
      <w:r w:rsidRPr="00677ACC">
        <w:fldChar w:fldCharType="end"/>
      </w:r>
      <w:r w:rsidR="008104FC">
        <w:t>.</w:t>
      </w:r>
      <w:r w:rsidRPr="00677ACC">
        <w:t xml:space="preserve"> Individuals with early trauma or chronic stress exposure may be especially susceptible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mendeley":{"formattedCitation":"(17,43)","plainTextFormattedCitation":"(17,43)","previouslyFormattedCitation":"(17,43)"},"properties":{"noteIndex":0},"schema":"https://github.com/citation-style-language/schema/raw/master/csl-citation.json"}</w:instrText>
      </w:r>
      <w:r w:rsidRPr="00677ACC">
        <w:fldChar w:fldCharType="separate"/>
      </w:r>
      <w:r w:rsidR="008104FC" w:rsidRPr="008104FC">
        <w:rPr>
          <w:noProof/>
        </w:rPr>
        <w:t>(17,43)</w:t>
      </w:r>
      <w:r w:rsidRPr="00677ACC">
        <w:fldChar w:fldCharType="end"/>
      </w:r>
      <w:r w:rsidR="008104FC">
        <w:t>.</w:t>
      </w:r>
    </w:p>
    <w:p w14:paraId="4FDEC5E2" w14:textId="5A55CDF9" w:rsidR="0016432B" w:rsidRPr="00677ACC" w:rsidRDefault="0016432B" w:rsidP="00677ACC">
      <w:pPr>
        <w:spacing w:before="240" w:after="240" w:line="480" w:lineRule="auto"/>
        <w:rPr>
          <w:b/>
          <w:bCs/>
        </w:rPr>
      </w:pPr>
      <w:r w:rsidRPr="00677ACC">
        <w:rPr>
          <w:b/>
          <w:bCs/>
        </w:rPr>
        <w:t>Catatonia Subtypes and Descriptors</w:t>
      </w:r>
    </w:p>
    <w:p w14:paraId="0D1FB243" w14:textId="688E10C5" w:rsidR="0016432B" w:rsidRPr="00677ACC" w:rsidRDefault="0016432B" w:rsidP="00677ACC">
      <w:pPr>
        <w:pStyle w:val="NormalWeb"/>
        <w:spacing w:line="480" w:lineRule="auto"/>
      </w:pPr>
      <w:r w:rsidRPr="00677ACC">
        <w:t xml:space="preserve">Catatonia encompasses a range of psychomotor disturbances and is often classified by both underlying etiology and clinical presentation. The initial distinction is whether catatonia occurs in the context of a psychiatric or medical condition. </w:t>
      </w:r>
      <w:r w:rsidR="004A6623" w:rsidRPr="00677ACC">
        <w:t xml:space="preserve">The </w:t>
      </w:r>
      <w:r w:rsidR="004A6623" w:rsidRPr="00677ACC">
        <w:rPr>
          <w:i/>
          <w:iCs/>
        </w:rPr>
        <w:t>Diagnostic and Statistical Manual of Mental Disorders, Fifth Edition, Text Revision</w:t>
      </w:r>
      <w:r w:rsidR="004A6623" w:rsidRPr="00677ACC">
        <w:t xml:space="preserve"> (DSM-5-TR) classifies catatonia as a syndrome </w:t>
      </w:r>
      <w:r w:rsidR="004A6623" w:rsidRPr="00677ACC">
        <w:lastRenderedPageBreak/>
        <w:t>marked by at least three of twelve characteristic signs, and into two primary types: (1) catatonia associated with another mental disorder (CAMD) and (2) catatonia due to a medical condition (CAMC)</w:t>
      </w:r>
      <w:r w:rsidR="004A6623" w:rsidRPr="00677ACC">
        <w:fldChar w:fldCharType="begin" w:fldLock="1"/>
      </w:r>
      <w:r w:rsidR="008104FC">
        <w:instrText>ADDIN CSL_CITATION {"citationItems":[{"id":"ITEM-1","itemData":{"author":[{"dropping-particle":"","family":"Association","given":"American Psychiatric","non-dropping-particle":"","parse-names":false,"suffix":""}],"container-title":"American Psychiatric Press, Inc.","id":"ITEM-1","issued":{"date-parts":[["2022"]]},"title":"Diagnostic and Statistical Manual of Mental Disorders, Text Revision Dsm-5-tr 5th Edition","type":"article-journal"},"uris":["http://www.mendeley.com/documents/?uuid=47ff78f0-f4c2-4706-97e4-5f9d1a940da0"]}],"mendeley":{"formattedCitation":"(1)","plainTextFormattedCitation":"(1)","previouslyFormattedCitation":"(1)"},"properties":{"noteIndex":0},"schema":"https://github.com/citation-style-language/schema/raw/master/csl-citation.json"}</w:instrText>
      </w:r>
      <w:r w:rsidR="004A6623" w:rsidRPr="00677ACC">
        <w:fldChar w:fldCharType="separate"/>
      </w:r>
      <w:r w:rsidR="002C7F0B" w:rsidRPr="002C7F0B">
        <w:rPr>
          <w:noProof/>
        </w:rPr>
        <w:t>(1)</w:t>
      </w:r>
      <w:r w:rsidR="004A6623" w:rsidRPr="00677ACC">
        <w:fldChar w:fldCharType="end"/>
      </w:r>
      <w:r w:rsidR="008104FC">
        <w:t>.</w:t>
      </w:r>
      <w:r w:rsidR="004A6623" w:rsidRPr="00677ACC">
        <w:t xml:space="preserve"> </w:t>
      </w:r>
      <w:r w:rsidRPr="00677ACC">
        <w:t xml:space="preserve">The </w:t>
      </w:r>
      <w:r w:rsidRPr="00677ACC">
        <w:rPr>
          <w:i/>
          <w:iCs/>
        </w:rPr>
        <w:t>International Classification of Diseases</w:t>
      </w:r>
      <w:r w:rsidRPr="00677ACC">
        <w:t xml:space="preserve"> (ICD-11) similarly recognizes catatonia as a distinct clinical syndrome that can arise in the setting of various mental or medical illnesses </w:t>
      </w:r>
      <w:r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(17,47)","plainTextFormattedCitation":"(17,47)","previouslyFormattedCitation":"(17,47)"},"properties":{"noteIndex":0},"schema":"https://github.com/citation-style-language/schema/raw/master/csl-citation.json"}</w:instrText>
      </w:r>
      <w:r w:rsidRPr="00677ACC">
        <w:fldChar w:fldCharType="separate"/>
      </w:r>
      <w:r w:rsidR="008104FC" w:rsidRPr="008104FC">
        <w:rPr>
          <w:noProof/>
        </w:rPr>
        <w:t>(17,47)</w:t>
      </w:r>
      <w:r w:rsidRPr="00677ACC">
        <w:fldChar w:fldCharType="end"/>
      </w:r>
      <w:r w:rsidR="008104FC">
        <w:t>.</w:t>
      </w:r>
      <w:r w:rsidRPr="00677ACC">
        <w:t xml:space="preserve"> </w:t>
      </w:r>
      <w:r w:rsidR="00F72B7B" w:rsidRPr="00677ACC">
        <w:t>While mood disorders are the most common psychiatric cause, medical contributors—such as seizures, autoimmune encephalitis, infections, strokes, and neoplasms (especially ovarian teratomas)—account for over half of all cases</w:t>
      </w:r>
      <w:r w:rsidRPr="00677ACC">
        <w:t xml:space="preserve"> </w:t>
      </w:r>
      <w:r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id":"ITEM-4","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Psychiatry","id":"ITEM-4","issue":"2","issued":{"date-parts":[["2018"]]},"page":"140-155","title":"Catatonia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PubMed","type":"article-journal","volume":"30"},"uris":["http://www.mendeley.com/documents/?uuid=6a13c14e-44cf-39c4-9074-8bef470c94c4"]},{"id":"ITEM-5","itemData":{"DOI":"10.1002/ana.21050","abstract":"OBJECTIVE: To report the autoantigens of a new category of treatment-responsive paraneoplastic encephalitis. METHODS: Analysis of clinical features, neuropathological findings, tumors, and serum/cerebrospinal fluid antibodies using rat tissue, neuronal cultures, and HEK293 cells expressing subunits of the N-methyl-D-aspartate receptor (NMDAR). RESULTS: Twelve women (14-44 years) developed prominent psychiatric symptoms, amnesia, seizures, frequent dyskinesias, autonomic dysfunction, and decreased level of consciousness often requiring ventilatory support. All had serum/cerebrospinal fluid antibodies that predominantly immunolabeled the neuropil of hippocampus/forebrain, in particular the cell surface of hippocampal neurons, and reacted with NR2B (and to a lesser extent NR2A) subunits of the NMDAR. NR2B binds glutamate and forms heteromers (NR1/NR2B or NR1/NR2A/NR2B) that are preferentially expressed in the adult hippocampus/forebrain. Expression of functional heteromers (not single subunits) was required for antibody binding. Eleven patients had teratoma of the ovary (six mature) and one a mature teratoma in the mediastinum; five of five tumors examined contained nervous tissue that strongly expressed NR2 subunits and reacted with patients' antibodies. Tumor resection and immunotherapy resulted in improvement or full recovery of eight of nine patients (paralleled by decreased antibody titers); two of three patients without tumor resection died of neurological deterioration. Autopsies showed extensive microgliosis, rare T-cell infiltrates, and neuronal degeneration predominantly involving, but not restricted to, the hippocampus. INTERPRETATION: Antibodies to NR2B- and NR2A-containing heteromers of the NMDAR associate with a severe but treatment-responsive encephalitis. Our findings provide a diagnostic test and suggest a model of autoimmune NMDAR-related encephalitis with broad implications for other immune-mediated disorders of memory, behavior, and cognition.","author":[{"dropping-particle":"","family":"Dalmau","given":"Josep","non-dropping-particle":"","parse-names":false,"suffix":""},{"dropping-particle":"","family":"Tüzün","given":"Erdem","non-dropping-particle":"","parse-names":false,"suffix":""},{"dropping-particle":"","family":"Wu","given":"Hai-Yan","non-dropping-particle":"","parse-names":false,"suffix":""},{"dropping-particle":"","family":"Masjuan","given":"Jaime","non-dropping-particle":"","parse-names":false,"suffix":""},{"dropping-particle":"","family":"Rossi","given":"Jeffrey E","non-dropping-particle":"","parse-names":false,"suffix":""},{"dropping-particle":"","family":"Voloschin","given":"Alfredo","non-dropping-particle":"","parse-names":false,"suffix":""},{"dropping-particle":"","family":"Baehring","given":"Joachim M","non-dropping-particle":"","parse-names":false,"suffix":""},{"dropping-particle":"","family":"Shimazaki","given":"Haruo","non-dropping-particle":"","parse-names":false,"suffix":""},{"dropping-particle":"","family":"Koide","given":"Reiji","non-dropping-particle":"","parse-names":false,"suffix":""},{"dropping-particle":"","family":"King","given":"Dale","non-dropping-particle":"","parse-names":false,"suffix":""},{"dropping-particle":"","family":"Mason","given":"Warren","non-dropping-particle":"","parse-names":false,"suffix":""},{"dropping-particle":"","family":"Sansing","given":"Lauren H","non-dropping-particle":"","parse-names":false,"suffix":""},{"dropping-particle":"","family":"Dichter","given":"Marc A","non-dropping-particle":"","parse-names":false,"suffix":""},{"dropping-particle":"","family":"Rosenfeld","given":"Myrna R","non-dropping-particle":"","parse-names":false,"suffix":""},{"dropping-particle":"","family":"Lynch","given":"David R","non-dropping-particle":"","parse-names":false,"suffix":""}],"container-title":"Ann Neurol","id":"ITEM-5","issue":"1","issued":{"date-parts":[["2007"]]},"page":"25-36","publisher-place":"Department of Neurology, Division of Neuro-oncology, University of Pennsylvania, Philadelphia, PA 19104, USA. josep.dalmau@uphs.upenn.edu","title":"Paraneoplastic anti-N-methyl-D-aspartate receptor encephalitis associated with ovarian teratoma","type":"article-journal","volume":"61"},"uris":["http://www.mendeley.com/documents/?uuid=a2aa3bbc-9281-4a83-9fba-f5f3ba24e408"]},{"id":"ITEM-6","itemData":{"DOI":"10.1016/J.PSYM.2018.04.001","ISSN":"1545-7206","PMID":"29776679","abstract":"Objective: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A.","non-dropping-particle":"","parse-names":false,"suffix":""}],"container-title":"Psychosomatics","id":"ITEM-6","issue":"4","issued":{"date-parts":[["2018","7","1"]]},"page":"333-340","publisher":"Psychosomatics","title":"The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(1,2,4,17,47,48)","plainTextFormattedCitation":"(1,2,4,17,47,48)","previouslyFormattedCitation":"(1,2,4,17,47,48)"},"properties":{"noteIndex":0},"schema":"https://github.com/citation-style-language/schema/raw/master/csl-citation.json"}</w:instrText>
      </w:r>
      <w:r w:rsidRPr="00677ACC">
        <w:fldChar w:fldCharType="separate"/>
      </w:r>
      <w:r w:rsidR="008104FC" w:rsidRPr="008104FC">
        <w:rPr>
          <w:noProof/>
        </w:rPr>
        <w:t>(1,2,4,17,47,48)</w:t>
      </w:r>
      <w:r w:rsidRPr="00677ACC">
        <w:fldChar w:fldCharType="end"/>
      </w:r>
      <w:r w:rsidR="008104FC">
        <w:t>.</w:t>
      </w:r>
      <w:r w:rsidRPr="00677ACC">
        <w:t xml:space="preserve"> </w:t>
      </w:r>
      <w:r w:rsidR="001E65D2" w:rsidRPr="00677ACC">
        <w:t xml:space="preserve">Compared to adults, children with catatonia are more likely to develop catatonia due to encephalitis, psychotic disorders, and neurodevelopmental disorders </w:t>
      </w:r>
      <w:r w:rsidR="001E65D2" w:rsidRPr="00677ACC">
        <w:fldChar w:fldCharType="begin" w:fldLock="1"/>
      </w:r>
      <w:r w:rsidR="008104FC">
        <w:instrText>ADDIN CSL_CITATION {"citationItems":[{"id":"ITEM-1","itemData":{"DOI":"10.1111/ACPS.13744","ISSN":"1600-0447","PMID":"39118275","abstract":"Objective: Catatonia is a neuropsychiatric disorder that can occur in patients of any age, but it is uncertain whether patient demographics or underlying diagnoses differ between pediatric and adult patients. This study investigates patients of all ages diagnosed with catatonia during acute care hospitalizations in the United States over a 5-year period. Method: The National Inpatient Sample, an all-payors database of acute care hospital discharges, was queried for patients with a discharge diagnosis of catatonia between 2016 and 2020 with patients stratified by age as pediatric (≤18 years) or adult (&gt;18 years). Results: Among 174,776,205 hospitalizations recorded in the NIS from 2016 to 2020, 61,990 (95% CI: 60,257 to 63,723; 0.035%) involved a diagnosis of catatonia. Of these, 3255 were for pediatric patients and 58,735 were for adult patients. Compared with adult patients, pediatric catatonia patients were more likely to be male and non-White. Diagnostically, psychotic disorders, encephalitis, and neurodevelopmental disorders were more common primary discharge diagnoses in pediatric patients, while adult patients more frequently were diagnosed with mood disorders. Length of stay was not significantly different between pediatric and adult catatonia hospitalizations. Physical restraints were commonly applied for patients with catatonia. Conclusion: Pediatric and adult catatonia patients differed in sex, race, and diagnosis, although hospital length of stay was not different between pediatric and adult catatonia hospitalizations. These results may inform catatonia diagnosis in the hospital setting and point to disparities that could be targets of quality improvement efforts.","author":[{"dropping-particle":"","family":"Luccarelli","given":"James","non-dropping-particle":"","parse-names":false,"suffix":""},{"dropping-particle":"","family":"Kalinich","given":"Mark","non-dropping-particle":"","parse-names":false,"suffix":""},{"dropping-particle":"","family":"Fricchione","given":"Gregory","non-dropping-particle":"","parse-names":false,"suffix":""},{"dropping-particle":"","family":"Smith","given":"Felicia","non-dropping-particle":"","parse-names":false,"suffix":""},{"dropping-particle":"","family":"Beach","given":"Scott R.","non-dropping-particle":"","parse-names":false,"suffix":""},{"dropping-particle":"","family":"Smith","given":"Joshua R.","non-dropping-particle":"","parse-names":false,"suffix":""}],"container-title":"Acta psychiatrica Scandinavica","id":"ITEM-1","issue":"4","issued":{"date-parts":[["2024","10","1"]]},"page":"234-244","publisher":"Acta Psychiatr Scand","title":"Diagnostic and demographic factors of pediatric and adult catatonia hospitalizations: A 2016-2020 National Inpatient Sample Study","type":"article-journal","volume":"150"},"uris":["http://www.mendeley.com/documents/?uuid=29e00595-cf9f-3282-a16f-e314996a94b7"]}],"mendeley":{"formattedCitation":"(49)","plainTextFormattedCitation":"(49)","previouslyFormattedCitation":"(49)"},"properties":{"noteIndex":0},"schema":"https://github.com/citation-style-language/schema/raw/master/csl-citation.json"}</w:instrText>
      </w:r>
      <w:r w:rsidR="001E65D2" w:rsidRPr="00677ACC">
        <w:fldChar w:fldCharType="separate"/>
      </w:r>
      <w:r w:rsidR="008104FC" w:rsidRPr="008104FC">
        <w:rPr>
          <w:noProof/>
        </w:rPr>
        <w:t>(49)</w:t>
      </w:r>
      <w:r w:rsidR="001E65D2" w:rsidRPr="00677ACC">
        <w:fldChar w:fldCharType="end"/>
      </w:r>
      <w:r w:rsidR="008104FC">
        <w:t>.</w:t>
      </w:r>
      <w:r w:rsidR="001E65D2" w:rsidRPr="00677ACC">
        <w:t xml:space="preserve"> For both adults and children, i</w:t>
      </w:r>
      <w:r w:rsidRPr="00677ACC">
        <w:t>dentifying the underlying etiology is essential, as effective treatment hinges on addressing contributing medical and psychiatric comorbidities.</w:t>
      </w:r>
    </w:p>
    <w:p w14:paraId="14065DA1" w14:textId="2D264ECD" w:rsidR="0016432B" w:rsidRPr="00677ACC" w:rsidRDefault="0016432B" w:rsidP="00677ACC">
      <w:pPr>
        <w:pStyle w:val="NormalWeb"/>
        <w:spacing w:line="480" w:lineRule="auto"/>
      </w:pPr>
      <w:r w:rsidRPr="00677ACC">
        <w:t xml:space="preserve">Beyond etiology, catatonia has also been subdivided by motor presentation. Though not formally codified in DSM-5-TR or ICD-11, catatonia is commonly described as hyperkinetic, hypokinetic, or </w:t>
      </w:r>
      <w:proofErr w:type="spellStart"/>
      <w:r w:rsidRPr="00677ACC">
        <w:t>parakinetic</w:t>
      </w:r>
      <w:proofErr w:type="spellEnd"/>
      <w:r w:rsidRPr="00677ACC">
        <w:t>, reflecting a spectrum of psychomotor activity (</w:t>
      </w:r>
      <w:r w:rsidRPr="00677ACC">
        <w:rPr>
          <w:b/>
          <w:bCs/>
        </w:rPr>
        <w:t>Table 2</w:t>
      </w:r>
      <w:r w:rsidRPr="00677ACC">
        <w:t>)</w:t>
      </w:r>
      <w:r w:rsidR="008104FC">
        <w:fldChar w:fldCharType="begin" w:fldLock="1"/>
      </w:r>
      <w:r w:rsidR="008104FC">
        <w:instrText>ADDIN CSL_CITATION {"citationItems":[{"id":"ITEM-1","itemData":{"DOI":"10.1016/J.JACLP.2025.05.001","ISSN":"2667-2960","PMID":"40368005","author":[{"dropping-particle":"","family":"Wilson","given":"Jo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Psychiatry","id":"ITEM-1","issued":{"date-parts":[["2025","5"]]},"publisher":"J Acad Consult Liaison Psychiatry","title":"Catatonia: American Psychiatric Association Resource Document","type":"article-journal"},"uris":["http://www.mendeley.com/documents/?uuid=b7c7ad32-5717-372a-8e09-9fa63156a01e"]}],"mendeley":{"formattedCitation":"(50)","plainTextFormattedCitation":"(50)","previouslyFormattedCitation":"(50)"},"properties":{"noteIndex":0},"schema":"https://github.com/citation-style-language/schema/raw/master/csl-citation.json"}</w:instrText>
      </w:r>
      <w:r w:rsidR="008104FC">
        <w:fldChar w:fldCharType="separate"/>
      </w:r>
      <w:r w:rsidR="008104FC" w:rsidRPr="008104FC">
        <w:rPr>
          <w:noProof/>
        </w:rPr>
        <w:t>(50)</w:t>
      </w:r>
      <w:r w:rsidR="008104FC">
        <w:fldChar w:fldCharType="end"/>
      </w:r>
      <w:r w:rsidRPr="00677ACC">
        <w:t xml:space="preserve">. Presentations may shift over time or even within a single episode. Descriptive terms like "excited," "stuporous," "retarded," "periodic," or "malignant" are frequently used to convey clinical severity and phenomenology </w:t>
      </w:r>
      <w:r w:rsidRPr="00677ACC">
        <w:fldChar w:fldCharType="begin" w:fldLock="1"/>
      </w:r>
      <w:r w:rsidR="008104FC">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mendeley":{"formattedCitation":"(44)","plainTextFormattedCitation":"(44)","previouslyFormattedCitation":"(44)"},"properties":{"noteIndex":0},"schema":"https://github.com/citation-style-language/schema/raw/master/csl-citation.json"}</w:instrText>
      </w:r>
      <w:r w:rsidRPr="00677ACC">
        <w:fldChar w:fldCharType="separate"/>
      </w:r>
      <w:r w:rsidR="008104FC" w:rsidRPr="008104FC">
        <w:rPr>
          <w:noProof/>
        </w:rPr>
        <w:t>(44)</w:t>
      </w:r>
      <w:r w:rsidRPr="00677ACC">
        <w:fldChar w:fldCharType="end"/>
      </w:r>
      <w:r w:rsidR="008104FC">
        <w:t>.</w:t>
      </w:r>
      <w:r w:rsidRPr="00677ACC">
        <w:t xml:space="preserve"> Any form can evolve into malignant catatonia, a life-threatening variant characterized by autonomic instability and high mortality risk.</w:t>
      </w:r>
    </w:p>
    <w:p w14:paraId="4A23C1AB" w14:textId="1FFD8FFB" w:rsidR="0016432B" w:rsidRPr="00677ACC" w:rsidRDefault="00E423B7" w:rsidP="00677ACC">
      <w:pPr>
        <w:spacing w:line="480" w:lineRule="auto"/>
        <w:rPr>
          <w:b/>
          <w:bCs/>
        </w:rPr>
      </w:pPr>
      <w:r w:rsidRPr="00677ACC">
        <w:rPr>
          <w:b/>
          <w:bCs/>
        </w:rPr>
        <w:t>Assessment and Diagnosis</w:t>
      </w:r>
    </w:p>
    <w:p w14:paraId="2F72771E" w14:textId="1A428D03" w:rsidR="00860371" w:rsidRPr="00677ACC" w:rsidRDefault="00860371" w:rsidP="00677ACC">
      <w:pPr>
        <w:pStyle w:val="NormalWeb"/>
        <w:spacing w:line="480" w:lineRule="auto"/>
      </w:pPr>
      <w:r w:rsidRPr="00677ACC">
        <w:t>The diagnosis of catatonia draws on a combination of structured clinical observation and validated assessment tools. A thorough evaluation involves physical examination, patient interview, chart review, and collateral input from family or caregivers</w:t>
      </w:r>
      <w:r w:rsidR="008104FC">
        <w:t xml:space="preserve"> </w:t>
      </w:r>
      <w:r w:rsidRPr="00677ACC">
        <w:fldChar w:fldCharType="begin" w:fldLock="1"/>
      </w:r>
      <w:r w:rsidR="00EF1C44">
        <w:instrText>ADDIN CSL_CITATION {"citationItems":[{"id":"ITEM-1","itemData":{"DOI":"10.3390/NEUROLINT13040057","ISSN":"2035-8385","PMID":"34842777","abstract":"Catatonia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international","id":"ITEM-1","issue":"4","issued":{"date-parts":[["2021","12","1"]]},"page":"570-586","publisher":"Neurol Int","title":"Catatonia: Clinical Overview of the Diagnosis, Treatment, and Clinical Challenges","type":"article-journal","volume":"13"},"uris":["http://www.mendeley.com/documents/?uuid=74d58ac4-f1c2-346b-b84e-e93c435ba06a"]},{"id":"ITEM-2","itemData":{"DOI":"10.1038/s41572-024-00534-w","ISSN":"2056676X","PMID":"39025858","abstract":"Catatonia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mendeley":{"formattedCitation":"(1,17,44)","plainTextFormattedCitation":"(1,17,44)","previouslyFormattedCitation":"(1,17,44)"},"properties":{"noteIndex":0},"schema":"https://github.com/citation-style-language/schema/raw/master/csl-citation.json"}</w:instrText>
      </w:r>
      <w:r w:rsidRPr="00677ACC">
        <w:fldChar w:fldCharType="separate"/>
      </w:r>
      <w:r w:rsidR="006F585C" w:rsidRPr="006F585C">
        <w:rPr>
          <w:noProof/>
        </w:rPr>
        <w:t>(1,17,44)</w:t>
      </w:r>
      <w:r w:rsidRPr="00677ACC">
        <w:fldChar w:fldCharType="end"/>
      </w:r>
      <w:r w:rsidR="008104FC">
        <w:t>.</w:t>
      </w:r>
      <w:r w:rsidRPr="00677ACC">
        <w:t xml:space="preserve"> Among </w:t>
      </w:r>
      <w:r w:rsidRPr="00677ACC">
        <w:lastRenderedPageBreak/>
        <w:t>available instruments, the</w:t>
      </w:r>
      <w:r w:rsidRPr="00677ACC">
        <w:rPr>
          <w:rStyle w:val="apple-converted-space"/>
          <w:rFonts w:eastAsiaTheme="majorEastAsia"/>
        </w:rPr>
        <w:t> </w:t>
      </w:r>
      <w:r w:rsidRPr="00677ACC">
        <w:rPr>
          <w:rStyle w:val="Emphasis"/>
          <w:rFonts w:eastAsiaTheme="majorEastAsia"/>
        </w:rPr>
        <w:t>Bush-Francis Catatonia Rating Scale</w:t>
      </w:r>
      <w:r w:rsidRPr="00677ACC">
        <w:rPr>
          <w:rStyle w:val="apple-converted-space"/>
          <w:rFonts w:eastAsiaTheme="majorEastAsia"/>
        </w:rPr>
        <w:t> </w:t>
      </w:r>
      <w:r w:rsidRPr="00677ACC">
        <w:t xml:space="preserve">(BFCRS) remains the most widely used. It includes a 14-item screening tool and a 23-item comprehensive scale that captures a range of psychomotor abnormalities—including hypoactivity, hyperactivity, and </w:t>
      </w:r>
      <w:r w:rsidR="00052448" w:rsidRPr="00677ACC">
        <w:t xml:space="preserve">bizarre </w:t>
      </w:r>
      <w:r w:rsidRPr="00677ACC">
        <w:t xml:space="preserve">behaviors </w:t>
      </w:r>
      <w:r w:rsidR="00052448" w:rsidRPr="00677ACC">
        <w:t xml:space="preserve">suggestive of </w:t>
      </w:r>
      <w:r w:rsidRPr="00677ACC">
        <w:t>catatonia</w:t>
      </w:r>
      <w:r w:rsidR="008104FC">
        <w:t xml:space="preserve"> </w:t>
      </w:r>
      <w:r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a5b43112-c268-376a-a8b9-ded4efe5cf8a","http://www.mendeley.com/documents/?uuid=2a60cb60-fbf1-48f2-b9c3-1c28a9b9e364"]},{"id":"ITEM-2","itemData":{"URL":"https://www.urmc.rochester.edu/psychiatry/divisions/collaborative-care-and-wellness/bush-francis-catatonia-rating-scale.aspx","author":[{"dropping-particle":"","family":"Rochester","given":"University of","non-dropping-particle":"","parse-names":false,"suffix":""}],"id":"ITEM-2","issued":{"date-parts":[["2024"]]},"title":"Bush-Francis Catatonia Rating Scale Assessment Resources","type":"webpage"},"uris":["http://www.mendeley.com/documents/?uuid=baa866de-3618-42b7-950d-7a15b277d79e"]},{"id":"ITEM-3","itemData":{"author":[{"dropping-particle":"","family":"Association","given":"American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http://www.mendeley.com/documents/?uuid=71b4f05f-dbae-3525-8e5e-d9a85a581540"]},{"id":"ITEM-4","itemData":{"DOI":"10.3390/NEUROLINT13040057","ISSN":"2035-8385","PMID":"34842777","abstract":"Catatonia is a syndrome that has been associated with several mental illness disorders but that has also presented as a result of other medical conditions. Schizophrenia and other psychiatric disorders such as mania and depression are known to be associated with catatonia; however, several case reports have been published of certain medical conditions inducing catatonia, including hypo-natremia, cerebral venous sinus thrombosis, and liver transplantation. Neuroleptic Malignant Syndrome and anti-NMDA receptor encephalitis are also prominent causes of catatonia. Patients taking benzodiazepines or clozapine are also at risk of developing catatonia following the withdrawal of these medications—it is speculated that the prolonged use of these medications increases gamma-aminobutyric acid (GABA) activity and that discontinuation may increase excitatory neurotrans-mission, leading to catatonia. The treatment of catatonia often involves the use of benzodiazepines, such as lorazepam, that can be used in combination therapy with antipsychotics. Definitive treatment may be found with electroconvulsive therapy (ECT). Aberrant neuronal activity in different motor pathways, defective neurotransmitter regulation, and impaired oligodendrocyte function have all been proposed as the pathophysiology behind catatonia. There are many clinical challenges that come with catatonia and, as early treatment is associated with better outcomes, it becomes imperative to understand these challenges. The purpose of this manuscript is to provide an overview of these challenges and to look at clinical studies regarding the pathophysiology, diagnosis, and treatment of as well as the complications and risk factors associated with catatonia.","author":[{"dropping-particle":"","family":"Edinoff","given":"Amber N.","non-dropping-particle":"","parse-names":false,"suffix":""},{"dropping-particle":"","family":"Kaufman","given":"Sarah E.","non-dropping-particle":"","parse-names":false,"suffix":""},{"dropping-particle":"","family":"Hollier","given":"Janice W.","non-dropping-particle":"","parse-names":false,"suffix":""},{"dropping-particle":"","family":"Virgen","given":"Celina G.","non-dropping-particle":"","parse-names":false,"suffix":""},{"dropping-particle":"","family":"Karam","given":"Christian A.","non-dropping-particle":"","parse-names":false,"suffix":""},{"dropping-particle":"","family":"Malone","given":"Garett W.","non-dropping-particle":"","parse-names":false,"suffix":""},{"dropping-particle":"","family":"Cornett","given":"Elyse M.","non-dropping-particle":"","parse-names":false,"suffix":""},{"dropping-particle":"","family":"Kaye","given":"Adam M.","non-dropping-particle":"","parse-names":false,"suffix":""},{"dropping-particle":"","family":"Kaye","given":"Alan D.","non-dropping-particle":"","parse-names":false,"suffix":""}],"container-title":"Neurology international","id":"ITEM-4","issue":"4","issued":{"date-parts":[["2021","12","1"]]},"page":"570-586","publisher":"Neurol Int","title":"Catatonia: Clinical Overview of the Diagnosis, Treatment, and Clinical Challenges","type":"article-journal","volume":"13"},"uris":["http://www.mendeley.com/documents/?uuid=74d58ac4-f1c2-346b-b84e-e93c435ba06a"]},{"id":"ITEM-5","itemData":{"URL":"https://icd.who.int/en","accessed":{"date-parts":[["2025","3","15"]]},"id":"ITEM-5","issued":{"date-parts":[["0"]]},"title":"ICD-11","type":"webpage"},"uris":["http://www.mendeley.com/documents/?uuid=d0d7f50f-3154-336a-8842-ba0e23bcebf5"]},{"id":"ITEM-6","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Primers","id":"ITEM-6","issue":"1","issued":{"date-parts":[["2024","12","1"]]},"publisher":"Nature Research","title":"Catatonia","type":"article-journal","volume":"10"},"uris":["http://www.mendeley.com/documents/?uuid=4326a704-62f4-3cc1-b3d9-e311e36e7fa4"]}],"mendeley":{"formattedCitation":"(1,17,44,47,51,52)","plainTextFormattedCitation":"(1,17,44,47,51,52)","previouslyFormattedCitation":"(1,17,44,47,51,52)"},"properties":{"noteIndex":0},"schema":"https://github.com/citation-style-language/schema/raw/master/csl-citation.json"}</w:instrText>
      </w:r>
      <w:r w:rsidRPr="00677ACC">
        <w:fldChar w:fldCharType="separate"/>
      </w:r>
      <w:r w:rsidR="006F585C" w:rsidRPr="006F585C">
        <w:rPr>
          <w:noProof/>
        </w:rPr>
        <w:t>(1,17,44,47,51,52)</w:t>
      </w:r>
      <w:r w:rsidRPr="00677ACC">
        <w:fldChar w:fldCharType="end"/>
      </w:r>
      <w:r w:rsidR="008104FC">
        <w:t>.</w:t>
      </w:r>
      <w:r w:rsidRPr="00677ACC">
        <w:t xml:space="preserve">  The screening version has shown high sensitivity in both psychiatric and medical settings, and </w:t>
      </w:r>
      <w:r w:rsidRPr="00677ACC">
        <w:rPr>
          <w:b/>
          <w:bCs/>
        </w:rPr>
        <w:t>Table 3</w:t>
      </w:r>
      <w:r w:rsidRPr="00677ACC">
        <w:t xml:space="preserve"> outlines the signs included</w:t>
      </w:r>
      <w:r w:rsidR="008104FC">
        <w:t xml:space="preserve"> </w:t>
      </w:r>
      <w:r w:rsidR="004A6623" w:rsidRPr="00677ACC">
        <w:fldChar w:fldCharType="begin" w:fldLock="1"/>
      </w:r>
      <w:r w:rsidR="00EF1C44">
        <w:instrText>ADDIN CSL_CITATION {"citationItems":[{"id":"ITEM-1","itemData":{"DOI":"10.1016/J.JAD.2011.02.012","ISSN":"01650327","PMID":"21420736","abstract":"Background: Despite a growing scientific and clinical interest in catatonia, its precise definition remains debated. Aim: The aim of this study was to offer a systematic review of the different rating scales that have been developed to assess catatonia in clinical practice. Methods: A Medline-search was performed, up to December 2010. Results: Seven catatonia rating scales were retrieved: the Modified Rogers Scale, the Rogers Catatonia Scale, the Bush-Francis Catatonia Rating Scale (BFCRS), and its revision, the Northoff Catatonia Rating Scale (NCRS), the Braunig Catatonia Rating Scale (BCRS), and the Kanner Scale. Conclusion: Several catatonia rating scales are proposed to detect the catatonic syndrome and to evaluate treatment response. BFCRS, NCRS and BCRS are reliable for use in variable populations in which catatonia is prevalent. The BFCRS is preferred for routine use, because of its validity and reliability, and its ease of administration. © 2011 Elsevier B.V. All rights reserved.","author":[{"dropping-particle":"","family":"Sienaert","given":"Pascal","non-dropping-particle":"","parse-names":false,"suffix":""},{"dropping-particle":"","family":"Rooseleer","given":"Jonas","non-dropping-particle":"","parse-names":false,"suffix":""},{"dropping-particle":"","family":"Fruyt","given":"Jürgen","non-dropping-particle":"De","parse-names":false,"suffix":""}],"container-title":"Journal of Affective Disorders","id":"ITEM-1","issue":"1-3","issued":{"date-parts":[["2011","12"]]},"page":"1-9","title":"Measuring catatonia: A systematic review of rating scales","type":"article-journal","volume":"135"},"uris":["http://www.mendeley.com/documents/?uuid=6b83c2fa-9b8f-35ad-bef6-6ea8be9f6357"]}],"mendeley":{"formattedCitation":"(53)","plainTextFormattedCitation":"(53)","previouslyFormattedCitation":"(53)"},"properties":{"noteIndex":0},"schema":"https://github.com/citation-style-language/schema/raw/master/csl-citation.json"}</w:instrText>
      </w:r>
      <w:r w:rsidR="004A6623" w:rsidRPr="00677ACC">
        <w:fldChar w:fldCharType="separate"/>
      </w:r>
      <w:r w:rsidR="006F585C" w:rsidRPr="006F585C">
        <w:rPr>
          <w:noProof/>
        </w:rPr>
        <w:t>(53)</w:t>
      </w:r>
      <w:r w:rsidR="004A6623" w:rsidRPr="00677ACC">
        <w:fldChar w:fldCharType="end"/>
      </w:r>
      <w:r w:rsidR="008104FC">
        <w:t>.</w:t>
      </w:r>
      <w:r w:rsidR="004A6623" w:rsidRPr="00677ACC">
        <w:t xml:space="preserve"> </w:t>
      </w:r>
      <w:r w:rsidRPr="00677ACC">
        <w:t xml:space="preserve">In addition to aiding diagnosis, the BFCRS is commonly used to track symptom severity and monitor response to treatment </w:t>
      </w:r>
      <w:r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mendeley":{"formattedCitation":"(51)","plainTextFormattedCitation":"(51)","previouslyFormattedCitation":"(51)"},"properties":{"noteIndex":0},"schema":"https://github.com/citation-style-language/schema/raw/master/csl-citation.json"}</w:instrText>
      </w:r>
      <w:r w:rsidRPr="00677ACC">
        <w:fldChar w:fldCharType="separate"/>
      </w:r>
      <w:r w:rsidR="006F585C" w:rsidRPr="006F585C">
        <w:rPr>
          <w:noProof/>
        </w:rPr>
        <w:t>(51)</w:t>
      </w:r>
      <w:r w:rsidRPr="00677ACC">
        <w:fldChar w:fldCharType="end"/>
      </w:r>
      <w:r w:rsidR="008104FC">
        <w:t>.</w:t>
      </w:r>
    </w:p>
    <w:p w14:paraId="555097EF" w14:textId="3549358B" w:rsidR="00860371" w:rsidRPr="00677ACC" w:rsidRDefault="00860371" w:rsidP="00677ACC">
      <w:pPr>
        <w:pStyle w:val="NormalWeb"/>
        <w:spacing w:line="480" w:lineRule="auto"/>
      </w:pPr>
      <w:r w:rsidRPr="00677ACC">
        <w:t xml:space="preserve">Although the BFCRS is a robust clinical tool, formal diagnostic criteria are defined by the DSM-5-TR and ICD-11, which differ in important ways </w:t>
      </w:r>
      <w:r w:rsidR="004A6623" w:rsidRPr="00677ACC">
        <w:fldChar w:fldCharType="begin" w:fldLock="1"/>
      </w:r>
      <w:r w:rsidR="006F585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Research","title":"Catatonia","type":"article-journal","volume":"10"},"uris":["http://www.mendeley.com/documents/?uuid=4326a704-62f4-3cc1-b3d9-e311e36e7fa4"]},{"id":"ITEM-3","itemData":{"author":[{"dropping-particle":"","family":"Association","given":"American Psychiatric","non-dropping-particle":"","parse-names":false,"suffix":""}],"container-title":"American Psychiatric Press, Inc.","id":"ITEM-3","issued":{"date-parts":[["2022"]]},"title":"Diagnostic and Statistical Manual of Mental Disorders, Text Revision Dsm-5-tr 5th Edition","type":"article-journal"},"uris":["http://www.mendeley.com/documents/?uuid=47ff78f0-f4c2-4706-97e4-5f9d1a940da0"]}],"mendeley":{"formattedCitation":"(1,17,47)","plainTextFormattedCitation":"(1,17,47)","previouslyFormattedCitation":"(1,17,47)"},"properties":{"noteIndex":0},"schema":"https://github.com/citation-style-language/schema/raw/master/csl-citation.json"}</w:instrText>
      </w:r>
      <w:r w:rsidR="004A6623" w:rsidRPr="00677ACC">
        <w:fldChar w:fldCharType="separate"/>
      </w:r>
      <w:r w:rsidR="006F585C" w:rsidRPr="006F585C">
        <w:rPr>
          <w:noProof/>
        </w:rPr>
        <w:t>(1,17,47)</w:t>
      </w:r>
      <w:r w:rsidR="004A6623" w:rsidRPr="00677ACC">
        <w:fldChar w:fldCharType="end"/>
      </w:r>
      <w:r w:rsidR="008104FC">
        <w:t>.</w:t>
      </w:r>
      <w:r w:rsidRPr="00677ACC">
        <w:t xml:space="preserve"> Both systems require at least three catatonic </w:t>
      </w:r>
      <w:r w:rsidR="00052448" w:rsidRPr="00677ACC">
        <w:t>features</w:t>
      </w:r>
      <w:r w:rsidRPr="00677ACC">
        <w:t xml:space="preserve"> for diagnosis. The DSM-5-TR lists 12 features but does not allow a diagnosis of catatonia in the context of delirium. In contrast, the ICD-11 includes 15 signs and permits diagnosis when catatonia co-occurs with delirium or substance use </w:t>
      </w:r>
      <w:r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(17,47)","plainTextFormattedCitation":"(17,47)","previouslyFormattedCitation":"(17,47)"},"properties":{"noteIndex":0},"schema":"https://github.com/citation-style-language/schema/raw/master/csl-citation.json"}</w:instrText>
      </w:r>
      <w:r w:rsidRPr="00677ACC">
        <w:fldChar w:fldCharType="separate"/>
      </w:r>
      <w:r w:rsidR="008104FC" w:rsidRPr="008104FC">
        <w:rPr>
          <w:noProof/>
        </w:rPr>
        <w:t>(17,47)</w:t>
      </w:r>
      <w:r w:rsidRPr="00677ACC">
        <w:fldChar w:fldCharType="end"/>
      </w:r>
      <w:r w:rsidR="008104FC">
        <w:t>.</w:t>
      </w:r>
      <w:r w:rsidRPr="00677ACC">
        <w:t xml:space="preserve"> Unique to the ICD-11 are signs such as verbigeration, ambitendency, staring, rigidity, and psychomotor agitation. It also combines echolalia and echopraxia into a single category, while the DSM-5-TR separates them</w:t>
      </w:r>
      <w:r w:rsidR="005D3A17" w:rsidRPr="00677ACC">
        <w:t xml:space="preserve"> </w:t>
      </w:r>
      <w:r w:rsidR="005D3A17" w:rsidRPr="00677ACC">
        <w:fldChar w:fldCharType="begin" w:fldLock="1"/>
      </w:r>
      <w:r w:rsidR="008104FC">
        <w:instrText>ADDIN CSL_CITATION {"citationItems":[{"id":"ITEM-1","itemData":{"URL":"https://icd.who.int/en","accessed":{"date-parts":[["2025","3","15"]]},"id":"ITEM-1","issued":{"date-parts":[["0"]]},"title":"ICD-11","type":"webpage"},"uris":["http://www.mendeley.com/documents/?uuid=d0d7f50f-3154-336a-8842-ba0e23bcebf5"]},{"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(17,47)","plainTextFormattedCitation":"(17,47)","previouslyFormattedCitation":"(17,47)"},"properties":{"noteIndex":0},"schema":"https://github.com/citation-style-language/schema/raw/master/csl-citation.json"}</w:instrText>
      </w:r>
      <w:r w:rsidR="005D3A17" w:rsidRPr="00677ACC">
        <w:fldChar w:fldCharType="separate"/>
      </w:r>
      <w:r w:rsidR="008104FC" w:rsidRPr="008104FC">
        <w:rPr>
          <w:noProof/>
        </w:rPr>
        <w:t>(17,47)</w:t>
      </w:r>
      <w:r w:rsidR="005D3A17" w:rsidRPr="00677ACC">
        <w:fldChar w:fldCharType="end"/>
      </w:r>
      <w:r w:rsidR="008104FC">
        <w:t>.</w:t>
      </w:r>
    </w:p>
    <w:p w14:paraId="0FE18418" w14:textId="54B5B77C" w:rsidR="00860371" w:rsidRPr="00677ACC" w:rsidRDefault="00860371" w:rsidP="00677ACC">
      <w:pPr>
        <w:pStyle w:val="NormalWeb"/>
        <w:spacing w:line="480" w:lineRule="auto"/>
      </w:pPr>
      <w:r w:rsidRPr="00677ACC">
        <w:t>Beyond these frameworks, many clinically important features of catatonia fall outside formal diagnostic systems but are included in the BFCRS. Signs such as impulsivity, automatic obedience,</w:t>
      </w:r>
      <w:r w:rsidRPr="00677ACC">
        <w:rPr>
          <w:rStyle w:val="apple-converted-space"/>
          <w:rFonts w:eastAsiaTheme="majorEastAsia"/>
        </w:rPr>
        <w:t> </w:t>
      </w:r>
      <w:proofErr w:type="spellStart"/>
      <w:r w:rsidRPr="00677ACC">
        <w:rPr>
          <w:rStyle w:val="Emphasis"/>
          <w:rFonts w:eastAsiaTheme="majorEastAsia"/>
          <w:i w:val="0"/>
          <w:iCs w:val="0"/>
        </w:rPr>
        <w:t>mitgehen</w:t>
      </w:r>
      <w:proofErr w:type="spellEnd"/>
      <w:r w:rsidRPr="00677ACC">
        <w:rPr>
          <w:i/>
          <w:iCs/>
        </w:rPr>
        <w:t>,</w:t>
      </w:r>
      <w:r w:rsidRPr="00677ACC">
        <w:rPr>
          <w:rStyle w:val="apple-converted-space"/>
          <w:rFonts w:eastAsiaTheme="majorEastAsia"/>
          <w:i/>
          <w:iCs/>
        </w:rPr>
        <w:t> </w:t>
      </w:r>
      <w:proofErr w:type="spellStart"/>
      <w:r w:rsidRPr="00677ACC">
        <w:rPr>
          <w:rStyle w:val="Emphasis"/>
          <w:rFonts w:eastAsiaTheme="majorEastAsia"/>
          <w:i w:val="0"/>
          <w:iCs w:val="0"/>
        </w:rPr>
        <w:t>gegenhalten</w:t>
      </w:r>
      <w:proofErr w:type="spellEnd"/>
      <w:r w:rsidRPr="00677ACC">
        <w:rPr>
          <w:i/>
          <w:iCs/>
        </w:rPr>
        <w:t>,</w:t>
      </w:r>
      <w:r w:rsidRPr="00677ACC">
        <w:t xml:space="preserve"> perseveration, grasp reflex, withdrawal, and autonomic instability can offer critical diagnostic clues</w:t>
      </w:r>
      <w:r w:rsidR="004A6623" w:rsidRPr="00677ACC">
        <w:t xml:space="preserve">, </w:t>
      </w:r>
      <w:r w:rsidRPr="00677ACC">
        <w:t xml:space="preserve">particularly in complex or atypical presentations </w:t>
      </w:r>
      <w:r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mendeley":{"formattedCitation":"(51)","plainTextFormattedCitation":"(51)","previouslyFormattedCitation":"(51)"},"properties":{"noteIndex":0},"schema":"https://github.com/citation-style-language/schema/raw/master/csl-citation.json"}</w:instrText>
      </w:r>
      <w:r w:rsidRPr="00677ACC">
        <w:fldChar w:fldCharType="separate"/>
      </w:r>
      <w:r w:rsidR="006F585C" w:rsidRPr="006F585C">
        <w:rPr>
          <w:noProof/>
        </w:rPr>
        <w:t>(51)</w:t>
      </w:r>
      <w:r w:rsidRPr="00677ACC">
        <w:fldChar w:fldCharType="end"/>
      </w:r>
      <w:r w:rsidR="008104FC">
        <w:t>.</w:t>
      </w:r>
      <w:r w:rsidRPr="00677ACC">
        <w:t xml:space="preserve">  Their inclusion in the BFCRS makes the scale particularly valuable in settings where catatonia </w:t>
      </w:r>
      <w:r w:rsidR="00CB5985" w:rsidRPr="00677ACC">
        <w:t>is underdiagnosed</w:t>
      </w:r>
      <w:r w:rsidR="004A6623" w:rsidRPr="00677ACC">
        <w:t xml:space="preserve"> </w:t>
      </w:r>
      <w:r w:rsidR="004A6623"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examination","type":"article-journal","volume":"93"},"uris":["http://www.mendeley.com/documents/?uuid=2a60cb60-fbf1-48f2-b9c3-1c28a9b9e364"]},{"id":"ITEM-2","itemData":{"DOI":"10.1016/J.JAD.2011.02.012","ISSN":"01650327","PMID":"21420736","abstract":"Background: Despite a growing scientific and clinical interest in catatonia, its precise definition remains debated. Aim: The aim of this study was to offer a systematic review of the different rating scales that have been developed to assess catatonia in clinical practice. Methods: A Medline-search was performed, up to December 2010. Results: Seven catatonia rating scales were retrieved: the Modified Rogers Scale, the Rogers Catatonia Scale, the Bush-Francis Catatonia Rating Scale (BFCRS), and its revision, the Northoff Catatonia Rating Scale (NCRS), the Braunig Catatonia Rating Scale (BCRS), and the Kanner Scale. Conclusion: Several catatonia rating scales are proposed to detect the catatonic syndrome and to evaluate treatment response. BFCRS, NCRS and BCRS are reliable for use in variable populations in which catatonia is prevalent. The BFCRS is preferred for routine use, because of its validity and reliability, and its ease of administration. © 2011 Elsevier B.V. All rights reserved.","author":[{"dropping-particle":"","family":"Sienaert","given":"Pascal","non-dropping-particle":"","parse-names":false,"suffix":""},{"dropping-particle":"","family":"Rooseleer","given":"Jonas","non-dropping-particle":"","parse-names":false,"suffix":""},{"dropping-particle":"","family":"Fruyt","given":"Jürgen","non-dropping-particle":"De","parse-names":false,"suffix":""}],"container-title":"Journal of Affective Disorders","id":"ITEM-2","issue":"1-3","issued":{"date-parts":[["2011","12"]]},"page":"1-9","title":"Measuring catatonia: A systematic review of rating scales","type":"article-journal","volume":"135"},"uris":["http://www.mendeley.com/documents/?uuid=6b83c2fa-9b8f-35ad-bef6-6ea8be9f6357"]}],"mendeley":{"formattedCitation":"(51,53)","plainTextFormattedCitation":"(51,53)","previouslyFormattedCitation":"(51,53)"},"properties":{"noteIndex":0},"schema":"https://github.com/citation-style-language/schema/raw/master/csl-citation.json"}</w:instrText>
      </w:r>
      <w:r w:rsidR="004A6623" w:rsidRPr="00677ACC">
        <w:fldChar w:fldCharType="separate"/>
      </w:r>
      <w:r w:rsidR="006F585C" w:rsidRPr="006F585C">
        <w:rPr>
          <w:noProof/>
        </w:rPr>
        <w:t>(51,53)</w:t>
      </w:r>
      <w:r w:rsidR="004A6623" w:rsidRPr="00677ACC">
        <w:fldChar w:fldCharType="end"/>
      </w:r>
      <w:r w:rsidR="008104FC">
        <w:t>.</w:t>
      </w:r>
    </w:p>
    <w:p w14:paraId="59953F25" w14:textId="69EC19AB" w:rsidR="00860371" w:rsidRPr="00677ACC" w:rsidRDefault="00860371" w:rsidP="00677ACC">
      <w:pPr>
        <w:pStyle w:val="NormalWeb"/>
        <w:spacing w:line="480" w:lineRule="auto"/>
      </w:pPr>
      <w:r w:rsidRPr="00677ACC">
        <w:lastRenderedPageBreak/>
        <w:t>In situations where the diagnosis remains uncertain, a positive treatment response may help clarify the clinical picture. The</w:t>
      </w:r>
      <w:r w:rsidRPr="00677ACC">
        <w:rPr>
          <w:rStyle w:val="apple-converted-space"/>
          <w:rFonts w:eastAsiaTheme="majorEastAsia"/>
        </w:rPr>
        <w:t> </w:t>
      </w:r>
      <w:r w:rsidRPr="00677ACC">
        <w:rPr>
          <w:rStyle w:val="Emphasis"/>
          <w:rFonts w:eastAsiaTheme="majorEastAsia"/>
        </w:rPr>
        <w:t>lorazepam challenge</w:t>
      </w:r>
      <w:r w:rsidRPr="00677ACC">
        <w:t xml:space="preserve">—typically involving 1–2 mg of </w:t>
      </w:r>
      <w:r w:rsidR="002A000D" w:rsidRPr="00677ACC">
        <w:t>intravenous (IV) or intramuscular (IM)</w:t>
      </w:r>
      <w:r w:rsidRPr="00677ACC">
        <w:t xml:space="preserve"> lorazepam—</w:t>
      </w:r>
      <w:r w:rsidR="00A942EE" w:rsidRPr="00677ACC">
        <w:t xml:space="preserve"> can lead to rapid and sometimes dramatic improvement of catatonic features in adults and children.</w:t>
      </w:r>
      <w:r w:rsidRPr="00677ACC">
        <w:t xml:space="preserve"> A response, defined as at least a 50% reduction in BFCRS score, is considered confirmatory and</w:t>
      </w:r>
      <w:r w:rsidR="00CB5985" w:rsidRPr="00677ACC">
        <w:t xml:space="preserve"> </w:t>
      </w:r>
      <w:r w:rsidRPr="00677ACC">
        <w:t>guide</w:t>
      </w:r>
      <w:r w:rsidR="00CB5985" w:rsidRPr="00677ACC">
        <w:t>s</w:t>
      </w:r>
      <w:r w:rsidRPr="00677ACC">
        <w:t xml:space="preserve"> further treatment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mendeley":{"formattedCitation":"(43)","plainTextFormattedCitation":"(43)","previouslyFormattedCitation":"(43)"},"properties":{"noteIndex":0},"schema":"https://github.com/citation-style-language/schema/raw/master/csl-citation.json"}</w:instrText>
      </w:r>
      <w:r w:rsidRPr="00677ACC">
        <w:fldChar w:fldCharType="separate"/>
      </w:r>
      <w:r w:rsidR="008104FC" w:rsidRPr="008104FC">
        <w:rPr>
          <w:noProof/>
        </w:rPr>
        <w:t>(43)</w:t>
      </w:r>
      <w:r w:rsidRPr="00677ACC">
        <w:fldChar w:fldCharType="end"/>
      </w:r>
      <w:r w:rsidR="008104FC">
        <w:t>.</w:t>
      </w:r>
      <w:r w:rsidRPr="00677ACC">
        <w:t xml:space="preserve"> </w:t>
      </w:r>
      <w:r w:rsidR="00A942EE" w:rsidRPr="00677ACC">
        <w:t>The test is most useful as a rule-in measure and a negative challenge does not rule out catatonia</w:t>
      </w:r>
      <w:r w:rsidRPr="00677ACC">
        <w:t>, as some patients improve only after repeated doses or alternative interventions. Careful monitoring for sedation and other adverse effects is essential, particularly in medically comp</w:t>
      </w:r>
      <w:r w:rsidR="005D3A17" w:rsidRPr="00677ACC">
        <w:t>lex</w:t>
      </w:r>
      <w:r w:rsidRPr="00677ACC">
        <w:t xml:space="preserve"> patients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mendeley":{"formattedCitation":"(43)","plainTextFormattedCitation":"(43)","previouslyFormattedCitation":"(43)"},"properties":{"noteIndex":0},"schema":"https://github.com/citation-style-language/schema/raw/master/csl-citation.json"}</w:instrText>
      </w:r>
      <w:r w:rsidRPr="00677ACC">
        <w:fldChar w:fldCharType="separate"/>
      </w:r>
      <w:r w:rsidR="008104FC" w:rsidRPr="008104FC">
        <w:rPr>
          <w:noProof/>
        </w:rPr>
        <w:t>(43)</w:t>
      </w:r>
      <w:r w:rsidRPr="00677ACC">
        <w:fldChar w:fldCharType="end"/>
      </w:r>
      <w:r w:rsidR="008104FC">
        <w:t>.</w:t>
      </w:r>
    </w:p>
    <w:p w14:paraId="7D656B9B" w14:textId="7527130A" w:rsidR="001E65D2" w:rsidRPr="00677ACC" w:rsidRDefault="00860371" w:rsidP="00677ACC">
      <w:pPr>
        <w:pStyle w:val="NormalWeb"/>
        <w:spacing w:line="480" w:lineRule="auto"/>
      </w:pPr>
      <w:r w:rsidRPr="00677ACC">
        <w:t xml:space="preserve">Catatonia in children and medically ill individuals may present atypically, making recognition even more challenging. In pediatric populations, symptoms like incontinence, negativism, or apparent volitional hyperactivity may obscure diagnosis </w:t>
      </w:r>
      <w:r w:rsidRPr="00677ACC">
        <w:fldChar w:fldCharType="begin" w:fldLock="1"/>
      </w:r>
      <w:r w:rsidR="00EF1C44">
        <w:instrText>ADDIN CSL_CITATION {"citationItems":[{"id":"ITEM-1","itemData":{"DOI":"10.1192/BJO.2024.61","ISSN":"2056-4724","PMID":"38686558","abstract":"Background Catatonia is a neuropsychiatric disorder characterised by psychomotor changes that can affect individuals across the lifespan. Although features of catatonia have been described in adults, the most common clinical symptoms among paediatric patients with catatonia are not well characterised. Aims The goal of this study was to characterise the symptoms of catatonia demonstrated by paediatric patients, and to explore demographic and diagnostic factors associated with greater catatonia severity. Method We conducted a multicentre retrospective cohort study, from 1 January 2018 to 6 January 2023, of patients aged 18 and younger with a clinical diagnosis of catatonia and symptom assessment using the Bush Francis Catatonia Rating Scale (BFCRS). Results A total of 143 patients met inclusion criteria. The median age was 15 (interquartile range: 13-16) years and 66 (46.2%) patients were female. Neurodevelopmental disabilities were present in 55 (38.5%) patients. Patients demonstrated a mean of 6.0 ± 2.1 signs of catatonia on the Bush Francis Catatonia Screening Item, with a mean BFCRS score of 15.0 ± 5.9. Among the 23 items of the BFCRS, six were present in &gt;50% of patients (staring, mutism, immobility/stupor, withdrawal, posturing/catalepsy, rigidity), and four were present in &lt;20% of cases (waxy flexibility, mitgehen, gegenhalten, grasp reflex). In an adjusted model, patients with neurodevelopmental disorders demonstrated greater BFCRS severity than those with other diagnoses. Conclusions Catatonia was diagnosed in a range of mental health conditions. Further research is needed to define optimal diagnostic criteria for catatonia in paediatric patients, and clarify the clinical course of the disorder.  Copyright © The Author(s), 2024. Published by Cambridge University Press on behalf of Royal College of Psychiatrists.","author":[{"dropping-particle":"","family":"Smith","given":"Joshua R.","non-dropping-particle":"","parse-names":false,"suffix":""},{"dropping-particle":"","family":"York","given":"Tasia","non-dropping-particle":"","parse-names":false,"suffix":""},{"dropping-particle":"","family":"Baldwin","given":"Isaac","non-dropping-particle":"","parse-names":false,"suffix":""},{"dropping-particle":"","family":"Fuchs","given":"Catherine","non-dropping-particle":"","parse-names":false,"suffix":""},{"dropping-particle":"","family":"Fricchione","given":"Gregory","non-dropping-particle":"","parse-names":false,"suffix":""},{"dropping-particle":"","family":"Luccarelli","given":"James","non-dropping-particle":"","parse-names":false,"suffix":""}],"container-title":"BJPsych open","id":"ITEM-1","issue":"3","issued":{"date-parts":[["2024","5"]]},"publisher":"BJPsych Open","title":"Diagnostic features of paediatric catatonia: multisite retrospective cohort study","type":"article-journal","volume":"10"},"uris":["http://www.mendeley.com/documents/?uuid=626e96b1-68b6-3998-9380-6c83a39ba4e8"]},{"id":"ITEM-2","itemData":{"DOI":"10.1016/J.JACLP.2023.08.005","ISSN":"2667-2960","PMID":"37625481","abstract":"We present the case of a 9-year-old girl who presented to a tertiary-care academic children's hospital with acute onset of severe obsessive-compulsive symptoms, perseveration, grimacing, and personality changes with resultant agitation. Extensive multidisciplinary workup led to a diagnosis of seronegative autoimmune encephalitis. The clinical course included multiple general pediatric and inpatient psychiatric unit admissions that were complicated by severe affective dysregulation with physical aggression towards staff and family. Top experts in the consultation-liaison field provide guidance for this commonly encountered clinical case based on their experience and a review of available literature. Key teaching points include assessment and management of seronegative autoimmune encephalitis and catatonia. We discuss the system-level challenges of management of aggression in health care settings and ways to improve care for patients presenting with behavioral manifestations (aggression) of physical illness.","author":[{"dropping-particle":"","family":"Hickox","given":"Tucker","non-dropping-particle":"","parse-names":false,"suffix":""},{"dropping-particle":"","family":"Brahmbhatt","given":"Khyati","non-dropping-particle":"","parse-names":false,"suffix":""},{"dropping-particle":"","family":"Smith","given":"Joshua R.","non-dropping-particle":"","parse-names":false,"suffix":""},{"dropping-particle":"","family":"Fuchs","given":"Catherine","non-dropping-particle":"","parse-names":false,"suffix":""},{"dropping-particle":"","family":"Tanguturi","given":"Yasas","non-dropping-particle":"","parse-names":false,"suffix":""}],"container-title":"Journal of the Academy of Consultation-Liaison Psychiatry","id":"ITEM-2","issue":"1","issued":{"date-parts":[["2024","1","1"]]},"page":"66-75","publisher":"J Acad Consult Liaison Psychiatry","title":"Consultation-Liaison Case Conference: Systemic Challenges in Management of Aggression in a Pediatric Patient With Seronegative Autoimmune Encephalitis","type":"article-journal","volume":"65"},"uris":["http://www.mendeley.com/documents/?uuid=65b73297-164f-32be-897a-201a7f1f1942"]}],"mendeley":{"formattedCitation":"(54,55)","plainTextFormattedCitation":"(54,55)","previouslyFormattedCitation":"(54,55)"},"properties":{"noteIndex":0},"schema":"https://github.com/citation-style-language/schema/raw/master/csl-citation.json"}</w:instrText>
      </w:r>
      <w:r w:rsidRPr="00677ACC">
        <w:fldChar w:fldCharType="separate"/>
      </w:r>
      <w:r w:rsidR="006F585C" w:rsidRPr="006F585C">
        <w:rPr>
          <w:noProof/>
        </w:rPr>
        <w:t>(54,55)</w:t>
      </w:r>
      <w:r w:rsidRPr="00677ACC">
        <w:fldChar w:fldCharType="end"/>
      </w:r>
      <w:r w:rsidR="008104FC">
        <w:t>.</w:t>
      </w:r>
      <w:r w:rsidRPr="00677ACC">
        <w:t xml:space="preserve"> In critically ill children, signs of dysautonomia or </w:t>
      </w:r>
      <w:proofErr w:type="spellStart"/>
      <w:r w:rsidRPr="00677ACC">
        <w:t>neurostorming</w:t>
      </w:r>
      <w:proofErr w:type="spellEnd"/>
      <w:r w:rsidRPr="00677ACC">
        <w:t xml:space="preserve"> should raise concern for malignant catatonia </w:t>
      </w:r>
      <w:r w:rsidRPr="00677ACC">
        <w:fldChar w:fldCharType="begin" w:fldLock="1"/>
      </w:r>
      <w:r w:rsidR="008104FC">
        <w:instrText>ADDIN CSL_CITATION {"citationItems":[{"id":"ITEM-1","itemData":{"DOI":"10.1177/08850666221114303","ISSN":"15251489","PMID":"35861966","abstract":"Catatonia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Medicine","id":"ITEM-1","issue":"2","issued":{"date-parts":[["2023","2","1"]]},"page":"137-150","publisher":"SAGE Publications Inc.","title":"Malignant Catatonia: A Review for the Intensivist","type":"article-journal","volume":"38"},"uris":["http://www.mendeley.com/documents/?uuid=70039731-547d-3494-b614-7e3240f971ee"]}],"mendeley":{"formattedCitation":"(43)","plainTextFormattedCitation":"(43)","previouslyFormattedCitation":"(43)"},"properties":{"noteIndex":0},"schema":"https://github.com/citation-style-language/schema/raw/master/csl-citation.json"}</w:instrText>
      </w:r>
      <w:r w:rsidRPr="00677ACC">
        <w:fldChar w:fldCharType="separate"/>
      </w:r>
      <w:r w:rsidR="008104FC" w:rsidRPr="008104FC">
        <w:rPr>
          <w:noProof/>
        </w:rPr>
        <w:t>(43)</w:t>
      </w:r>
      <w:r w:rsidRPr="00677ACC">
        <w:fldChar w:fldCharType="end"/>
      </w:r>
      <w:r w:rsidR="008104FC">
        <w:t>.</w:t>
      </w:r>
      <w:r w:rsidRPr="00677ACC">
        <w:t xml:space="preserve"> Similar caution </w:t>
      </w:r>
      <w:r w:rsidR="00A942EE" w:rsidRPr="00677ACC">
        <w:t>applies in adults, where hypokinetic catatonia may be misattributed to neurologic disease, delirium, or dementia</w:t>
      </w:r>
      <w:r w:rsidR="008104FC">
        <w:t xml:space="preserve"> </w:t>
      </w:r>
      <w:r w:rsidR="00A942EE"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00A942EE" w:rsidRPr="00677ACC">
        <w:fldChar w:fldCharType="separate"/>
      </w:r>
      <w:r w:rsidR="008104FC" w:rsidRPr="008104FC">
        <w:rPr>
          <w:noProof/>
        </w:rPr>
        <w:t>(26)</w:t>
      </w:r>
      <w:r w:rsidR="00A942EE" w:rsidRPr="00677ACC">
        <w:fldChar w:fldCharType="end"/>
      </w:r>
      <w:r w:rsidR="008104FC">
        <w:t>.</w:t>
      </w:r>
    </w:p>
    <w:p w14:paraId="22ADACBB" w14:textId="794B6749" w:rsidR="0016432B" w:rsidRPr="00677ACC" w:rsidRDefault="0016432B" w:rsidP="00677ACC">
      <w:pPr>
        <w:spacing w:after="240" w:line="480" w:lineRule="auto"/>
        <w:rPr>
          <w:b/>
          <w:bCs/>
        </w:rPr>
      </w:pPr>
      <w:r w:rsidRPr="00677ACC">
        <w:rPr>
          <w:b/>
          <w:bCs/>
        </w:rPr>
        <w:t>Management</w:t>
      </w:r>
    </w:p>
    <w:p w14:paraId="64EB6533" w14:textId="3184E28E" w:rsidR="002B3492" w:rsidRPr="00677ACC" w:rsidRDefault="002B3492" w:rsidP="00847639">
      <w:pPr>
        <w:widowControl w:val="0"/>
        <w:autoSpaceDE w:val="0"/>
        <w:autoSpaceDN w:val="0"/>
        <w:adjustRightInd w:val="0"/>
        <w:spacing w:line="480" w:lineRule="auto"/>
      </w:pPr>
      <w:r w:rsidRPr="00677ACC">
        <w:t>The management of catatonia rests on three essential principles: confirming the diagnosis,</w:t>
      </w:r>
      <w:r w:rsidR="00847639">
        <w:t xml:space="preserve"> </w:t>
      </w:r>
      <w:r w:rsidRPr="00677ACC">
        <w:t xml:space="preserve">identifying and treating contributing causes, and alleviating catatonic symptoms. When clinical features raise concern for catatonia, structured assessment tools such as </w:t>
      </w:r>
      <w:r w:rsidR="004A6623" w:rsidRPr="00677ACC">
        <w:t xml:space="preserve">the </w:t>
      </w:r>
      <w:r w:rsidRPr="00677ACC">
        <w:t>BFCRS and</w:t>
      </w:r>
      <w:r w:rsidR="00847639">
        <w:t xml:space="preserve"> </w:t>
      </w:r>
      <w:r w:rsidRPr="00677ACC">
        <w:t xml:space="preserve">lorazepam </w:t>
      </w:r>
      <w:r w:rsidR="004A6623" w:rsidRPr="00677ACC">
        <w:t xml:space="preserve">challenge </w:t>
      </w:r>
      <w:r w:rsidRPr="00677ACC">
        <w:t xml:space="preserve">can assist in diagnosis and symptom quantification. </w:t>
      </w:r>
    </w:p>
    <w:p w14:paraId="1C01E1B6" w14:textId="77777777" w:rsidR="00AA4090" w:rsidRPr="00677ACC" w:rsidRDefault="00AA4090" w:rsidP="00677ACC">
      <w:pPr>
        <w:widowControl w:val="0"/>
        <w:autoSpaceDE w:val="0"/>
        <w:autoSpaceDN w:val="0"/>
        <w:adjustRightInd w:val="0"/>
        <w:spacing w:line="480" w:lineRule="auto"/>
      </w:pPr>
    </w:p>
    <w:p w14:paraId="5944C04C" w14:textId="6BFCE7DB" w:rsidR="00AA4090" w:rsidRPr="00677ACC" w:rsidRDefault="00AA4090" w:rsidP="00677ACC">
      <w:pPr>
        <w:widowControl w:val="0"/>
        <w:autoSpaceDE w:val="0"/>
        <w:autoSpaceDN w:val="0"/>
        <w:adjustRightInd w:val="0"/>
        <w:spacing w:line="480" w:lineRule="auto"/>
      </w:pPr>
      <w:r w:rsidRPr="00677ACC">
        <w:t xml:space="preserve">Once recognized and diagnosed, a thorough assessment should investigate potential psychiatric, medical, and pharmacologic etiologies. Particular attention should be paid to recently initiated or </w:t>
      </w:r>
      <w:r w:rsidRPr="00677ACC">
        <w:lastRenderedPageBreak/>
        <w:t xml:space="preserve">discontinued medications, as catatonia has been associated with D2 receptor antagonists, including antipsychotics like haloperidol and antiemetics such as metoclopramide, as well as withdrawal from benzodiazepines and clozapine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(56)"},"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p>
    <w:p w14:paraId="7097BE0D" w14:textId="77777777" w:rsidR="006E35EE" w:rsidRPr="00677ACC" w:rsidRDefault="006E35EE" w:rsidP="00677ACC">
      <w:pPr>
        <w:widowControl w:val="0"/>
        <w:autoSpaceDE w:val="0"/>
        <w:autoSpaceDN w:val="0"/>
        <w:adjustRightInd w:val="0"/>
        <w:spacing w:line="480" w:lineRule="auto"/>
      </w:pPr>
    </w:p>
    <w:p w14:paraId="178CA016" w14:textId="3AF12E97" w:rsidR="002B3492" w:rsidRPr="00677ACC" w:rsidRDefault="002B3492" w:rsidP="00847639">
      <w:pPr>
        <w:widowControl w:val="0"/>
        <w:autoSpaceDE w:val="0"/>
        <w:autoSpaceDN w:val="0"/>
        <w:adjustRightInd w:val="0"/>
        <w:spacing w:line="480" w:lineRule="auto"/>
      </w:pPr>
      <w:r w:rsidRPr="00677ACC">
        <w:t xml:space="preserve">Although randomized trials are lacking, three clinical guidelines and an </w:t>
      </w:r>
      <w:r w:rsidRPr="00677ACC">
        <w:rPr>
          <w:i/>
          <w:iCs/>
        </w:rPr>
        <w:t>American Psychiatric</w:t>
      </w:r>
      <w:r w:rsidR="00847639">
        <w:rPr>
          <w:i/>
          <w:iCs/>
        </w:rPr>
        <w:t xml:space="preserve"> </w:t>
      </w:r>
      <w:r w:rsidRPr="00677ACC">
        <w:rPr>
          <w:i/>
          <w:iCs/>
        </w:rPr>
        <w:t>Association</w:t>
      </w:r>
      <w:r w:rsidRPr="00677ACC">
        <w:t xml:space="preserve"> resource document offer consistent recommendations for initial treatment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(2,3,50,56)"},"properties":{"noteIndex":0},"schema":"https://github.com/citation-style-language/schema/raw/master/csl-citation.json"}</w:instrText>
      </w:r>
      <w:r w:rsidRPr="00677ACC">
        <w:fldChar w:fldCharType="separate"/>
      </w:r>
      <w:r w:rsidR="006F585C" w:rsidRPr="006F585C">
        <w:rPr>
          <w:noProof/>
        </w:rPr>
        <w:t>(2,3,50,56)</w:t>
      </w:r>
      <w:r w:rsidRPr="00677ACC">
        <w:fldChar w:fldCharType="end"/>
      </w:r>
      <w:r w:rsidR="008104FC">
        <w:t>.</w:t>
      </w:r>
      <w:r w:rsidRPr="00677ACC">
        <w:t xml:space="preserve"> Benzodiazepines, most commonly lorazepam, are considered the first-line intervention. Lorazepam has demonstrated response rates of 66–100% across multiple studies, including retrospective reviews and case series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(56)"},"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r w:rsidRPr="00677ACC">
        <w:t xml:space="preserve"> Initial dosing typically ranges from 1 to 4 mg per day, with reduced doses (1–2 mg daily) recommended for older adults</w:t>
      </w:r>
      <w:r w:rsidR="003E316A" w:rsidRPr="00677ACC">
        <w:t xml:space="preserve"> </w:t>
      </w:r>
      <w:r w:rsidR="003E316A" w:rsidRPr="00677ACC">
        <w:fldChar w:fldCharType="begin" w:fldLock="1"/>
      </w:r>
      <w:r w:rsidR="00EF1C44">
        <w:instrText>ADDIN CSL_CITATION {"citationItems":[{"id":"ITEM-1","itemData":{"DOI":"10.5498/WJP.V12.I2.348","ISSN":"2220-3206","PMID":"35317341","abstract":"BACKGROUND: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psychiatry","id":"ITEM-1","issue":"2","issued":{"date-parts":[["2022","2","19"]]},"page":"348-367","publisher":"World J Psychiatry","title":"Catatonia in older adults: A systematic review","type":"article-journal","volume":"12"},"uris":["http://www.mendeley.com/documents/?uuid=9923c9e9-aeb6-32cb-bb33-8d6e62620444"]},{"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Psychopharmacol","id":"ITEM-4","issue":"4","issued":{"date-parts":[["2023"]]},"page":"327-369","publisher-place":"Institute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(2,3,56,57)","plainTextFormattedCitation":"(2,3,56,57)","previouslyFormattedCitation":"(2,3,56,57)"},"properties":{"noteIndex":0},"schema":"https://github.com/citation-style-language/schema/raw/master/csl-citation.json"}</w:instrText>
      </w:r>
      <w:r w:rsidR="003E316A" w:rsidRPr="00677ACC">
        <w:fldChar w:fldCharType="separate"/>
      </w:r>
      <w:r w:rsidR="006F585C" w:rsidRPr="006F585C">
        <w:rPr>
          <w:noProof/>
        </w:rPr>
        <w:t>(2,3,56,57)</w:t>
      </w:r>
      <w:r w:rsidR="003E316A" w:rsidRPr="00677ACC">
        <w:fldChar w:fldCharType="end"/>
      </w:r>
      <w:r w:rsidR="008104FC">
        <w:t>.</w:t>
      </w:r>
      <w:r w:rsidRPr="00677ACC">
        <w:t xml:space="preserve"> In more refractory cases, doses as high as 24 mg daily have been reported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(2,3,50,56)"},"properties":{"noteIndex":0},"schema":"https://github.com/citation-style-language/schema/raw/master/csl-citation.json"}</w:instrText>
      </w:r>
      <w:r w:rsidRPr="00677ACC">
        <w:fldChar w:fldCharType="separate"/>
      </w:r>
      <w:r w:rsidR="006F585C" w:rsidRPr="006F585C">
        <w:rPr>
          <w:noProof/>
        </w:rPr>
        <w:t>(2,3,50,56)</w:t>
      </w:r>
      <w:r w:rsidRPr="00677ACC">
        <w:fldChar w:fldCharType="end"/>
      </w:r>
      <w:r w:rsidR="008104FC">
        <w:t>.</w:t>
      </w:r>
      <w:r w:rsidRPr="00677ACC">
        <w:t xml:space="preserve"> </w:t>
      </w:r>
      <w:r w:rsidR="00AA4090" w:rsidRPr="00677ACC">
        <w:t>While some patients experience rapid improvement within hours, others require several days of treatment before a response becomes evident. Once the syndrome resolves and any underlying drivers are adequately addressed, lorazepam can be tapered. In many cases where the underlying etiology has been identified and resolved , a rapid taper may be tolerated; however, symptom recurrence in some patients may necessitate a slower reduction over several weeks</w:t>
      </w:r>
      <w:r w:rsidR="008104FC">
        <w:t xml:space="preserve">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(56)"},"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p>
    <w:p w14:paraId="08E63CFE" w14:textId="08B8AB10" w:rsidR="002B3492" w:rsidRPr="00677ACC" w:rsidRDefault="002B3492" w:rsidP="00677ACC">
      <w:pPr>
        <w:pStyle w:val="NormalWeb"/>
        <w:spacing w:line="480" w:lineRule="auto"/>
      </w:pPr>
      <w:r w:rsidRPr="00677ACC">
        <w:t xml:space="preserve">In cases where lorazepam provides only partial benefit or is limited by sedation or other adverse effects, </w:t>
      </w:r>
      <w:r w:rsidR="00AA4090" w:rsidRPr="00677ACC">
        <w:t>alternative</w:t>
      </w:r>
      <w:r w:rsidRPr="00677ACC">
        <w:t xml:space="preserve"> treatments may be considered. NMDA receptor antagonists, such as memantine and amantadine, have been used with some success and are supported by expert consensus </w:t>
      </w:r>
      <w:r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URL":"https://www.psychiatry.org/psychiatrists/search-directories-databases/resource-documents/2025/catatonia","accessed":{"date-parts":[["2025","5","7"]]},"id":"ITEM-4","issued":{"date-parts":[["0"]]},"title":"Psychiatry.org - Catatonia","type":"webpage"},"uris":["http://www.mendeley.com/documents/?uuid=c654ac06-182c-3c37-9741-ef9fdff771c5"]}],"mendeley":{"formattedCitation":"(2,3,56,58)","plainTextFormattedCitation":"(2,3,56,58)","previouslyFormattedCitation":"(2,3,56,58)"},"properties":{"noteIndex":0},"schema":"https://github.com/citation-style-language/schema/raw/master/csl-citation.json"}</w:instrText>
      </w:r>
      <w:r w:rsidRPr="00677ACC">
        <w:fldChar w:fldCharType="separate"/>
      </w:r>
      <w:r w:rsidR="006F585C" w:rsidRPr="006F585C">
        <w:rPr>
          <w:noProof/>
        </w:rPr>
        <w:t>(2,3,56,58)</w:t>
      </w:r>
      <w:r w:rsidRPr="00677ACC">
        <w:fldChar w:fldCharType="end"/>
      </w:r>
      <w:r w:rsidR="008104FC">
        <w:t>.</w:t>
      </w:r>
      <w:r w:rsidRPr="00677ACC">
        <w:t xml:space="preserve"> In selected cases—particularly in older adults or where mutism is a prominent feature—zolpidem may be useful, though its short half-life and lack of parenteral forms restrict its broader application</w:t>
      </w:r>
      <w:r w:rsidRPr="00677ACC">
        <w:rPr>
          <w:rStyle w:val="apple-converted-space"/>
          <w:rFonts w:eastAsiaTheme="majorEastAsia"/>
        </w:rPr>
        <w:t>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mendeley":{"formattedCitation":"(56)","plainTextFormattedCitation":"(56)","previouslyFormattedCitation":"(56)"},"properties":{"noteIndex":0},"schema":"https://github.com/citation-style-language/schema/raw/master/csl-citation.json"}</w:instrText>
      </w:r>
      <w:r w:rsidRPr="00677ACC">
        <w:fldChar w:fldCharType="separate"/>
      </w:r>
      <w:r w:rsidR="006F585C" w:rsidRPr="006F585C">
        <w:rPr>
          <w:noProof/>
        </w:rPr>
        <w:t>(56)</w:t>
      </w:r>
      <w:r w:rsidRPr="00677ACC">
        <w:fldChar w:fldCharType="end"/>
      </w:r>
      <w:r w:rsidR="008104FC">
        <w:t>.</w:t>
      </w:r>
    </w:p>
    <w:p w14:paraId="510B81E4" w14:textId="6D3EAF0B" w:rsidR="00BC6CFB" w:rsidRPr="00677ACC" w:rsidRDefault="001F40DC" w:rsidP="00677ACC">
      <w:pPr>
        <w:pStyle w:val="NormalWeb"/>
        <w:spacing w:line="480" w:lineRule="auto"/>
      </w:pPr>
      <w:r w:rsidRPr="00677ACC">
        <w:rPr>
          <w:color w:val="000000"/>
        </w:rPr>
        <w:lastRenderedPageBreak/>
        <w:t xml:space="preserve">Electroconvulsive therapy (ECT) is the definitive treatment for catatonia when symptoms are life-threatening, progressive, or refractory to pharmacologic interventions </w:t>
      </w:r>
      <w:r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URL":"https://www.psychiatry.org/psychiatrists/search-directories-databases/resource-documents/2025/catatonia","accessed":{"date-parts":[["2025","5","7"]]},"id":"ITEM-4","issued":{"date-parts":[["0"]]},"title":"Psychiatry.org - Catatonia","type":"webpage"},"uris":["http://www.mendeley.com/documents/?uuid=c654ac06-182c-3c37-9741-ef9fdff771c5"]},{"id":"ITEM-5","itemData":{"DOI":"10.1056/NEJMRA2116304","ISSN":"0028-4793","abstract":"Catatonia,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H.","non-dropping-particle":"","parse-names":false,"suffix":""}],"id":"ITEM-5","issue":"19","issued":{"date-parts":[["2023","11","9"]]},"page":"1797-1802","publisher":"Massachusetts Medical Society","title":"Catatonia","type":"article-journal","volume":"389"},"uris":["http://www.mendeley.com/documents/?uuid=86ece16a-5695-32ea-815c-6d0809c0698a"]}],"mendeley":{"formattedCitation":"(2,3,56,58,59)","plainTextFormattedCitation":"(2,3,56,58,59)","previouslyFormattedCitation":"(2,3,56,58,59)"},"properties":{"noteIndex":0},"schema":"https://github.com/citation-style-language/schema/raw/master/csl-citation.json"}</w:instrText>
      </w:r>
      <w:r w:rsidRPr="00677ACC">
        <w:fldChar w:fldCharType="separate"/>
      </w:r>
      <w:r w:rsidR="006F585C" w:rsidRPr="006F585C">
        <w:rPr>
          <w:noProof/>
        </w:rPr>
        <w:t>(2,3,56,58,59)</w:t>
      </w:r>
      <w:r w:rsidRPr="00677ACC">
        <w:fldChar w:fldCharType="end"/>
      </w:r>
      <w:r w:rsidR="008104FC">
        <w:t>.</w:t>
      </w:r>
      <w:r w:rsidRPr="00677ACC">
        <w:t xml:space="preserve"> </w:t>
      </w:r>
      <w:r w:rsidRPr="00677ACC">
        <w:rPr>
          <w:color w:val="000000"/>
        </w:rPr>
        <w:t>Expert consensus suggests that ECT should be considered a co–first-line treatment alongside benzodiazepines; however, access is often limited by legal restrictions, stigma, and availability of trained personnel</w:t>
      </w:r>
      <w:r w:rsidRPr="00677ACC">
        <w:t xml:space="preserve"> </w:t>
      </w:r>
      <w:r w:rsidRPr="00677ACC">
        <w:fldChar w:fldCharType="begin" w:fldLock="1"/>
      </w:r>
      <w:r w:rsidR="00EF1C44">
        <w:instrText>ADDIN CSL_CITATION {"citationItems":[{"id":"ITEM-1","itemData":{"DOI":"10.1016/J.JACLP.2025.05.001","ISSN":"2667-2960","PMID":"40368005","author":[{"dropping-particle":"","family":"Wilson","given":"Jo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Psychiatry","id":"ITEM-1","issued":{"date-parts":[["2025","5"]]},"publisher":"J Acad Consult Liaison Psychiatry","title":"Catatonia: American Psychiatric Association Resource Document","type":"article-journal"},"uris":["http://www.mendeley.com/documents/?uuid=b7c7ad32-5717-372a-8e09-9fa63156a01e"]},{"id":"ITEM-2","itemData":{"DOI":"10.2147/NDT.S231573","ISSN":"1176-6328","PMID":"33061390","abstract":"Catatonia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treatment","id":"ITEM-2","issued":{"date-parts":[["2020"]]},"page":"2191-2208","publisher":"Neuropsychiatr Dis Treat","title":"Electroconvulsive Therapy for Patients with Catatonia: Current Perspectives","type":"article-journal","volume":"16"},"uris":["http://www.mendeley.com/documents/?uuid=a039968a-7ece-39b0-9390-ab5aeee43f35"]}],"mendeley":{"formattedCitation":"(50,60)","plainTextFormattedCitation":"(50,60)","previouslyFormattedCitation":"(50,60)"},"properties":{"noteIndex":0},"schema":"https://github.com/citation-style-language/schema/raw/master/csl-citation.json"}</w:instrText>
      </w:r>
      <w:r w:rsidRPr="00677ACC">
        <w:fldChar w:fldCharType="separate"/>
      </w:r>
      <w:r w:rsidR="006F585C" w:rsidRPr="006F585C">
        <w:rPr>
          <w:noProof/>
        </w:rPr>
        <w:t>(50,60)</w:t>
      </w:r>
      <w:r w:rsidRPr="00677ACC">
        <w:fldChar w:fldCharType="end"/>
      </w:r>
      <w:r w:rsidR="008104FC">
        <w:t>.</w:t>
      </w:r>
      <w:r w:rsidRPr="00677ACC">
        <w:t xml:space="preserve"> </w:t>
      </w:r>
      <w:r w:rsidRPr="00677ACC">
        <w:rPr>
          <w:color w:val="000000"/>
        </w:rPr>
        <w:t xml:space="preserve"> Although the precise mechanism of action is not fully understood, ECT is believed to modulate GABAergic, glutamatergic, and dopaminergic neurotransmission and promote neuroplasticity and cortical connectivity changes </w:t>
      </w:r>
      <w:r w:rsidRPr="00677ACC">
        <w:fldChar w:fldCharType="begin" w:fldLock="1"/>
      </w:r>
      <w:r w:rsidR="00EF1C44">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Perspectives","type":"article-journal","volume":"16"},"uris":["http://www.mendeley.com/documents/?uuid=a039968a-7ece-39b0-9390-ab5aeee43f35"]},{"id":"ITEM-2","itemData":{"DOI":"10.1176/JNP.2009.21.4.371","ISSN":"08950172","abstract":"Catatonia is a neuropsychiatric syndrome that can occur due to medical or psychiatric disorder. This review synthesizes over 20 years of original research and comprehensive review articles with attention to the most recent findings. Though catatonia is common and highly treatable, there have been few research studies investigating the syndrome. Pooled case reports suggest that catatonia due to an underlying general medical condition and catatonia due to a psychiatric illness can be treated similarly and that the catatonic symptoms and the underlying illness must be addressed in both types. Benzodiazepines and ECT continue to be mainstays of treatment. Evidence is mounting for the use of NMDA antagonists in catatonia refractory to lorazepam. Copyright © 2009 American Psychiatric Publishing, Inc.","author":[{"dropping-particle":"","family":"Daniels","given":"Jessica","non-dropping-particle":"","parse-names":false,"suffix":""}],"container-title":"Journal of Neuropsychiatry and Clinical Neurosciences","id":"ITEM-2","issue":"4","issued":{"date-parts":[["2009"]]},"page":"371-380","publisher":"American Psychiatric Association","title":"Catatonia: Clinical aspects and neurobiological correlates","type":"article-journal","volume":"21"},"uris":["http://www.mendeley.com/documents/?uuid=eddb4709-00cd-3f52-9aeb-c861d6b95466"]}],"mendeley":{"formattedCitation":"(45,60)","plainTextFormattedCitation":"(45,60)","previouslyFormattedCitation":"(45,60)"},"properties":{"noteIndex":0},"schema":"https://github.com/citation-style-language/schema/raw/master/csl-citation.json"}</w:instrText>
      </w:r>
      <w:r w:rsidRPr="00677ACC">
        <w:fldChar w:fldCharType="separate"/>
      </w:r>
      <w:r w:rsidR="006F585C" w:rsidRPr="006F585C">
        <w:rPr>
          <w:noProof/>
        </w:rPr>
        <w:t>(45,60)</w:t>
      </w:r>
      <w:r w:rsidRPr="00677ACC">
        <w:fldChar w:fldCharType="end"/>
      </w:r>
      <w:r w:rsidR="008104FC">
        <w:t>.</w:t>
      </w:r>
      <w:r w:rsidRPr="00677ACC">
        <w:t xml:space="preserve"> </w:t>
      </w:r>
      <w:r w:rsidRPr="00677ACC">
        <w:rPr>
          <w:color w:val="000000"/>
        </w:rPr>
        <w:t>Despite limited controlled data, the efficacy of ECT in catatonia is well established in clinical practice. Response rates of 80–100% have been consistently reported across pediatric, adult, and geriatric populations</w:t>
      </w:r>
      <w:r w:rsidR="008104FC">
        <w:rPr>
          <w:color w:val="000000"/>
        </w:rPr>
        <w:t xml:space="preserve"> </w:t>
      </w:r>
      <w:r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URL":"https://www.psychiatry.org/psychiatrists/search-directories-databases/resource-documents/2025/catatonia","accessed":{"date-parts":[["2025","5","7"]]},"id":"ITEM-4","issued":{"date-parts":[["0"]]},"title":"Psychiatry.org - Catatonia","type":"webpage"},"uris":["http://www.mendeley.com/documents/?uuid=c654ac06-182c-3c37-9741-ef9fdff771c5"]},{"id":"ITEM-5","itemData":{"DOI":"10.1056/NEJMRA2116304","ISSN":"0028-4793","abstract":"Catatonia,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H.","non-dropping-particle":"","parse-names":false,"suffix":""}],"id":"ITEM-5","issue":"19","issued":{"date-parts":[["2023","11","9"]]},"page":"1797-1802","publisher":"Massachusetts Medical Society","title":"Catatonia","type":"article-journal","volume":"389"},"uris":["http://www.mendeley.com/documents/?uuid=86ece16a-5695-32ea-815c-6d0809c0698a"]}],"mendeley":{"formattedCitation":"(2,3,56,58,59)","plainTextFormattedCitation":"(2,3,56,58,59)","previouslyFormattedCitation":"(2,3,56,58,59)"},"properties":{"noteIndex":0},"schema":"https://github.com/citation-style-language/schema/raw/master/csl-citation.json"}</w:instrText>
      </w:r>
      <w:r w:rsidRPr="00677ACC">
        <w:fldChar w:fldCharType="separate"/>
      </w:r>
      <w:r w:rsidR="006F585C" w:rsidRPr="006F585C">
        <w:rPr>
          <w:noProof/>
        </w:rPr>
        <w:t>(2,3,56,58,59)</w:t>
      </w:r>
      <w:r w:rsidRPr="00677ACC">
        <w:fldChar w:fldCharType="end"/>
      </w:r>
      <w:r w:rsidR="008104FC">
        <w:t>.</w:t>
      </w:r>
      <w:r w:rsidRPr="00677ACC">
        <w:t xml:space="preserve"> </w:t>
      </w:r>
      <w:r w:rsidRPr="00677ACC">
        <w:rPr>
          <w:color w:val="000000"/>
        </w:rPr>
        <w:t xml:space="preserve">Early initiation is associated with better outcomes and a reduced risk of complications, as delayed treatment may lead to diminished responsiveness over time </w:t>
      </w:r>
      <w:r w:rsidR="00BC6CFB" w:rsidRPr="00677ACC">
        <w:fldChar w:fldCharType="begin" w:fldLock="1"/>
      </w:r>
      <w:r w:rsidR="00EF1C44">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Perspectives","type":"article-journal","volume":"16"},"uris":["http://www.mendeley.com/documents/?uuid=a039968a-7ece-39b0-9390-ab5aeee43f35"]},{"id":"ITEM-2","itemData":{"DOI":"10.1177/02698811231158232","abstract":"The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Psychopharmacol","id":"ITEM-2","issue":"4","issued":{"date-parts":[["2023"]]},"page":"327-369","publisher-place":"Institute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Psychopharmacology","type":"article-journal","volume":"37"},"uris":["http://www.mendeley.com/documents/?uuid=0ab1ea3e-81ec-4481-8aa6-69ccd758e186"]},{"id":"ITEM-3","itemData":{"DOI":"10.1016/s0193-953x(03)00057-1","abstract":"ECT is often a necessary treatment for severe psychiatric disorders in patients  with medical or neurologic comorbidity. Although the available data consist largely of cases and case series, ECT is effective in treating psychopathology despite the comorbidity. With appropriate precautions and monitoring during and after ECT, complications can be minimized.","author":[{"dropping-particle":"","family":"Rasmussen","given":"Keith G","non-dropping-particle":"","parse-names":false,"suffix":""},{"dropping-particle":"","family":"Rummans","given":"Teresa A","non-dropping-particle":"","parse-names":false,"suffix":""},{"dropping-particle":"","family":"Richardson","given":"Jarrett W","non-dropping-particle":"","parse-names":false,"suffix":""}],"container-title":"The Psychiatric clinics of North America","id":"ITEM-3","issue":"1","issued":{"date-parts":[["2002","3"]]},"language":"eng","page":"177-193","title":"Electroconvulsive therapy in the medically ill.","type":"article-journal","volume":"25"},"uris":["http://www.mendeley.com/documents/?uuid=515beb2c-c738-374a-8971-82eaf8985d45"]},{"id":"ITEM-4","itemData":{"author":[{"dropping-particle":"","family":"AArnold OH","given":"","non-dropping-particle":"","parse-names":false,"suffix":""}],"container-title":"Wien Z Nervenheilkunde Deren Grenzgebiete ","id":"ITEM-4","issue":"3","issued":{"date-parts":[["1949"]]},"page":"376","title":"Untersuchungen zur Frage der akuten todlichen Katatonie","type":"article-journal","volume":"2"},"uris":["http://www.mendeley.com/documents/?uuid=9673546d-88c8-3e4b-bab9-5881303952fe"]},{"id":"ITEM-5","itemData":{"DOI":"10.1177/08850666221114303","ISSN":"15251489","PMID":"35861966","abstract":"Catatonia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Medicine","id":"ITEM-5","issue":"2","issued":{"date-parts":[["2023","2","1"]]},"page":"137-150","publisher":"SAGE Publications Inc.","title":"Malignant Catatonia: A Review for the Intensivist","type":"article-journal","volume":"38"},"uris":["http://www.mendeley.com/documents/?uuid=70039731-547d-3494-b614-7e3240f971ee"]}],"mendeley":{"formattedCitation":"(43,56,60–62)","plainTextFormattedCitation":"(43,56,60–62)","previouslyFormattedCitation":"(43,56,60–62)"},"properties":{"noteIndex":0},"schema":"https://github.com/citation-style-language/schema/raw/master/csl-citation.json"}</w:instrText>
      </w:r>
      <w:r w:rsidR="00BC6CFB" w:rsidRPr="00677ACC">
        <w:fldChar w:fldCharType="separate"/>
      </w:r>
      <w:r w:rsidR="006F585C" w:rsidRPr="006F585C">
        <w:rPr>
          <w:noProof/>
        </w:rPr>
        <w:t>(43,56,60–62)</w:t>
      </w:r>
      <w:r w:rsidR="00BC6CFB" w:rsidRPr="00677ACC">
        <w:fldChar w:fldCharType="end"/>
      </w:r>
      <w:r w:rsidR="008104FC">
        <w:t>.</w:t>
      </w:r>
    </w:p>
    <w:p w14:paraId="0DDE53F1" w14:textId="2F2E9D15" w:rsidR="00BC6CFB" w:rsidRPr="00677ACC" w:rsidRDefault="001F40DC" w:rsidP="00677ACC">
      <w:pPr>
        <w:pStyle w:val="NormalWeb"/>
        <w:spacing w:line="480" w:lineRule="auto"/>
      </w:pPr>
      <w:r w:rsidRPr="00677ACC">
        <w:rPr>
          <w:color w:val="000000"/>
        </w:rPr>
        <w:t>ECT is also generally well tolerated. Serious complications are rare, and the risk–benefit ratio is generally favorable, particularly in cases of severe or treatment-refractory catatonia</w:t>
      </w:r>
      <w:r w:rsidR="008104FC">
        <w:rPr>
          <w:color w:val="000000"/>
        </w:rPr>
        <w:t xml:space="preserve"> </w:t>
      </w:r>
      <w:r w:rsidR="00BC6CFB"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Document","type":"article-journal"},"uris":["http://www.mendeley.com/documents/?uuid=b7c7ad32-5717-372a-8e09-9fa63156a01e"]},{"id":"ITEM-5","itemData":{"DOI":"10.1097/YCT.0b013e3181c18a8c","ISSN":"10950680","PMID":"19935089","abstract":"Background: Profoundly depressed states of awareness classified as either catatonia or akinetic mutism have been reported in patients with various general medical conditions including encephalitis, frontal lobe tumors, or paraneoplastic limbic encephalitis. Catatonic features are often difficult to apprise in this context. This can result in electroconvulsive therapy (ECT) discontinuation, although it remains the most effective treatment of catatonia. Case report: We describe the case of a patient with a history of unresectable right retroorbital squamous cell carcinoma, status poststereotactic radiation and cisplatin, and subsequent pneumococcal meningitis of the temporal lobe with abscess formation who became catatonic after receiving 3 bitemporal treatments with ECT for severe depression and whose catatonia improved with continued ECT. Furthermore, she demonstrated progressive improvement in mood, interactivity, and overall neurologic function after ECT treatment was completed. Conclusions: The search for an etiology of a profound catatonic state should include the probability of underlying medical disorder. Although lorazepam may be helpful in some cases, ECT deserves early consideration in catatonia, especially in cases where the underlying cause seems to be uncertain, even if the catatonia begins in the midst of treatment. © 2010 Lippincott Williams &amp; Wilkins.","author":[{"dropping-particle":"","family":"Romanowicz","given":"Magdalena","non-dropping-particle":"","parse-names":false,"suffix":""},{"dropping-particle":"","family":"Sola","given":"Christopher L.","non-dropping-particle":"","parse-names":false,"suffix":""}],"container-title":"Journal of ECT","id":"ITEM-5","issue":"3","issued":{"date-parts":[["2010","9"]]},"page":"234-237","title":"Electroconvulsive therapy-responsive catatonia in a medically complicated patient","type":"article-journal","volume":"26"},"uris":["http://www.mendeley.com/documents/?uuid=9311b130-0398-3ed5-8df4-766fcf6bf1cd"]},{"id":"ITEM-6","itemData":{"DOI":"10.1016/J.JACLP.2024.12.001","ISSN":"2667-2960","PMID":"39662871","abstract":"Background: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Psychiatry","id":"ITEM-6","issued":{"date-parts":[["2024"]]},"publisher":"J Acad Consult Liaison Psychiatry","title":"Palliative Electroconvulsive Therapy: A Descriptive Cohort Study","type":"article-journal"},"uris":["http://www.mendeley.com/documents/?uuid=c1d075d1-af8f-3f1a-91a6-64564dd40c94"]}],"mendeley":{"formattedCitation":"(2,3,26,50,56,63)","plainTextFormattedCitation":"(2,3,26,50,56,63)","previouslyFormattedCitation":"(2,3,26,50,56,63)"},"properties":{"noteIndex":0},"schema":"https://github.com/citation-style-language/schema/raw/master/csl-citation.json"}</w:instrText>
      </w:r>
      <w:r w:rsidR="00BC6CFB" w:rsidRPr="00677ACC">
        <w:fldChar w:fldCharType="separate"/>
      </w:r>
      <w:r w:rsidR="006F585C" w:rsidRPr="006F585C">
        <w:rPr>
          <w:noProof/>
        </w:rPr>
        <w:t>(2,3,26,50,56,63)</w:t>
      </w:r>
      <w:r w:rsidR="00BC6CFB" w:rsidRPr="00677ACC">
        <w:fldChar w:fldCharType="end"/>
      </w:r>
      <w:r w:rsidR="008104FC">
        <w:t>.</w:t>
      </w:r>
      <w:r w:rsidR="00BC6CFB" w:rsidRPr="00677ACC">
        <w:t xml:space="preserve"> </w:t>
      </w:r>
      <w:r w:rsidRPr="00677ACC">
        <w:rPr>
          <w:color w:val="000000"/>
        </w:rPr>
        <w:t xml:space="preserve">Where available, ECT is </w:t>
      </w:r>
      <w:r w:rsidR="008104FC">
        <w:rPr>
          <w:color w:val="000000"/>
        </w:rPr>
        <w:t xml:space="preserve">may be </w:t>
      </w:r>
      <w:r w:rsidRPr="00677ACC">
        <w:rPr>
          <w:color w:val="000000"/>
        </w:rPr>
        <w:t xml:space="preserve">administered in ICU or general medical ward settings when indicated by severity and supported by institutional resources and legal frameworks </w:t>
      </w:r>
      <w:r w:rsidR="00BC6CFB"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(2,3,50,56)"},"properties":{"noteIndex":0},"schema":"https://github.com/citation-style-language/schema/raw/master/csl-citation.json"}</w:instrText>
      </w:r>
      <w:r w:rsidR="00BC6CFB" w:rsidRPr="00677ACC">
        <w:fldChar w:fldCharType="separate"/>
      </w:r>
      <w:r w:rsidR="006F585C" w:rsidRPr="006F585C">
        <w:rPr>
          <w:noProof/>
        </w:rPr>
        <w:t>(2,3,50,56)</w:t>
      </w:r>
      <w:r w:rsidR="00BC6CFB" w:rsidRPr="00677ACC">
        <w:fldChar w:fldCharType="end"/>
      </w:r>
      <w:r w:rsidR="008104FC">
        <w:t>.</w:t>
      </w:r>
      <w:r w:rsidR="00BC6CFB" w:rsidRPr="00677ACC">
        <w:t xml:space="preserve"> </w:t>
      </w:r>
      <w:r w:rsidR="008104FC">
        <w:rPr>
          <w:color w:val="000000"/>
        </w:rPr>
        <w:t>C</w:t>
      </w:r>
      <w:r w:rsidRPr="00677ACC">
        <w:rPr>
          <w:color w:val="000000"/>
        </w:rPr>
        <w:t>linical improvements often observed after four to six sessions over one to two weeks</w:t>
      </w:r>
      <w:r w:rsidR="008104FC">
        <w:rPr>
          <w:color w:val="000000"/>
          <w:vertAlign w:val="superscript"/>
        </w:rPr>
        <w:t xml:space="preserve"> </w:t>
      </w:r>
      <w:r w:rsidR="00BC6CFB" w:rsidRPr="00677ACC">
        <w:fldChar w:fldCharType="begin" w:fldLock="1"/>
      </w:r>
      <w:r w:rsidR="00EF1C44">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Perspectives","type":"article-journal","volume":"16"},"uris":["http://www.mendeley.com/documents/?uuid=a039968a-7ece-39b0-9390-ab5aeee43f35"]},{"id":"ITEM-2","itemData":{"DOI":"10.1177/02698811231158232","abstract":"The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Psychopharmacol","id":"ITEM-2","issue":"4","issued":{"date-parts":[["2023"]]},"page":"327-369","publisher-place":"Institute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Psychopharmacology","type":"article-journal","volume":"37"},"uris":["http://www.mendeley.com/documents/?uuid=0ab1ea3e-81ec-4481-8aa6-69ccd758e186"]},{"id":"ITEM-3","itemData":{"DOI":"10.1016/s0193-953x(03)00057-1","abstract":"ECT is often a necessary treatment for severe psychiatric disorders in patients  with medical or neurologic comorbidity. Although the available data consist largely of cases and case series, ECT is effective in treating psychopathology despite the comorbidity. With appropriate precautions and monitoring during and after ECT, complications can be minimized.","author":[{"dropping-particle":"","family":"Rasmussen","given":"Keith G","non-dropping-particle":"","parse-names":false,"suffix":""},{"dropping-particle":"","family":"Rummans","given":"Teresa A","non-dropping-particle":"","parse-names":false,"suffix":""},{"dropping-particle":"","family":"Richardson","given":"Jarrett W","non-dropping-particle":"","parse-names":false,"suffix":""}],"container-title":"The Psychiatric clinics of North America","id":"ITEM-3","issue":"1","issued":{"date-parts":[["2002","3"]]},"language":"eng","page":"177-193","title":"Electroconvulsive therapy in the medically ill.","type":"article-journal","volume":"25"},"uris":["http://www.mendeley.com/documents/?uuid=515beb2c-c738-374a-8971-82eaf8985d45"]},{"id":"ITEM-4","itemData":{"DOI":"10.1177/08850666221114303","ISSN":"15251489","PMID":"35861966","abstract":"Catatonia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Medicine","id":"ITEM-4","issue":"2","issued":{"date-parts":[["2023","2","1"]]},"page":"137-150","publisher":"SAGE Publications Inc.","title":"Malignant Catatonia: A Review for the Intensivist","type":"article-journal","volume":"38"},"uris":["http://www.mendeley.com/documents/?uuid=70039731-547d-3494-b614-7e3240f971ee"]}],"mendeley":{"formattedCitation":"(43,56,60,61)","plainTextFormattedCitation":"(43,56,60,61)","previouslyFormattedCitation":"(43,56,60,61)"},"properties":{"noteIndex":0},"schema":"https://github.com/citation-style-language/schema/raw/master/csl-citation.json"}</w:instrText>
      </w:r>
      <w:r w:rsidR="00BC6CFB" w:rsidRPr="00677ACC">
        <w:fldChar w:fldCharType="separate"/>
      </w:r>
      <w:r w:rsidR="00EF1C44" w:rsidRPr="00EF1C44">
        <w:rPr>
          <w:noProof/>
        </w:rPr>
        <w:t>(43,56,60,61)</w:t>
      </w:r>
      <w:r w:rsidR="00BC6CFB" w:rsidRPr="00677ACC">
        <w:fldChar w:fldCharType="end"/>
      </w:r>
      <w:r w:rsidR="008104FC">
        <w:t>.</w:t>
      </w:r>
    </w:p>
    <w:p w14:paraId="424930F3" w14:textId="624D9C57" w:rsidR="001F40DC" w:rsidRPr="00677ACC" w:rsidRDefault="001F40DC" w:rsidP="00677ACC">
      <w:pPr>
        <w:pStyle w:val="NormalWeb"/>
        <w:spacing w:line="480" w:lineRule="auto"/>
      </w:pPr>
      <w:r w:rsidRPr="00677ACC">
        <w:rPr>
          <w:color w:val="000000"/>
        </w:rPr>
        <w:t>ECT is particularly indicated in malignant catatonia and should be employed as a first-line intervention</w:t>
      </w:r>
      <w:r w:rsidR="00BC6CFB" w:rsidRPr="00677ACC">
        <w:t xml:space="preserve"> </w:t>
      </w:r>
      <w:r w:rsidR="00BC6CFB" w:rsidRPr="00677ACC">
        <w:fldChar w:fldCharType="begin" w:fldLock="1"/>
      </w:r>
      <w:r w:rsidR="00EF1C44">
        <w:instrText>ADDIN CSL_CITATION {"citationItems":[{"id":"ITEM-1","itemData":{"DOI":"10.1016/J.SCHRES.2023.04.004","ISSN":"1573-2509","PMID":"37087393","abstract":"Electroconvulsive therapy (ECT) is a safe and effective treatment for catatonia with high response rates. Although empirical data suggest that tolerability and efficacy are at least as good as in adults, ECT treatment of children, adolescents, and geriatric patients seems to pose a specific challenge for many practitioners. This article intends to explore and discuss reasons hindering the use of ECT in these patient groups, give an overview on the use of ECT to treat catatonia and provide practical advice on ECT in children, adolescents, and geriatric patients for the treatment of catatonia. Classification of catatonia as a subform of schizophrenia and a diagnostic overlap with other common conditions in children, adolescents, and geriatric patients might lead to underdiagnosis of catatonia. Concerns about the mechanism of action and about a lack of controlled studies as well as general concerns about the use of ECT in children and adolescents might lead to underutilization of ECT. However, studies of ECT to treat catatonia in children, adolescents, and geriatric patients consistently show its safety and effectiveness. Administration of ECT needs to consider some specific characteristics of children, adolescents, and geriatric patients. In conclusion, ECT is a safe and highly effective treatment for catatonia across the lifespan. Existing evidence does not warrant restrictions of its use in certain age groups.","author":[{"dropping-particle":"","family":"Karl","given":"Sebastian","non-dropping-particle":"","parse-names":false,"suffix":""},{"dropping-particle":"","family":"Sartorius","given":"Alexander","non-dropping-particle":"","parse-names":false,"suffix":""},{"dropping-particle":"","family":"Aksay","given":"Suna Su","non-dropping-particle":"","parse-names":false,"suffix":""}],"container-title":"Schizophrenia research","id":"ITEM-1","issued":{"date-parts":[["2024","1","1"]]},"page":"246-251","publisher":"Schizophr Res","title":"Catatonia and ECT across the lifespan","type":"article-journal","volume":"263"},"uris":["http://www.mendeley.com/documents/?uuid=f29ec675-9e8e-3b3f-b02a-873c828be0c3"]},{"id":"ITEM-2","itemData":{"DOI":"10.1007/S00406-017-0819-5","ISSN":"1433-8491","PMID":"28639007","abstract":"We aimed to review and discuss the evidence-based arguments for the efficacy of electroconvulsive therapy (ECT) in the treatment of catatonia. Randomized controlled trials (RCTs) and observational studies focusing on the response to ECT in catatonia were selected in PubMed, the Cochrane Library, Embase, ClinicalTrials.gov and Current Controlled Trials through October 2016 and qualitatively described. Trials assessing pre-post differences using a catatonia or clinical improvement rating scale were pooled together using a random effect model. Secondary outcomes were adverse effects of anesthesia and seizure. 564 patients from 28 studies were included. RCTs were of low quality and were heterogeneous; therefore, it was not possible to combine their efficacy results. An improvement of catatonic symptoms after ECT treatment was evidenced in ten studies (SMD = −3.14, 95% CI [−3.95; −2.34]). The adverse effects that were reported in seven studies included mental confusion, memory loss, headache, or adverse effects associated with anesthesia. ECT protocols were heterogeneous. The literature consistently describes improvement in catatonic symptoms after ECT. However, the published studies fail to demonstrate efficacy and effectiveness. It is now crucial to design and perform a quality RCT to robustly validate the use of ECT in catatonia. Prospero registration information: PROSPERO 2016: CRD42016041660.","author":[{"dropping-particle":"","family":"Leroy","given":"Arnaud","non-dropping-particle":"","parse-names":false,"suffix":""},{"dropping-particle":"","family":"Naudet","given":"Florian","non-dropping-particle":"","parse-names":false,"suffix":""},{"dropping-particle":"","family":"Vaiva","given":"Guillaume","non-dropping-particle":"","parse-names":false,"suffix":""},{"dropping-particle":"","family":"Francis","given":"Andrew","non-dropping-particle":"","parse-names":false,"suffix":""},{"dropping-particle":"","family":"Thomas","given":"Pierre","non-dropping-particle":"","parse-names":false,"suffix":""},{"dropping-particle":"","family":"Amad","given":"Ali","non-dropping-particle":"","parse-names":false,"suffix":""}],"container-title":"European archives of psychiatry and clinical neuroscience","id":"ITEM-2","issue":"7","issued":{"date-parts":[["2018","10","1"]]},"page":"675-687","publisher":"Eur Arch Psychiatry Clin Neurosci","title":"Is electroconvulsive therapy an evidence-based treatment for catatonia? A systematic review and meta-analysis","type":"article-journal","volume":"268"},"uris":["http://www.mendeley.com/documents/?uuid=a8559e09-1152-3095-a79c-f212d7c5dc19"]},{"id":"ITEM-3","itemData":{"DOI":"10.1177/02698811231158232","abstract":"The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Psychopharmacology","type":"article-journal","volume":"37"},"uris":["http://www.mendeley.com/documents/?uuid=0ab1ea3e-81ec-4481-8aa6-69ccd758e186"]},{"id":"ITEM-4","itemData":{"DOI":"10.1176/APPI.NEUROPSYCH.11060120","ISSN":"15457222","PMID":"22772668","abstract":"Identification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Neurosciences","id":"ITEM-4","issue":"2","issued":{"date-parts":[["2012"]]},"page":"198-207","publisher":"American Psychiatric Association","title":"Catatonic disorder due to a general medical or psychiatric condition","type":"article-journal","volume":"24"},"uris":["http://www.mendeley.com/documents/?uuid=39bea04f-f549-3049-9e3d-5c699a5bd393"]},{"id":"ITEM-5","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Psychiatry","id":"ITEM-5","issued":{"date-parts":[["2025","5"]]},"publisher":"J Acad Consult Liaison Psychiatry","title":"Catatonia: American Psychiatric Association Resource Document","type":"article-journal"},"uris":["http://www.mendeley.com/documents/?uuid=b7c7ad32-5717-372a-8e09-9fa63156a01e"]}],"mendeley":{"formattedCitation":"(50,56,64–66)","plainTextFormattedCitation":"(50,56,64–66)","previouslyFormattedCitation":"(50,56,64–66)"},"properties":{"noteIndex":0},"schema":"https://github.com/citation-style-language/schema/raw/master/csl-citation.json"}</w:instrText>
      </w:r>
      <w:r w:rsidR="00BC6CFB" w:rsidRPr="00677ACC">
        <w:fldChar w:fldCharType="separate"/>
      </w:r>
      <w:r w:rsidR="00EF1C44" w:rsidRPr="00EF1C44">
        <w:rPr>
          <w:noProof/>
        </w:rPr>
        <w:t>(50,56,64–66)</w:t>
      </w:r>
      <w:r w:rsidR="00BC6CFB" w:rsidRPr="00677ACC">
        <w:fldChar w:fldCharType="end"/>
      </w:r>
      <w:r w:rsidR="008104FC">
        <w:t>.</w:t>
      </w:r>
      <w:r w:rsidR="00BC6CFB" w:rsidRPr="00677ACC">
        <w:t xml:space="preserve"> </w:t>
      </w:r>
      <w:r w:rsidRPr="00677ACC">
        <w:rPr>
          <w:color w:val="000000"/>
        </w:rPr>
        <w:t xml:space="preserve">In recognition of its utility, the U.S. Food and Drug Administration (FDA) reclassified ECT devices in 2018 as class II (moderate risk) for the treatment of catatonia in individuals aged 13 and older who are treatment-resistant or require urgent symptom control. </w:t>
      </w:r>
      <w:r w:rsidRPr="00677ACC">
        <w:rPr>
          <w:color w:val="000000"/>
        </w:rPr>
        <w:lastRenderedPageBreak/>
        <w:t xml:space="preserve">Notably, the FDA did not define "treatment resistance" or "severity," leaving these determinations to clinical judgment </w:t>
      </w:r>
      <w:r w:rsidR="00BC6CFB" w:rsidRPr="00677ACC">
        <w:fldChar w:fldCharType="begin" w:fldLock="1"/>
      </w:r>
      <w:r w:rsidR="00EF1C44">
        <w:instrText>ADDIN CSL_CITATION {"citationItems":[{"id":"ITEM-1","itemData":{"DOI":"10.1056/NEJMRA2034954","ISSN":"0028-4793","abstract":"ECT is effective for several disorders, particularly severe or treatment-resistant depression, with a rapid response, but stigma has impeded its use. The mechanism is not known, but a seizure is re...","author":[{"dropping-particle":"","family":"Espinoza","given":"Randall T.","non-dropping-particle":"","parse-names":false,"suffix":""},{"dropping-particle":"","family":"Kellner","given":"Charles H.","non-dropping-particle":"","parse-names":false,"suffix":""}],"container-title":"New England Journal of Medicine","editor":[{"dropping-particle":"","family":"Ropper","given":"Allan H.","non-dropping-particle":"","parse-names":false,"suffix":""}],"id":"ITEM-1","issue":"7","issued":{"date-parts":[["2022","2","17"]]},"page":"667-672","publisher":"Massachusetts Medical Society","title":"Electroconvulsive Therapy","type":"article-journal","volume":"386"},"uris":["http://www.mendeley.com/documents/?uuid=6d13bd02-0285-3923-8e5e-bb009c2430d9"]},{"id":"ITEM-2","itemData":{"DOI":"10.1007/S00406-017-0819-5","ISSN":"1433-8491","PMID":"28639007","abstract":"We aimed to review and discuss the evidence-based arguments for the efficacy of electroconvulsive therapy (ECT) in the treatment of catatonia. Randomized controlled trials (RCTs) and observational studies focusing on the response to ECT in catatonia were selected in PubMed, the Cochrane Library, Embase, ClinicalTrials.gov and Current Controlled Trials through October 2016 and qualitatively described. Trials assessing pre-post differences using a catatonia or clinical improvement rating scale were pooled together using a random effect model. Secondary outcomes were adverse effects of anesthesia and seizure. 564 patients from 28 studies were included. RCTs were of low quality and were heterogeneous; therefore, it was not possible to combine their efficacy results. An improvement of catatonic symptoms after ECT treatment was evidenced in ten studies (SMD = −3.14, 95% CI [−3.95; −2.34]). The adverse effects that were reported in seven studies included mental confusion, memory loss, headache, or adverse effects associated with anesthesia. ECT protocols were heterogeneous. The literature consistently describes improvement in catatonic symptoms after ECT. However, the published studies fail to demonstrate efficacy and effectiveness. It is now crucial to design and perform a quality RCT to robustly validate the use of ECT in catatonia. Prospero registration information: PROSPERO 2016: CRD42016041660.","author":[{"dropping-particle":"","family":"Leroy","given":"Arnaud","non-dropping-particle":"","parse-names":false,"suffix":""},{"dropping-particle":"","family":"Naudet","given":"Florian","non-dropping-particle":"","parse-names":false,"suffix":""},{"dropping-particle":"","family":"Vaiva","given":"Guillaume","non-dropping-particle":"","parse-names":false,"suffix":""},{"dropping-particle":"","family":"Francis","given":"Andrew","non-dropping-particle":"","parse-names":false,"suffix":""},{"dropping-particle":"","family":"Thomas","given":"Pierre","non-dropping-particle":"","parse-names":false,"suffix":""},{"dropping-particle":"","family":"Amad","given":"Ali","non-dropping-particle":"","parse-names":false,"suffix":""}],"container-title":"European archives of psychiatry and clinical neuroscience","id":"ITEM-2","issue":"7","issued":{"date-parts":[["2018","10","1"]]},"page":"675-687","publisher":"Eur Arch Psychiatry Clin Neurosci","title":"Is electroconvulsive therapy an evidence-based treatment for catatonia? A systematic review and meta-analysis","type":"article-journal","volume":"268"},"uris":["http://www.mendeley.com/documents/?uuid=a8559e09-1152-3095-a79c-f212d7c5dc19"]}],"mendeley":{"formattedCitation":"(65,67)","plainTextFormattedCitation":"(65,67)","previouslyFormattedCitation":"(65,67)"},"properties":{"noteIndex":0},"schema":"https://github.com/citation-style-language/schema/raw/master/csl-citation.json"}</w:instrText>
      </w:r>
      <w:r w:rsidR="00BC6CFB" w:rsidRPr="00677ACC">
        <w:fldChar w:fldCharType="separate"/>
      </w:r>
      <w:r w:rsidR="00EF1C44" w:rsidRPr="00EF1C44">
        <w:rPr>
          <w:noProof/>
        </w:rPr>
        <w:t>(65,67)</w:t>
      </w:r>
      <w:r w:rsidR="00BC6CFB" w:rsidRPr="00677ACC">
        <w:fldChar w:fldCharType="end"/>
      </w:r>
      <w:r w:rsidR="008104FC">
        <w:t>.</w:t>
      </w:r>
    </w:p>
    <w:p w14:paraId="6EDE76B7" w14:textId="77777777" w:rsidR="0090414C" w:rsidRPr="00677ACC" w:rsidRDefault="0090414C" w:rsidP="00677ACC">
      <w:pPr>
        <w:spacing w:before="240" w:after="240" w:line="480" w:lineRule="auto"/>
        <w:rPr>
          <w:b/>
          <w:bCs/>
        </w:rPr>
      </w:pPr>
      <w:r w:rsidRPr="00677ACC">
        <w:rPr>
          <w:b/>
          <w:bCs/>
        </w:rPr>
        <w:t xml:space="preserve">Morbidity and Mortality </w:t>
      </w:r>
    </w:p>
    <w:p w14:paraId="677D3267" w14:textId="080CD23E" w:rsidR="0090414C" w:rsidRPr="00677ACC" w:rsidRDefault="0090414C" w:rsidP="00677ACC">
      <w:pPr>
        <w:pStyle w:val="NormalWeb"/>
        <w:spacing w:line="480" w:lineRule="auto"/>
      </w:pPr>
      <w:r w:rsidRPr="00677ACC">
        <w:rPr>
          <w:rStyle w:val="Strong"/>
          <w:rFonts w:eastAsiaTheme="majorEastAsia"/>
          <w:b w:val="0"/>
          <w:bCs w:val="0"/>
        </w:rPr>
        <w:t>Catatonia is associated with medical complications, many of which are preventable with timely recognition and intervention.</w:t>
      </w:r>
      <w:r w:rsidRPr="00677ACC">
        <w:rPr>
          <w:rStyle w:val="apple-converted-space"/>
          <w:rFonts w:eastAsiaTheme="majorEastAsia"/>
        </w:rPr>
        <w:t> </w:t>
      </w:r>
      <w:r w:rsidRPr="00677ACC">
        <w:t>Approximately one in four patients with catatonia develop medical sequelae, including DVT, pulmonary emboli (PE), rhabdomyolysis, malnutrition, pressure injuries, and significant physical deconditioning</w:t>
      </w:r>
      <w:r w:rsidR="008104FC">
        <w:t xml:space="preserve"> </w:t>
      </w:r>
      <w:r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mendeley":{"formattedCitation":"(10,68)","plainTextFormattedCitation":"(10,68)","previouslyFormattedCitation":"(10,68)"},"properties":{"noteIndex":0},"schema":"https://github.com/citation-style-language/schema/raw/master/csl-citation.json"}</w:instrText>
      </w:r>
      <w:r w:rsidRPr="00677ACC">
        <w:fldChar w:fldCharType="separate"/>
      </w:r>
      <w:r w:rsidR="00EF1C44" w:rsidRPr="00EF1C44">
        <w:rPr>
          <w:noProof/>
        </w:rPr>
        <w:t>(10,68)</w:t>
      </w:r>
      <w:r w:rsidRPr="00677ACC">
        <w:fldChar w:fldCharType="end"/>
      </w:r>
      <w:r w:rsidR="008104FC">
        <w:t>.</w:t>
      </w:r>
      <w:r w:rsidRPr="00677ACC">
        <w:t xml:space="preserve"> Immobility in hypokinetic forms of catatonia is a key driver of these risks, particularly for thromboembolic events and pressure ulcers </w:t>
      </w:r>
      <w:r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mendeley":{"formattedCitation":"(68)","plainTextFormattedCitation":"(68)","previouslyFormattedCitation":"(68)"},"properties":{"noteIndex":0},"schema":"https://github.com/citation-style-language/schema/raw/master/csl-citation.json"}</w:instrText>
      </w:r>
      <w:r w:rsidRPr="00677ACC">
        <w:fldChar w:fldCharType="separate"/>
      </w:r>
      <w:r w:rsidR="00EF1C44" w:rsidRPr="00EF1C44">
        <w:rPr>
          <w:noProof/>
        </w:rPr>
        <w:t>(68)</w:t>
      </w:r>
      <w:r w:rsidRPr="00677ACC">
        <w:fldChar w:fldCharType="end"/>
      </w:r>
      <w:r w:rsidR="008104FC">
        <w:t>.</w:t>
      </w:r>
      <w:r w:rsidRPr="00677ACC">
        <w:t xml:space="preserve"> Notably, the risk of VTE in catatonia has been shown to exceed that of patients in prolonged physical restraints </w:t>
      </w:r>
      <w:r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mendeley":{"formattedCitation":"(68)","plainTextFormattedCitation":"(68)","previouslyFormattedCitation":"(68)"},"properties":{"noteIndex":0},"schema":"https://github.com/citation-style-language/schema/raw/master/csl-citation.json"}</w:instrText>
      </w:r>
      <w:r w:rsidRPr="00677ACC">
        <w:fldChar w:fldCharType="separate"/>
      </w:r>
      <w:r w:rsidR="00EF1C44" w:rsidRPr="00EF1C44">
        <w:rPr>
          <w:noProof/>
        </w:rPr>
        <w:t>(68)</w:t>
      </w:r>
      <w:r w:rsidRPr="00677ACC">
        <w:fldChar w:fldCharType="end"/>
      </w:r>
      <w:r w:rsidR="008104FC">
        <w:t>.</w:t>
      </w:r>
      <w:r w:rsidRPr="00677ACC">
        <w:t xml:space="preserve"> Malnutrition and dehydration are particularly common in patients with prolonged withdrawal or mutism and may necessitate enteral or parenteral support. </w:t>
      </w:r>
      <w:r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mendeley":{"formattedCitation":"(10,68)","plainTextFormattedCitation":"(10,68)","previouslyFormattedCitation":"(10,68)"},"properties":{"noteIndex":0},"schema":"https://github.com/citation-style-language/schema/raw/master/csl-citation.json"}</w:instrText>
      </w:r>
      <w:r w:rsidRPr="00677ACC">
        <w:fldChar w:fldCharType="separate"/>
      </w:r>
      <w:r w:rsidR="00EF1C44" w:rsidRPr="00EF1C44">
        <w:rPr>
          <w:noProof/>
        </w:rPr>
        <w:t>(10,68)</w:t>
      </w:r>
      <w:r w:rsidRPr="00677ACC">
        <w:fldChar w:fldCharType="end"/>
      </w:r>
      <w:r w:rsidR="008104FC">
        <w:t>.</w:t>
      </w:r>
      <w:r w:rsidRPr="00677ACC">
        <w:t xml:space="preserve"> Rhabdomyolysis, driven by prolonged immobility or severe agitation, can progress to renal failure </w:t>
      </w:r>
      <w:r w:rsidRPr="00677ACC">
        <w:fldChar w:fldCharType="begin" w:fldLock="1"/>
      </w:r>
      <w:r w:rsidR="008104FC">
        <w:instrText>ADDIN CSL_CITATION {"citationItems":[{"id":"ITEM-1","itemData":{"DOI":"10.1016/j.ajmo.2023.100059","ISSN":"2667-0364","PMID":"39035239","abstract":"BACKGROUND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open","id":"ITEM-1","issued":{"date-parts":[["2023","12"]]},"page":"100059","publisher":"Elsevier BV","title":"Catatonia: A Narrative Review for Hospitalists.","type":"article-journal","volume":"10"},"uris":["http://www.mendeley.com/documents/?uuid=ad166c68-95ef-3925-ab82-55fef7b17120"]}],"mendeley":{"formattedCitation":"(25)","plainTextFormattedCitation":"(25)","previouslyFormattedCitation":"(25)"},"properties":{"noteIndex":0},"schema":"https://github.com/citation-style-language/schema/raw/master/csl-citation.json"}</w:instrText>
      </w:r>
      <w:r w:rsidRPr="00677ACC">
        <w:fldChar w:fldCharType="separate"/>
      </w:r>
      <w:r w:rsidR="008104FC" w:rsidRPr="008104FC">
        <w:rPr>
          <w:noProof/>
        </w:rPr>
        <w:t>(25)</w:t>
      </w:r>
      <w:r w:rsidRPr="00677ACC">
        <w:fldChar w:fldCharType="end"/>
      </w:r>
      <w:r w:rsidR="008104FC">
        <w:t>.</w:t>
      </w:r>
    </w:p>
    <w:p w14:paraId="49039739" w14:textId="761DCF98" w:rsidR="0090414C" w:rsidRPr="00677ACC" w:rsidRDefault="0090414C" w:rsidP="00677ACC">
      <w:pPr>
        <w:pStyle w:val="NormalWeb"/>
        <w:spacing w:line="480" w:lineRule="auto"/>
      </w:pPr>
      <w:r w:rsidRPr="00677ACC">
        <w:rPr>
          <w:rStyle w:val="Strong"/>
          <w:rFonts w:eastAsiaTheme="majorEastAsia"/>
          <w:b w:val="0"/>
          <w:bCs w:val="0"/>
        </w:rPr>
        <w:t>Malignant catatonia is especially severe, representing a medical emergency with a high risk of mortality if not treated promptly.</w:t>
      </w:r>
      <w:r w:rsidRPr="00677ACC">
        <w:rPr>
          <w:rStyle w:val="apple-converted-space"/>
          <w:rFonts w:eastAsiaTheme="majorEastAsia"/>
        </w:rPr>
        <w:t> </w:t>
      </w:r>
      <w:r w:rsidRPr="00677ACC">
        <w:t xml:space="preserve">This form of catatonia includes autonomic instability—such as hyperthermia, tachycardia, and labile blood pressure—that can progress to myocardial infarction, multiorgan failure, and cardiopulmonary arrest </w:t>
      </w:r>
      <w:r w:rsidRPr="00677ACC">
        <w:fldChar w:fldCharType="begin" w:fldLock="1"/>
      </w:r>
      <w:r w:rsidR="00413DE8">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id":"ITEM-2","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open","id":"ITEM-2","issued":{"date-parts":[["2023","12"]]},"page":"100059","publisher":"Elsevier BV","title":"Catatonia: A Narrative Review for Hospitalists.","type":"article-journal","volume":"10"},"uris":["http://www.mendeley.com/documents/?uuid=ad166c68-95ef-3925-ab82-55fef7b17120"]}],"mendeley":{"formattedCitation":"(17,25)","plainTextFormattedCitation":"(17,25)","previouslyFormattedCitation":"(17,25)"},"properties":{"noteIndex":0},"schema":"https://github.com/citation-style-language/schema/raw/master/csl-citation.json"}</w:instrText>
      </w:r>
      <w:r w:rsidRPr="00677ACC">
        <w:fldChar w:fldCharType="separate"/>
      </w:r>
      <w:r w:rsidR="00413DE8" w:rsidRPr="00413DE8">
        <w:rPr>
          <w:noProof/>
        </w:rPr>
        <w:t>(17,25)</w:t>
      </w:r>
      <w:r w:rsidRPr="00677ACC">
        <w:fldChar w:fldCharType="end"/>
      </w:r>
      <w:r w:rsidR="008104FC">
        <w:t>.</w:t>
      </w:r>
      <w:r w:rsidRPr="00677ACC">
        <w:t xml:space="preserve"> </w:t>
      </w:r>
      <w:r w:rsidR="008104FC" w:rsidRPr="008104FC">
        <w:t>Malignant catatonia has been studied in both adults and children, with mortality rates for untreated cases estimated to be as high as 75–100%</w:t>
      </w:r>
      <w:r w:rsidR="00413DE8">
        <w:t xml:space="preserve"> </w:t>
      </w:r>
      <w:r w:rsidR="008104FC">
        <w:fldChar w:fldCharType="begin" w:fldLock="1"/>
      </w:r>
      <w:r w:rsidR="00EF1C44">
        <w:instrText>ADDIN CSL_CITATION {"citationItems":[{"id":"ITEM-1","itemData":{"DOI":"10.1002/AUR.3315","ISSN":"19393806","abstract":"Catatonia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Research","id":"ITEM-1","issued":{"date-parts":[["2025","2","1"]]},"publisher":"John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-2","itemData":{"DOI":"10.1101/2024.06.06.24308554","PMID":"38883751","author":[{"dropping-particle":"","family":"Luccarelli","given":"James","non-dropping-particle":"","parse-names":false,"suffix":""},{"dropping-particle":"","family":"Clauss","given":"Jacqueline A.","non-dropping-particle":"","parse-names":false,"suffix":""},{"dropping-particle":"","family":"York","given":"Tasia","non-dropping-particle":"","parse-names":false,"suffix":""},{"dropping-particle":"","family":"Baldwin","given":"Isaac","non-dropping-particle":"","parse-names":false,"suffix":""},{"dropping-particle":"","family":"Vandekar","given":"Simon","non-dropping-particle":"","parse-names":false,"suffix":""},{"dropping-particle":"","family":"McGonigle","given":"Trey","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R.","non-dropping-particle":"","parse-names":false,"suffix":""}],"container-title":"medRxiv : the preprint server for health sciences","id":"ITEM-2","issued":{"date-parts":[["2024","6","7"]]},"publisher":"medRxiv","title":"Exploring the Trajectory of Catatonia in Neurodiverse and Neurotypical Pediatric Hospitalizations: A Multicenter Longitudinal Analysis","type":"article-journal"},"uris":["http://www.mendeley.com/documents/?uuid=1e08ec5e-ae37-31c6-8e78-39ca6c742655"]},{"id":"ITEM-3","itemData":{"DOI":"10.1016/J.SCHRES.2009.04.021","ISSN":"1573-2509","PMID":"19443182","abstract":"This paper examined outcomes among youth with catatonic syndrome and determined whether the characteristics suggesting the relevance of chronic catatonic schizophrenia (CCS) at index episode remained stable at follow-up. From 1993 to 2004, 35 individuals aged 12 to 18 years were prospectively admitted for management of catatonic syndrome and followed up after discharge. Mean duration from discharge to follow-up was 3.9 years (range 1-10). Four patients were lost to follow-up. Among the remaining 31 subjects (mean age = 19.5 years, range 15-26), life-time diagnosis using the Diagnostic Interview for Genetic Studies was unchanged in 28 patients, and included schizophrenia (all subtypes; N = 20), major depressive episode (N = 5), bipolar disorder type I (N = 4) and brief psychotic episode (N = 2). Mortality (all-cause Standardized Mortality Ratio = 6266; 95% CI = 1181-18,547) and morbidity were severe, with 3 deaths (including 2 suicides), 6 patients presenting with a causal organic condition and 14 subjects needing continuous psychiatric care. All males in the study (N = 8) who had chronic catatonic schizophrenia at the index episode still had chronic catatonic signs at follow-up. Catatonia is one of the most severe psychiatric syndromes in adolescents. It is associated with a 60-fold increased risk of premature death, including suicide, when compared to the general population of same sex and age. This increased risk of premature death remains higher than the one measured in former adolescent psychiatric patients (all-cause SMR = 221; 95% CI = 156-303; Engqvist and Rydelius, 2006), or in schizophrenia irrespective to age and subtype (all-cause SMR = 157; 95% CI = 153-160; Harris and Barraclough, 1998). © 2009 Elsevier B.V. All rights reserved.","author":[{"dropping-particle":"","family":"Cornic","given":"Françoise","non-dropping-particle":"","parse-names":false,"suffix":""},{"dropping-particle":"","family":"Consoli","given":"Angèle","non-dropping-particle":"","parse-names":false,"suffix":""},{"dropping-particle":"","family":"Tanguy","given":"Marie Laure","non-dropping-particle":"","parse-names":false,"suffix":""},{"dropping-particle":"","family":"Bonnot","given":"Olivier","non-dropping-particle":"","parse-names":false,"suffix":""},{"dropping-particle":"","family":"Périsse","given":"Didier","non-dropping-particle":"","parse-names":false,"suffix":""},{"dropping-particle":"","family":"Tordjman","given":"Sylvie","non-dropping-particle":"","parse-names":false,"suffix":""},{"dropping-particle":"","family":"Laurent","given":"Claudine","non-dropping-particle":"","parse-names":false,"suffix":""},{"dropping-particle":"","family":"Cohen","given":"David","non-dropping-particle":"","parse-names":false,"suffix":""}],"container-title":"Schizophrenia research","id":"ITEM-3","issue":"2-3","issued":{"date-parts":[["2009","9"]]},"page":"233-240","publisher":"Schizophr Res","title":"Association of adolescent catatonia with increased mortality and morbidity: evidence from a prospective follow-up study","type":"article-journal","volume":"113"},"uris":["http://www.mendeley.com/documents/?uuid=b8ee0bf3-ec53-369c-b359-2aa883cb8d9e"]},{"id":"ITEM-4","itemData":{"DOI":"10.1038/s41572-024-00534-w","ISSN":"2056676X","PMID":"39025858","abstract":"Catatonia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id":"ITEM-5","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open","id":"ITEM-5","issued":{"date-parts":[["2023","12"]]},"page":"100059","publisher":"Elsevier BV","title":"Catatonia: A Narrative Review for Hospitalists.","type":"article-journal","volume":"10"},"uris":["http://www.mendeley.com/documents/?uuid=ad166c68-95ef-3925-ab82-55fef7b17120"]}],"mendeley":{"formattedCitation":"(17,25,38,69,70)","plainTextFormattedCitation":"(17,25,38,69,70)","previouslyFormattedCitation":"(17,25,38,69,70)"},"properties":{"noteIndex":0},"schema":"https://github.com/citation-style-language/schema/raw/master/csl-citation.json"}</w:instrText>
      </w:r>
      <w:r w:rsidR="008104FC">
        <w:fldChar w:fldCharType="separate"/>
      </w:r>
      <w:r w:rsidR="00EF1C44" w:rsidRPr="00EF1C44">
        <w:rPr>
          <w:noProof/>
        </w:rPr>
        <w:t>(17,25,38,69,70)</w:t>
      </w:r>
      <w:r w:rsidR="008104FC">
        <w:fldChar w:fldCharType="end"/>
      </w:r>
      <w:r w:rsidR="008104FC">
        <w:t>.</w:t>
      </w:r>
      <w:r w:rsidR="008104FC" w:rsidRPr="00677ACC">
        <w:t xml:space="preserve"> </w:t>
      </w:r>
      <w:r w:rsidRPr="00677ACC">
        <w:t xml:space="preserve">The urgency of early intervention is underscored by evidence that treatment delays are associated with reduced response to treatment and increased risk of death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Psychopharmacology","type":"article-journal","volume":"37"},"uris":["http://www.mendeley.com/documents/?uuid=0ab1ea3e-81ec-4481-8aa6-69ccd758e186"]},{"id":"ITEM-2","itemData":{"author":[{"dropping-particle":"","family":"AArnold OH","given":"","non-dropping-particle":"","parse-names":false,"suffix":""}],"container-title":"Wien Z Nervenheilkunde Deren Grenzgebiete ","id":"ITEM-2","issue":"3","issued":{"date-parts":[["1949"]]},"page":"376","title":"Untersuchungen zur Frage der akuten todlichen Katatonie","type":"article-journal","volume":"2"},"uris":["http://www.mendeley.com/documents/?uuid=9673546d-88c8-3e4b-bab9-5881303952fe"]}],"mendeley":{"formattedCitation":"(56,62)","plainTextFormattedCitation":"(56,62)","previouslyFormattedCitation":"(56,62)"},"properties":{"noteIndex":0},"schema":"https://github.com/citation-style-language/schema/raw/master/csl-citation.json"}</w:instrText>
      </w:r>
      <w:r w:rsidRPr="00677ACC">
        <w:fldChar w:fldCharType="separate"/>
      </w:r>
      <w:r w:rsidR="006F585C" w:rsidRPr="006F585C">
        <w:rPr>
          <w:noProof/>
        </w:rPr>
        <w:t>(56,62)</w:t>
      </w:r>
      <w:r w:rsidRPr="00677ACC">
        <w:fldChar w:fldCharType="end"/>
      </w:r>
      <w:r w:rsidR="008104FC">
        <w:t xml:space="preserve">. </w:t>
      </w:r>
      <w:r w:rsidRPr="00677ACC">
        <w:t>Catatonia may become increasingly treatment refractory over time, reinforcing the need for rapid identification and treatment initiation.</w:t>
      </w:r>
    </w:p>
    <w:p w14:paraId="29CD3E93" w14:textId="634B2B03" w:rsidR="0090414C" w:rsidRPr="00677ACC" w:rsidRDefault="0090414C" w:rsidP="00677ACC">
      <w:pPr>
        <w:pStyle w:val="NormalWeb"/>
        <w:spacing w:line="480" w:lineRule="auto"/>
      </w:pPr>
      <w:r w:rsidRPr="00677ACC">
        <w:rPr>
          <w:rStyle w:val="Strong"/>
          <w:rFonts w:eastAsiaTheme="majorEastAsia"/>
          <w:b w:val="0"/>
          <w:bCs w:val="0"/>
        </w:rPr>
        <w:lastRenderedPageBreak/>
        <w:t>Beyond physical complications, catatonia inflicts significant psychological and existential suffering.</w:t>
      </w:r>
      <w:r w:rsidRPr="00677ACC">
        <w:rPr>
          <w:rStyle w:val="apple-converted-space"/>
          <w:rFonts w:eastAsiaTheme="majorEastAsia"/>
        </w:rPr>
        <w:t> </w:t>
      </w:r>
      <w:r w:rsidRPr="00677ACC">
        <w:t xml:space="preserve">Catatonic symptoms often impair voluntary movement, verbal communication, and responsiveness, creating barriers to assessing and meeting basic needs </w:t>
      </w:r>
      <w:r w:rsidRPr="00677ACC">
        <w:fldChar w:fldCharType="begin" w:fldLock="1"/>
      </w:r>
      <w:r w:rsidR="00EF1C44">
        <w:instrText>ADDIN CSL_CITATION {"citationItems":[{"id":"ITEM-1","itemData":{"DOI":"10.5498/WJP.V6.I4.391","ISSN":"2220-3206","PMID":"28078203","abstract":"Catatonia is a psychomotor syndrome that has been reported to occur in more than 10% of patients with acute psychiatric illnesses. Two subtypes of the syndrome have been identified. Catatonia of the retarded type is characterized by immobility, mutism, staring, rigidity, and a host of other clinical signs. Excited catatonia is a less common presentation in which patients develop prolonged periods of psychomotor agitation. Once thought to be a subtype of schizophrenia, catatonia is now recognized to occur with a broad spectrum of medical and psychiatric illnesses, particularly affective disorders. In many cases, the catatonia must be treated before any underlying conditions can be accurately diagnosed. Most patients with the syndrome respond rapidly to low-dose benzodiazepines, but electroconvulsive therapy is occasionally required. Patients with longstanding catatonia or a diagnosis of schizophrenia may be less likely to respond. The pathobiology of catatonia is poorly understood, although abnormalities in gamma-aminobutyric acid and glutamate signaling have been suggested as causative factors. Because catatonia is common, highly treatable, and associated with significant morbidity and mortality if left untreated, physicians should maintain a high level of suspicion for this complex clinical syndrome. Since 1989, we have systematically assessed patients presenting to our psychiatry service with signs of retarded catatonia. In this paper, we present a review of the current literature on catatonia along with findings from the 220 cases we have assessed and treated. Core tip: Catatonia is a complex clinical syndrome occurring in more than 10% of patients with acute psychiatric illnesses, and it is associated with multiple life-threatening complications. In the last several decades, renewed interest in this syndrome has led to a great deal of research and debate regarding its REVIEW 391 December 22, 2016|Volume 6|Issue 4| WJP|www.wjgnet.com diagnosis and treatment. In this paper, we present a review of the current literature on catatonia along with findings from the 220 cases we have assessed and treated since 1989. Catatonia itself is readily treated using low-dose lorazepam, and it also has important implications for how other underlying psychiatric con-ditions should be treated. Rasmussen SA, Mazurek MF, Rosebush PI. Catatonia: Our current understanding of its diagnosis, treatment and pathophysiology. World J Psychiatr 2016; 6(4): 391-398 Available from:","author":[{"dropping-particle":"","family":"Rasmussen","given":"Sean A","non-dropping-particle":"","parse-names":false,"suffix":""},{"dropping-particle":"","family":"Mazurek","given":"Michael F","non-dropping-particle":"","parse-names":false,"suffix":""},{"dropping-particle":"","family":"Rosebush","given":"Patricia I","non-dropping-particle":"","parse-names":false,"suffix":""}],"container-title":"World journal of psychiatry","id":"ITEM-1","issue":"4","issued":{"date-parts":[["2016"]]},"page":"391","publisher":"World J Psychiatry","title":"Catatonia: Our current understanding of its diagnosis, treatment and pathophysiology","type":"article-journal","volume":"6"},"uris":["http://www.mendeley.com/documents/?uuid=72823d80-8376-3811-b22a-070fbfc72106"]}],"mendeley":{"formattedCitation":"(71)","plainTextFormattedCitation":"(71)","previouslyFormattedCitation":"(71)"},"properties":{"noteIndex":0},"schema":"https://github.com/citation-style-language/schema/raw/master/csl-citation.json"}</w:instrText>
      </w:r>
      <w:r w:rsidRPr="00677ACC">
        <w:fldChar w:fldCharType="separate"/>
      </w:r>
      <w:r w:rsidR="00EF1C44" w:rsidRPr="00EF1C44">
        <w:rPr>
          <w:noProof/>
        </w:rPr>
        <w:t>(71)</w:t>
      </w:r>
      <w:r w:rsidRPr="00677ACC">
        <w:fldChar w:fldCharType="end"/>
      </w:r>
      <w:r w:rsidR="008104FC">
        <w:t>.</w:t>
      </w:r>
      <w:r w:rsidRPr="00677ACC">
        <w:t xml:space="preserve"> Patients may be unable to report pain, discomfort, or preferences, which can lead to goal-discordant care</w:t>
      </w:r>
      <w:r w:rsidR="008104FC">
        <w:t xml:space="preserve"> </w:t>
      </w:r>
      <w:r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Pr="00677ACC">
        <w:fldChar w:fldCharType="separate"/>
      </w:r>
      <w:r w:rsidR="008104FC" w:rsidRPr="008104FC">
        <w:rPr>
          <w:noProof/>
        </w:rPr>
        <w:t>(26)</w:t>
      </w:r>
      <w:r w:rsidRPr="00677ACC">
        <w:fldChar w:fldCharType="end"/>
      </w:r>
      <w:r w:rsidR="008104FC">
        <w:t>.</w:t>
      </w:r>
      <w:r w:rsidRPr="00677ACC">
        <w:t xml:space="preserve"> Despite these outward signs of unresponsiveness, emerging evidence suggests that many patients with catatonia remain cognitively aware. </w:t>
      </w:r>
      <w:r w:rsidR="00A75276" w:rsidRPr="00677ACC">
        <w:t>I</w:t>
      </w:r>
      <w:r w:rsidR="00A75276" w:rsidRPr="00677ACC">
        <w:rPr>
          <w:color w:val="000000"/>
        </w:rPr>
        <w:t>n qualitative studies, individuals described the experience as frightening and isolating with common themes of feelings of abandonment, intense longing for loved ones, and preoccupation with death and fear</w:t>
      </w:r>
      <w:r w:rsidRPr="00677ACC">
        <w:t xml:space="preserve"> </w:t>
      </w:r>
      <w:r w:rsidRPr="00677ACC">
        <w:fldChar w:fldCharType="begin" w:fldLock="1"/>
      </w:r>
      <w:r w:rsidR="008104FC">
        <w:instrText>ADDIN CSL_CITATION {"citationItems":[{"id":"ITEM-1","itemData":{"DOI":"10.1186/S40359-022-00885-7","ISSN":"2050-7283","PMID":"35841077","abstract":"Background: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psychology","id":"ITEM-1","issue":"1","issued":{"date-parts":[["2022","12","1"]]},"publisher":"BMC Psychol","title":"The psychological and subjective experience of catatonia: a qualitative study","type":"article-journal","volume":"10"},"uris":["http://www.mendeley.com/documents/?uuid=83efd862-90bc-38bd-9425-0f5595a450b9"]}],"mendeley":{"formattedCitation":"(11)","plainTextFormattedCitation":"(11)","previouslyFormattedCitation":"(11)"},"properties":{"noteIndex":0},"schema":"https://github.com/citation-style-language/schema/raw/master/csl-citation.json"}</w:instrText>
      </w:r>
      <w:r w:rsidRPr="00677ACC">
        <w:fldChar w:fldCharType="separate"/>
      </w:r>
      <w:r w:rsidR="008104FC" w:rsidRPr="008104FC">
        <w:rPr>
          <w:noProof/>
        </w:rPr>
        <w:t>(11)</w:t>
      </w:r>
      <w:r w:rsidRPr="00677ACC">
        <w:fldChar w:fldCharType="end"/>
      </w:r>
      <w:r w:rsidR="008104FC">
        <w:t>.</w:t>
      </w:r>
      <w:r w:rsidRPr="00677ACC">
        <w:t xml:space="preserve">  Even in the absence of primary mood disorders, depression is frequently reported</w:t>
      </w:r>
      <w:r w:rsidR="008104FC">
        <w:t xml:space="preserve"> </w:t>
      </w:r>
      <w:r w:rsidRPr="00677ACC">
        <w:fldChar w:fldCharType="begin" w:fldLock="1"/>
      </w:r>
      <w:r w:rsidR="008104FC">
        <w:instrText>ADDIN CSL_CITATION {"citationItems":[{"id":"ITEM-1","itemData":{"DOI":"10.4103/0019-5545.75559","ISSN":"19983794","abstract":"Background: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Psychiatry","id":"ITEM-1","issue":"1","issued":{"date-parts":[["2011"]]},"page":"36-40","publisher":"Medknow Publications","title":"Phenomenology and treatment of Catatonia: A descriptive study from north India","type":"article-journal","volume":"53"},"uris":["http://www.mendeley.com/documents/?uuid=ae264852-40cb-37d6-98c2-e6b1813dd1f1"]},{"id":"ITEM-2","itemData":{"DOI":"10.3389/FPSYT.2022.886662","ISSN":"1664-0640","PMID":"35677876","abstract":"Background: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psychiatry","id":"ITEM-2","issued":{"date-parts":[["2022","5","23"]]},"publisher":"Front Psychiatry","title":"Catatonia Psychopathology and Phenomenology in a Large Dataset","type":"article-journal","volume":"13"},"uris":["http://www.mendeley.com/documents/?uuid=fa44f150-c135-3e18-94c4-0ff6a8761eeb"]},{"id":"ITEM-3","itemData":{"DOI":"10.1016/J.SCHRES.2023.06.002","ISSN":"1573-2509","PMID":"37331880","abstract":"Background: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research","id":"ITEM-3","issued":{"date-parts":[["2024","1","1"]]},"page":"282-288","publisher":"Schizophr Res","title":"Extension, translation and preliminary validation of the Northoff Scale for Subjective Experience in Catatonia (NSSC)","type":"article-journal","volume":"263"},"uris":["http://www.mendeley.com/documents/?uuid=6ef56bcd-b092-31d2-873e-68054e7468ae"]}],"mendeley":{"formattedCitation":"(12–14)","plainTextFormattedCitation":"(12–14)","previouslyFormattedCitation":"(12–14)"},"properties":{"noteIndex":0},"schema":"https://github.com/citation-style-language/schema/raw/master/csl-citation.json"}</w:instrText>
      </w:r>
      <w:r w:rsidRPr="00677ACC">
        <w:fldChar w:fldCharType="separate"/>
      </w:r>
      <w:r w:rsidR="008104FC" w:rsidRPr="008104FC">
        <w:rPr>
          <w:noProof/>
        </w:rPr>
        <w:t>(12–14)</w:t>
      </w:r>
      <w:r w:rsidRPr="00677ACC">
        <w:fldChar w:fldCharType="end"/>
      </w:r>
      <w:r w:rsidR="008104FC">
        <w:t>.</w:t>
      </w:r>
    </w:p>
    <w:p w14:paraId="1EA2E400" w14:textId="77777777" w:rsidR="001E65D2" w:rsidRPr="00677ACC" w:rsidRDefault="001E65D2" w:rsidP="00677ACC">
      <w:pPr>
        <w:pStyle w:val="NormalWeb"/>
        <w:spacing w:before="240" w:beforeAutospacing="0" w:after="240" w:afterAutospacing="0" w:line="480" w:lineRule="auto"/>
        <w:rPr>
          <w:i/>
          <w:iCs/>
        </w:rPr>
      </w:pPr>
    </w:p>
    <w:p w14:paraId="3673E46C" w14:textId="39980789" w:rsidR="0016432B" w:rsidRPr="00677ACC" w:rsidRDefault="0016432B" w:rsidP="00677ACC">
      <w:pPr>
        <w:pStyle w:val="NormalWeb"/>
        <w:spacing w:before="0" w:beforeAutospacing="0" w:after="160" w:afterAutospacing="0" w:line="480" w:lineRule="auto"/>
        <w:rPr>
          <w:b/>
          <w:bCs/>
          <w:u w:val="single"/>
        </w:rPr>
      </w:pPr>
      <w:r w:rsidRPr="00677ACC">
        <w:rPr>
          <w:b/>
          <w:bCs/>
          <w:u w:val="single"/>
        </w:rPr>
        <w:t>Part 2: Catatonia in Patients with Serious Illness</w:t>
      </w:r>
    </w:p>
    <w:p w14:paraId="656D79DA" w14:textId="3B0ABE02" w:rsidR="004A6623" w:rsidRPr="00677ACC" w:rsidRDefault="004A6623" w:rsidP="00677ACC">
      <w:pPr>
        <w:spacing w:line="480" w:lineRule="auto"/>
      </w:pPr>
      <w:r w:rsidRPr="00677ACC">
        <w:t>While nearly a century of clinical experience, robust diagnostic frameworks, structured assessment tools, treatment algorithms, randomized trials, and outcome data exist to guide the care of patients with catatonia</w:t>
      </w:r>
      <w:r w:rsidR="00AB0BD7" w:rsidRPr="00677ACC">
        <w:t xml:space="preserve">, </w:t>
      </w:r>
      <w:r w:rsidRPr="00677ACC">
        <w:t>there is a striking lack of evidence to inform the assessment and management of catatonia in the context of serious medical illness or the dying process</w:t>
      </w:r>
      <w:r w:rsidR="008104FC">
        <w:t xml:space="preserve">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mendeley":{"formattedCitation":"(17)","plainTextFormattedCitation":"(17)","previouslyFormattedCitation":"(17)"},"properties":{"noteIndex":0},"schema":"https://github.com/citation-style-language/schema/raw/master/csl-citation.json"}</w:instrText>
      </w:r>
      <w:r w:rsidRPr="00677ACC">
        <w:fldChar w:fldCharType="separate"/>
      </w:r>
      <w:r w:rsidR="008104FC" w:rsidRPr="008104FC">
        <w:rPr>
          <w:noProof/>
        </w:rPr>
        <w:t>(17)</w:t>
      </w:r>
      <w:r w:rsidRPr="00677ACC">
        <w:fldChar w:fldCharType="end"/>
      </w:r>
      <w:r w:rsidR="008104FC">
        <w:t>.</w:t>
      </w:r>
      <w:r w:rsidRPr="00677ACC">
        <w:t xml:space="preserve"> In this second part of our review, we aim to provide guidance grounded in available evidence, supported by clinical experience, and supplemented with anecdotal insight where necessary. Where possible, we cite relevant research and clarify which recommendations are evidence-based, which are extrapolated from existing data, and which reflect expert consensus. We also identify key </w:t>
      </w:r>
      <w:r w:rsidR="00AB0BD7" w:rsidRPr="00677ACC">
        <w:t xml:space="preserve">challenges and </w:t>
      </w:r>
      <w:r w:rsidRPr="00677ACC">
        <w:t>gaps in the literature</w:t>
      </w:r>
      <w:r w:rsidR="00AB0BD7" w:rsidRPr="00677ACC">
        <w:t xml:space="preserve">, as well as </w:t>
      </w:r>
      <w:proofErr w:type="gramStart"/>
      <w:r w:rsidRPr="00677ACC">
        <w:t>propose</w:t>
      </w:r>
      <w:proofErr w:type="gramEnd"/>
      <w:r w:rsidRPr="00677ACC">
        <w:t xml:space="preserve"> areas for future research to improve care for patients with </w:t>
      </w:r>
      <w:r w:rsidR="00AB0BD7" w:rsidRPr="00677ACC">
        <w:t>serious illness</w:t>
      </w:r>
      <w:r w:rsidR="00D40B3E" w:rsidRPr="00677ACC">
        <w:t xml:space="preserve"> and catatonia</w:t>
      </w:r>
      <w:r w:rsidRPr="00677ACC">
        <w:t>.</w:t>
      </w:r>
    </w:p>
    <w:p w14:paraId="5BF17E25" w14:textId="77777777" w:rsidR="004A6623" w:rsidRPr="00677ACC" w:rsidRDefault="004A6623" w:rsidP="00677ACC">
      <w:pPr>
        <w:pStyle w:val="NormalWeb"/>
        <w:spacing w:before="0" w:beforeAutospacing="0" w:after="160" w:afterAutospacing="0" w:line="480" w:lineRule="auto"/>
      </w:pPr>
    </w:p>
    <w:p w14:paraId="4C373E3C" w14:textId="77777777" w:rsidR="000B23B0" w:rsidRPr="00677ACC" w:rsidRDefault="000B23B0" w:rsidP="00677ACC">
      <w:pPr>
        <w:spacing w:line="480" w:lineRule="auto"/>
        <w:rPr>
          <w:rFonts w:eastAsiaTheme="minorHAnsi"/>
          <w:b/>
          <w:bCs/>
          <w:kern w:val="2"/>
          <w14:ligatures w14:val="standardContextual"/>
        </w:rPr>
      </w:pPr>
      <w:r w:rsidRPr="00677ACC">
        <w:rPr>
          <w:b/>
          <w:bCs/>
        </w:rPr>
        <w:lastRenderedPageBreak/>
        <w:t>Recognition of Catatonia in Patients with Serious Illness Matters:</w:t>
      </w:r>
    </w:p>
    <w:p w14:paraId="7E5B54F1" w14:textId="0DB714F3" w:rsidR="000B23B0" w:rsidRPr="00677ACC" w:rsidRDefault="00E20D81" w:rsidP="00677ACC">
      <w:pPr>
        <w:pStyle w:val="NormalWeb"/>
        <w:spacing w:line="480" w:lineRule="auto"/>
      </w:pPr>
      <w:r w:rsidRPr="00677ACC">
        <w:t>Catatonia is both common and impactful in patients with serious illness, with well-documented morbidity, mortality, and psychological toll</w:t>
      </w:r>
      <w:r w:rsidR="008104FC">
        <w:t xml:space="preserve"> </w:t>
      </w:r>
      <w:r w:rsidR="000B23B0"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Research","title":"Catatonia","type":"article-journal","volume":"10"},"uris":["http://www.mendeley.com/documents/?uuid=e8487146-a3a4-304c-8c0e-603ee2666288"]},{"id":"ITEM-5","itemData":{"DOI":"10.1002/AUR.3315","ISSN":"19393806","abstract":"Catatonia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Research","id":"ITEM-5","issued":{"date-parts":[["2025","2","1"]]},"publisher":"John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-6","itemData":{"DOI":"10.1101/2024.06.06.24308554","PMID":"38883751","author":[{"dropping-particle":"","family":"Luccarelli","given":"James","non-dropping-particle":"","parse-names":false,"suffix":""},{"dropping-particle":"","family":"Clauss","given":"Jacqueline A.","non-dropping-particle":"","parse-names":false,"suffix":""},{"dropping-particle":"","family":"York","given":"Tasia","non-dropping-particle":"","parse-names":false,"suffix":""},{"dropping-particle":"","family":"Baldwin","given":"Isaac","non-dropping-particle":"","parse-names":false,"suffix":""},{"dropping-particle":"","family":"Vandekar","given":"Simon","non-dropping-particle":"","parse-names":false,"suffix":""},{"dropping-particle":"","family":"McGonigle","given":"Trey","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R.","non-dropping-particle":"","parse-names":false,"suffix":""}],"container-title":"medRxiv : the preprint server for health sciences","id":"ITEM-6","issued":{"date-parts":[["2024","6","7"]]},"publisher":"medRxiv","title":"Exploring the Trajectory of Catatonia in Neurodiverse and Neurotypical Pediatric Hospitalizations: A Multicenter Longitudinal Analysis","type":"article-journal"},"uris":["http://www.mendeley.com/documents/?uuid=1e08ec5e-ae37-31c6-8e78-39ca6c742655"]},{"id":"ITEM-7","itemData":{"DOI":"10.1016/J.SCHRES.2009.04.021","ISSN":"1573-2509","PMID":"19443182","abstract":"This paper examined outcomes among youth with catatonic syndrome and determined whether the characteristics suggesting the relevance of chronic catatonic schizophrenia (CCS) at index episode remained stable at follow-up. From 1993 to 2004, 35 individuals aged 12 to 18 years were prospectively admitted for management of catatonic syndrome and followed up after discharge. Mean duration from discharge to follow-up was 3.9 years (range 1-10). Four patients were lost to follow-up. Among the remaining 31 subjects (mean age = 19.5 years, range 15-26), life-time diagnosis using the Diagnostic Interview for Genetic Studies was unchanged in 28 patients, and included schizophrenia (all subtypes; N = 20), major depressive episode (N = 5), bipolar disorder type I (N = 4) and brief psychotic episode (N = 2). Mortality (all-cause Standardized Mortality Ratio = 6266; 95% CI = 1181-18,547) and morbidity were severe, with 3 deaths (including 2 suicides), 6 patients presenting with a causal organic condition and 14 subjects needing continuous psychiatric care. All males in the study (N = 8) who had chronic catatonic schizophrenia at the index episode still had chronic catatonic signs at follow-up. Catatonia is one of the most severe psychiatric syndromes in adolescents. It is associated with a 60-fold increased risk of premature death, including suicide, when compared to the general population of same sex and age. This increased risk of premature death remains higher than the one measured in former adolescent psychiatric patients (all-cause SMR = 221; 95% CI = 156-303; Engqvist and Rydelius, 2006), or in schizophrenia irrespective to age and subtype (all-cause SMR = 157; 95% CI = 153-160; Harris and Barraclough, 1998). © 2009 Elsevier B.V. All rights reserved.","author":[{"dropping-particle":"","family":"Cornic","given":"Françoise","non-dropping-particle":"","parse-names":false,"suffix":""},{"dropping-particle":"","family":"Consoli","given":"Angèle","non-dropping-particle":"","parse-names":false,"suffix":""},{"dropping-particle":"","family":"Tanguy","given":"Marie Laure","non-dropping-particle":"","parse-names":false,"suffix":""},{"dropping-particle":"","family":"Bonnot","given":"Olivier","non-dropping-particle":"","parse-names":false,"suffix":""},{"dropping-particle":"","family":"Périsse","given":"Didier","non-dropping-particle":"","parse-names":false,"suffix":""},{"dropping-particle":"","family":"Tordjman","given":"Sylvie","non-dropping-particle":"","parse-names":false,"suffix":""},{"dropping-particle":"","family":"Laurent","given":"Claudine","non-dropping-particle":"","parse-names":false,"suffix":""},{"dropping-particle":"","family":"Cohen","given":"David","non-dropping-particle":"","parse-names":false,"suffix":""}],"container-title":"Schizophrenia research","id":"ITEM-7","issue":"2-3","issued":{"date-parts":[["2009","9"]]},"page":"233-240","publisher":"Schizophr Res","title":"Association of adolescent catatonia with increased mortality and morbidity: evidence from a prospective follow-up study","type":"article-journal","volume":"113"},"uris":["http://www.mendeley.com/documents/?uuid=b8ee0bf3-ec53-369c-b359-2aa883cb8d9e"]},{"id":"ITEM-8","itemData":{"DOI":"10.1016/J.JACLP.2024.12.001","ISSN":"2667-2960","PMID":"39662871","abstract":"Background: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Psychiatry","id":"ITEM-8","issued":{"date-parts":[["2024"]]},"publisher":"J Acad Consult Liaison Psychiatry","title":"Palliative Electroconvulsive Therapy: A Descriptive Cohort Study","type":"article-journal"},"uris":["http://www.mendeley.com/documents/?uuid=c1d075d1-af8f-3f1a-91a6-64564dd40c94"]},{"id":"ITEM-9","itemData":{"DOI":"10.1186/S40359-022-00885-7","ISSN":"2050-7283","PMID":"35841077","abstract":"Background: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psychology","id":"ITEM-9","issue":"1","issued":{"date-parts":[["2022","12","1"]]},"publisher":"BMC Psychol","title":"The psychological and subjective experience of catatonia: a qualitative study","type":"article-journal","volume":"10"},"uris":["http://www.mendeley.com/documents/?uuid=83efd862-90bc-38bd-9425-0f5595a450b9"]},{"id":"ITEM-10","itemData":{"DOI":"10.4103/0019-5545.75559","ISSN":"19983794","abstract":"Background: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Psychiatry","id":"ITEM-10","issue":"1","issued":{"date-parts":[["2011"]]},"page":"36-40","publisher":"Medknow Publications","title":"Phenomenology and treatment of Catatonia: A descriptive study from north India","type":"article-journal","volume":"53"},"uris":["http://www.mendeley.com/documents/?uuid=ae264852-40cb-37d6-98c2-e6b1813dd1f1"]},{"id":"ITEM-11","itemData":{"DOI":"10.3389/FPSYT.2022.886662","ISSN":"1664-0640","PMID":"35677876","abstract":"Background: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psychiatry","id":"ITEM-11","issued":{"date-parts":[["2022","5","23"]]},"publisher":"Front Psychiatry","title":"Catatonia Psychopathology and Phenomenology in a Large Dataset","type":"article-journal","volume":"13"},"uris":["http://www.mendeley.com/documents/?uuid=fa44f150-c135-3e18-94c4-0ff6a8761eeb"]},{"id":"ITEM-12","itemData":{"DOI":"10.1016/J.SCHRES.2023.06.002","ISSN":"1573-2509","PMID":"37331880","abstract":"Background: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research","id":"ITEM-12","issued":{"date-parts":[["2024","1","1"]]},"page":"282-288","publisher":"Schizophr Res","title":"Extension, translation and preliminary validation of the Northoff Scale for Subjective Experience in Catatonia (NSSC)","type":"article-journal","volume":"263"},"uris":["http://www.mendeley.com/documents/?uuid=6ef56bcd-b092-31d2-873e-68054e7468ae"]},{"id":"ITEM-13","itemData":{"DOI":"10.1177/02698811231158232","abstract":"The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Psychopharmacology","type":"article-journal","volume":"37"},"uris":["http://www.mendeley.com/documents/?uuid=0ab1ea3e-81ec-4481-8aa6-69ccd758e186"]},{"id":"ITEM-14","itemData":{"author":[{"dropping-particle":"","family":"AArnold OH","given":"","non-dropping-particle":"","parse-names":false,"suffix":""}],"container-title":"Wien Z Nervenheilkunde Deren Grenzgebiete ","id":"ITEM-14","issue":"3","issued":{"date-parts":[["1949"]]},"page":"376","title":"Untersuchungen zur Frage der akuten todlichen Katatonie","type":"article-journal","volume":"2"},"uris":["http://www.mendeley.com/documents/?uuid=9673546d-88c8-3e4b-bab9-5881303952fe"]}],"mendeley":{"formattedCitation":"(10,11,62,68–70,12–14,17,25,26,38,56)","plainTextFormattedCitation":"(10,11,62,68–70,12–14,17,25,26,38,56)","previouslyFormattedCitation":"(10,11,62,68–70,12–14,17,25,26,38,56)"},"properties":{"noteIndex":0},"schema":"https://github.com/citation-style-language/schema/raw/master/csl-citation.json"}</w:instrText>
      </w:r>
      <w:r w:rsidR="000B23B0" w:rsidRPr="00677ACC">
        <w:fldChar w:fldCharType="separate"/>
      </w:r>
      <w:r w:rsidR="00EF1C44" w:rsidRPr="00EF1C44">
        <w:rPr>
          <w:noProof/>
        </w:rPr>
        <w:t>(10,11,62,68–70,12–14,17,25,26,38,56)</w:t>
      </w:r>
      <w:r w:rsidR="000B23B0" w:rsidRPr="00677ACC">
        <w:fldChar w:fldCharType="end"/>
      </w:r>
      <w:r w:rsidR="008104FC">
        <w:t>.</w:t>
      </w:r>
      <w:r w:rsidR="000B23B0" w:rsidRPr="00677ACC">
        <w:t xml:space="preserve"> Catatonia compromises communication, often impairs decision-making capacity, and adds substantial burden on caregivers </w:t>
      </w:r>
      <w:r w:rsidR="000B23B0"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Research","title":"Catatonia","type":"article-journal","volume":"10"},"uris":["http://www.mendeley.com/documents/?uuid=e8487146-a3a4-304c-8c0e-603ee2666288"]},{"id":"ITEM-5","itemData":{"DOI":"10.1002/AUR.3315","ISSN":"19393806","abstract":"Catatonia is a highly morbid psychomotor and affective disorder, which can affect autistic individuals with and without intellectual disability. Catatonic symptoms are treatable with pharmacotherapy and electroconvulsive therapy, but the longitudinal effectiveness of these treatments in autistic individuals has not been described. We conducted a prospective observational cohort study of patients with autism and co-morbid catatonia who received outpatient care in a specialized outpatient clinic from July 1, 2021 to May 31, 2024. Data investigating pharmacologic interventions, and clinical measures including the Bush Francis Catatonia Rating Scale (BFCRS), Kanner Catatonia Severity Scale (KCS), Kanner Catatonia Examination (KCE), and Clinical Global Impression—Improvement (CGI-I) were collected. Forty-five autistic patients with co-morbid catatonia were treated during the study period. The mean age was 15.6 (SD = 7.9) years [Mdn = 16.0, range 6.0–31.0]. Forty-one patients (91.1%) met criteria for autism with co-occurring intellectual disability. All patients received pharmacotherapy. Forty-four (97.8%) were treated with benzodiazepines with a mean maximal daily dose of 17.4 mg (SD = 15.8) lorazepam equivalents. Thirty-five patients (77.8%) required more than one medication class for treatment. Sixteen (35.6%) patients received electroconvulsive therapy. Fourteen patients (31.1%) attempted to taper off benzodiazepines after achieving clinical improvement during the study period; of these, 5 patients (11.1%) were successfully tapered off, and the remaining 9 (17.8%) discontinued the taper due to a return of catatonic symptoms. Statistically significant improvement was observed across all clinical domains except the KCS. However, the majority remained at least partially symptomatic over the study period. Three patients (6.7%) died over the study period. Despite clinical improvements while receiving the gold standard for psychopharmacologic management of catatonia, chronic symptoms remained for the majority of catatonia patients over the study period, and few were able to taper and discontinue benzodiazepine treatment. Notably, the open label design of this study is a limiting factor when interpreting the results.","author":[{"dropping-particle":"","family":"Smith","given":"Joshua Ryan","non-dropping-particle":"","parse-names":false,"suffix":""},{"dropping-particle":"","family":"Lim","given":"Seri","non-dropping-particle":"","parse-names":false,"suffix":""},{"dropping-particle":"","family":"Bindra","given":"Snehal","non-dropping-particle":"","parse-names":false,"suffix":""},{"dropping-particle":"","family":"Marler","given":"Sarah","non-dropping-particle":"","parse-names":false,"suffix":""},{"dropping-particle":"","family":"Rajah","given":"Bavani","non-dropping-particle":"","parse-names":false,"suffix":""},{"dropping-particle":"","family":"Williams","given":"Zachary J.","non-dropping-particle":"","parse-names":false,"suffix":""},{"dropping-particle":"","family":"Baldwin","given":"Isaac","non-dropping-particle":"","parse-names":false,"suffix":""},{"dropping-particle":"","family":"Hossain","given":"Nausheen","non-dropping-particle":"","parse-names":false,"suffix":""},{"dropping-particle":"","family":"Wilson","given":"Jo Ellen","non-dropping-particle":"","parse-names":false,"suffix":""},{"dropping-particle":"","family":"Fuchs","given":"D. Catherine","non-dropping-particle":"","parse-names":false,"suffix":""},{"dropping-particle":"","family":"Luccarelli","given":"James","non-dropping-particle":"","parse-names":false,"suffix":""}],"container-title":"Autism Research","id":"ITEM-5","issued":{"date-parts":[["2025","2","1"]]},"publisher":"John Wiley and Sons Inc","title":"Longitudinal Symptom Burden and Pharmacologic Management of Catatonia in Autism With Intellectual Disability: An Observational Study","type":"article-journal"},"uris":["http://www.mendeley.com/documents/?uuid=dbce7f6a-f302-3c42-b638-1091a7cbf1bf"]},{"id":"ITEM-6","itemData":{"DOI":"10.1101/2024.06.06.24308554","PMID":"38883751","author":[{"dropping-particle":"","family":"Luccarelli","given":"James","non-dropping-particle":"","parse-names":false,"suffix":""},{"dropping-particle":"","family":"Clauss","given":"Jacqueline A.","non-dropping-particle":"","parse-names":false,"suffix":""},{"dropping-particle":"","family":"York","given":"Tasia","non-dropping-particle":"","parse-names":false,"suffix":""},{"dropping-particle":"","family":"Baldwin","given":"Isaac","non-dropping-particle":"","parse-names":false,"suffix":""},{"dropping-particle":"","family":"Vandekar","given":"Simon","non-dropping-particle":"","parse-names":false,"suffix":""},{"dropping-particle":"","family":"McGonigle","given":"Trey","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R.","non-dropping-particle":"","parse-names":false,"suffix":""}],"container-title":"medRxiv : the preprint server for health sciences","id":"ITEM-6","issued":{"date-parts":[["2024","6","7"]]},"publisher":"medRxiv","title":"Exploring the Trajectory of Catatonia in Neurodiverse and Neurotypical Pediatric Hospitalizations: A Multicenter Longitudinal Analysis","type":"article-journal"},"uris":["http://www.mendeley.com/documents/?uuid=1e08ec5e-ae37-31c6-8e78-39ca6c742655"]},{"id":"ITEM-7","itemData":{"DOI":"10.1016/J.SCHRES.2009.04.021","ISSN":"1573-2509","PMID":"19443182","abstract":"This paper examined outcomes among youth with catatonic syndrome and determined whether the characteristics suggesting the relevance of chronic catatonic schizophrenia (CCS) at index episode remained stable at follow-up. From 1993 to 2004, 35 individuals aged 12 to 18 years were prospectively admitted for management of catatonic syndrome and followed up after discharge. Mean duration from discharge to follow-up was 3.9 years (range 1-10). Four patients were lost to follow-up. Among the remaining 31 subjects (mean age = 19.5 years, range 15-26), life-time diagnosis using the Diagnostic Interview for Genetic Studies was unchanged in 28 patients, and included schizophrenia (all subtypes; N = 20), major depressive episode (N = 5), bipolar disorder type I (N = 4) and brief psychotic episode (N = 2). Mortality (all-cause Standardized Mortality Ratio = 6266; 95% CI = 1181-18,547) and morbidity were severe, with 3 deaths (including 2 suicides), 6 patients presenting with a causal organic condition and 14 subjects needing continuous psychiatric care. All males in the study (N = 8) who had chronic catatonic schizophrenia at the index episode still had chronic catatonic signs at follow-up. Catatonia is one of the most severe psychiatric syndromes in adolescents. It is associated with a 60-fold increased risk of premature death, including suicide, when compared to the general population of same sex and age. This increased risk of premature death remains higher than the one measured in former adolescent psychiatric patients (all-cause SMR = 221; 95% CI = 156-303; Engqvist and Rydelius, 2006), or in schizophrenia irrespective to age and subtype (all-cause SMR = 157; 95% CI = 153-160; Harris and Barraclough, 1998). © 2009 Elsevier B.V. All rights reserved.","author":[{"dropping-particle":"","family":"Cornic","given":"Françoise","non-dropping-particle":"","parse-names":false,"suffix":""},{"dropping-particle":"","family":"Consoli","given":"Angèle","non-dropping-particle":"","parse-names":false,"suffix":""},{"dropping-particle":"","family":"Tanguy","given":"Marie Laure","non-dropping-particle":"","parse-names":false,"suffix":""},{"dropping-particle":"","family":"Bonnot","given":"Olivier","non-dropping-particle":"","parse-names":false,"suffix":""},{"dropping-particle":"","family":"Périsse","given":"Didier","non-dropping-particle":"","parse-names":false,"suffix":""},{"dropping-particle":"","family":"Tordjman","given":"Sylvie","non-dropping-particle":"","parse-names":false,"suffix":""},{"dropping-particle":"","family":"Laurent","given":"Claudine","non-dropping-particle":"","parse-names":false,"suffix":""},{"dropping-particle":"","family":"Cohen","given":"David","non-dropping-particle":"","parse-names":false,"suffix":""}],"container-title":"Schizophrenia research","id":"ITEM-7","issue":"2-3","issued":{"date-parts":[["2009","9"]]},"page":"233-240","publisher":"Schizophr Res","title":"Association of adolescent catatonia with increased mortality and morbidity: evidence from a prospective follow-up study","type":"article-journal","volume":"113"},"uris":["http://www.mendeley.com/documents/?uuid=b8ee0bf3-ec53-369c-b359-2aa883cb8d9e"]},{"id":"ITEM-8","itemData":{"DOI":"10.1016/J.JACLP.2024.12.001","ISSN":"2667-2960","PMID":"39662871","abstract":"Background: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Psychiatry","id":"ITEM-8","issued":{"date-parts":[["2024"]]},"publisher":"J Acad Consult Liaison Psychiatry","title":"Palliative Electroconvulsive Therapy: A Descriptive Cohort Study","type":"article-journal"},"uris":["http://www.mendeley.com/documents/?uuid=c1d075d1-af8f-3f1a-91a6-64564dd40c94"]},{"id":"ITEM-9","itemData":{"DOI":"10.1186/S40359-022-00885-7","ISSN":"2050-7283","PMID":"35841077","abstract":"Background: Catatonia is a severe psychomotor disorder that presents as abnormality of movement which may also be excessive or severely slowed. It often inhibits communication when protracted or severe. In this study we investigated the emotive and cognitive experience of patients with catatonia during a prevalence study in an acute mental health unit from August 2020 to September 2021. The value of this study is the addition of the inner and often unexplored cognitive and emotive experience of patients in the description of the catatonic state, which lends an additional dimension to complement the medical and psychopathological descriptors that have been the focus of most studies on catatonia. Methods: Ethical approval was received from the Nelson Mandela University Human Research Committee and convenience sampling was undertaken to recruit participants admitted into an acute mental health unit with catatonia, four to eight weeks after discharge, following admission. The BFCSI and BFCRS and a pre-designed data collection sheet were used to assess n = 241 participants, and collect data on descriptions of thoughts, feelings, and behaviours they experienced during the catatonic episode. Results: Forty-four (18.3%) of the total 241 participants who were assessed had catatonia. Thirty (68.2%) of the 44 participants with catatonia provided data on their experience of catatonia. Twenty-three were males (76.7% of 30) and seven were females (23.3% of 30). All were within the age range of 17 to 65 years. The dominant themes of thoughts, feelings, and behaviors described centered around yearning for or missing loved ones, heightened fear, intense anxiety, negative affect, aggression, obedience, and withdrawal. Conclusions: The common themes that emerged from this study were overwhelming anxiety, fear, and depression. These were found to occur frequently in patients with catatonia when describing their psychological experience. These experiences may possibly relate to the flight, fight, freeze and fawn response, as described in prior studies on the subjective experience of catatonia. Trial registration: Not applicable.","author":[{"dropping-particle":"","family":"Zingela","given":"Zukiswa","non-dropping-particle":"","parse-names":false,"suffix":""},{"dropping-particle":"","family":"Stroud","given":"Louise","non-dropping-particle":"","parse-names":false,"suffix":""},{"dropping-particle":"","family":"Cronje","given":"Johan","non-dropping-particle":"","parse-names":false,"suffix":""},{"dropping-particle":"","family":"Fink","given":"Max","non-dropping-particle":"","parse-names":false,"suffix":""},{"dropping-particle":"","family":"Wyk","given":"Stephan","non-dropping-particle":"van","parse-names":false,"suffix":""}],"container-title":"BMC psychology","id":"ITEM-9","issue":"1","issued":{"date-parts":[["2022","12","1"]]},"publisher":"BMC Psychol","title":"The psychological and subjective experience of catatonia: a qualitative study","type":"article-journal","volume":"10"},"uris":["http://www.mendeley.com/documents/?uuid=83efd862-90bc-38bd-9425-0f5595a450b9"]},{"id":"ITEM-10","itemData":{"DOI":"10.4103/0019-5545.75559","ISSN":"19983794","abstract":"Background: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Psychiatry","id":"ITEM-10","issue":"1","issued":{"date-parts":[["2011"]]},"page":"36-40","publisher":"Medknow Publications","title":"Phenomenology and treatment of Catatonia: A descriptive study from north India","type":"article-journal","volume":"53"},"uris":["http://www.mendeley.com/documents/?uuid=ae264852-40cb-37d6-98c2-e6b1813dd1f1"]},{"id":"ITEM-11","itemData":{"DOI":"10.3389/FPSYT.2022.886662","ISSN":"1664-0640","PMID":"35677876","abstract":"Background: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psychiatry","id":"ITEM-11","issued":{"date-parts":[["2022","5","23"]]},"publisher":"Front Psychiatry","title":"Catatonia Psychopathology and Phenomenology in a Large Dataset","type":"article-journal","volume":"13"},"uris":["http://www.mendeley.com/documents/?uuid=fa44f150-c135-3e18-94c4-0ff6a8761eeb"]},{"id":"ITEM-12","itemData":{"DOI":"10.1016/J.SCHRES.2023.06.002","ISSN":"1573-2509","PMID":"37331880","abstract":"Background: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research","id":"ITEM-12","issued":{"date-parts":[["2024","1","1"]]},"page":"282-288","publisher":"Schizophr Res","title":"Extension, translation and preliminary validation of the Northoff Scale for Subjective Experience in Catatonia (NSSC)","type":"article-journal","volume":"263"},"uris":["http://www.mendeley.com/documents/?uuid=6ef56bcd-b092-31d2-873e-68054e7468ae"]},{"id":"ITEM-13","itemData":{"DOI":"10.1177/02698811231158232","abstract":"The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Psychopharmacology","type":"article-journal","volume":"37"},"uris":["http://www.mendeley.com/documents/?uuid=0ab1ea3e-81ec-4481-8aa6-69ccd758e186"]},{"id":"ITEM-14","itemData":{"author":[{"dropping-particle":"","family":"AArnold OH","given":"","non-dropping-particle":"","parse-names":false,"suffix":""}],"container-title":"Wien Z Nervenheilkunde Deren Grenzgebiete ","id":"ITEM-14","issue":"3","issued":{"date-parts":[["1949"]]},"page":"376","title":"Untersuchungen zur Frage der akuten todlichen Katatonie","type":"article-journal","volume":"2"},"uris":["http://www.mendeley.com/documents/?uuid=9673546d-88c8-3e4b-bab9-5881303952fe"]}],"mendeley":{"formattedCitation":"(10,11,62,68–70,12–14,17,25,26,38,56)","plainTextFormattedCitation":"(10,11,62,68–70,12–14,17,25,26,38,56)","previouslyFormattedCitation":"(10,11,62,68–70,12–14,17,25,26,38,56)"},"properties":{"noteIndex":0},"schema":"https://github.com/citation-style-language/schema/raw/master/csl-citation.json"}</w:instrText>
      </w:r>
      <w:r w:rsidR="000B23B0" w:rsidRPr="00677ACC">
        <w:fldChar w:fldCharType="separate"/>
      </w:r>
      <w:r w:rsidR="00EF1C44" w:rsidRPr="00EF1C44">
        <w:rPr>
          <w:noProof/>
        </w:rPr>
        <w:t>(10,11,62,68–70,12–14,17,25,26,38,56)</w:t>
      </w:r>
      <w:r w:rsidR="000B23B0" w:rsidRPr="00677ACC">
        <w:fldChar w:fldCharType="end"/>
      </w:r>
      <w:r w:rsidR="008104FC">
        <w:t>.</w:t>
      </w:r>
      <w:r w:rsidR="000B23B0" w:rsidRPr="00677ACC">
        <w:t xml:space="preserve"> Taken together, these effects disrupt autonomy, diminish QOL, and increase suffering—not just for patients, but for those who care for them. For all these reasons, we would argue that catatonia itself could be considered a serious illness </w:t>
      </w:r>
      <w:r w:rsidR="000B23B0" w:rsidRPr="00677ACC">
        <w:fldChar w:fldCharType="begin" w:fldLock="1"/>
      </w:r>
      <w:r w:rsidR="00EF1C44">
        <w:instrText>ADDIN CSL_CITATION {"citationItems":[{"id":"ITEM-1","itemData":{"DOI":"10.4103/0019-5545.75559","ISSN":"19983794","abstract":"Background: Studies on clinical features of catatonia in the Indian population are few in number. Aim: To study the phenomenology, clinical profile and treatment response of subjects admitted to the psychiatry inpatient with catatonia. Materials and Methods: Detailed treatment records of all the inpatients were scanned for the period January 2004 to December 2008. Patients with catatonia (diagnosed as two symptoms as per the Bush Francis Catatonia Rating scale) were included. Results: During the study period, 1056 subjects were admitted in the inpatient unit, of which 51 (4.8% of the total admissions) had catatonic features and had been rated on the Bush Francis Catatonia Rating scale. The mean age of the sample was 30.02 years (SD=14.6; range 13-69), with an almost equal gender ratio. Most of the patients presenting with catatonia were diagnosed as having psychotic disorders (40; 74.8%), of which the most common diagnosis was schizophrenia (27; 52.9%) of the catatonic subtype (20; 39.2%). Three subjects with primary diagnosis of a psychotic disorder had comorbid depression. Other diagnoses included mood disorders (7; 13.72%) and organic brain syndromes (04; 7.9%). According to the Bush Francis Rating scale, the common signs and symptoms exhibited by the subjects were mutism (94.1%), followed by immobility/stupor (78.5%), staring (78.4%), negativism (74.5%), rigidity (63%) and posturing/catalepsy (61.8%). All the patients were initially treated with lorazepam. Electroconvulsive therapy was required in most cases (42; 82.35%). Conclusion: The common symptoms of catatonia are mutism, immobility/stupor, staring, posturing, negativism and rigidity. The most common underlying psychiatric diagnosis was schizophrenia.","author":[{"dropping-particle":"","family":"Dutt","given":"Alakananda","non-dropping-particle":"","parse-names":false,"suffix":""},{"dropping-particle":"","family":"Grover","given":"Sandeep","non-dropping-particle":"","parse-names":false,"suffix":""},{"dropping-particle":"","family":"Chakrabarti","given":"Subho","non-dropping-particle":"","parse-names":false,"suffix":""},{"dropping-particle":"","family":"Avasthi","given":"Ajit","non-dropping-particle":"","parse-names":false,"suffix":""},{"dropping-particle":"","family":"Kumar","given":"Suresh","non-dropping-particle":"","parse-names":false,"suffix":""}],"container-title":"Indian Journal of Psychiatry","id":"ITEM-1","issue":"1","issued":{"date-parts":[["2011"]]},"page":"36-40","publisher":"Medknow Publications","title":"Phenomenology and treatment of Catatonia: A descriptive study from north India","type":"article-journal","volume":"53"},"uris":["http://www.mendeley.com/documents/?uuid=ae264852-40cb-37d6-98c2-e6b1813dd1f1"]},{"id":"ITEM-2","itemData":{"DOI":"10.3389/FPSYT.2022.886662","ISSN":"1664-0640","PMID":"35677876","abstract":"Background: The external clinical manifestations (psychopathology) and internal subjective experience (phenomenology) of catatonia are of clinical importance but have received little attention. This study aimed to use a large dataset to describe the clinical signs of catatonia; to assess whether these signs are associated with underlying diagnosis and prognosis; and to describe the phenomenology of catatonia, particularly with reference to fear. Methods: A retrospective descriptive cross-sectional study was conducted using the electronic healthcare records of a large secondary mental health trust in London, United Kingdom. Patients with catatonia were identified in a previous study by screening records using natural language processing followed by manual validation. The presence of items of the Bush-Francis Catatonia Screening Instrument was coded by the investigators. The presence of psychomotor alternation was assessed by examining the frequency of stupor and excitement in the same episode. A cluster analysis and principal component analysis were conducted on catatonic signs. Principal components were tested for their associations with demographic and clinical variables. Where text was available on the phenomenology of catatonia, this was coded by two authors in an iterative process to develop a classification of the subjective experience of catatonia. Results: Searching healthcare records provided 1,456 validated diagnoses of catatonia across a wide range of demographic groups, diagnoses and treatment settings. The median number of catatonic signs was 3 (IQR 2–5) and the most commonly reported signs were mutism, immobility/stupor and withdrawal. Stupor was present in 925 patients, of whom 105 (11.4%) also exhibited excitement. Out of 196 patients with excitement, 105 (53.6%) also had immobility/stupor. Cluster analysis produced two clusters consisting of negative and positive clinical features. From principal component analysis, three components were derived, which may be termed parakinetic, hypokinetic and withdrawal. The parakinetic component was associated with women, neurodevelopmental disorders and longer admission duration; the hypokinetic component was associated with catatonia relapse; the withdrawal component was associated with men and mood disorders. 68 patients had phenomenological data, including 49 contemporaneous and 24 retrospective accounts. 35% of these expressed fear, but a majority (72%) gave a meaningful narrative explanation for…","author":[{"dropping-particle":"","family":"Dawkins","given":"Eleanor","non-dropping-particle":"","parse-names":false,"suffix":""},{"dropping-particle":"","family":"Cruden-Smith","given":"Leola","non-dropping-particle":"","parse-names":false,"suffix":""},{"dropping-particle":"","family":"Carter","given":"Be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S.","non-dropping-particle":"","parse-names":false,"suffix":""},{"dropping-particle":"","family":"Lewis","given":"Glyn","non-dropping-particle":"","parse-names":false,"suffix":""},{"dropping-particle":"","family":"David","given":"Anthony S.","non-dropping-particle":"","parse-names":false,"suffix":""},{"dropping-particle":"","family":"Rogers","given":"Jonathan P.","non-dropping-particle":"","parse-names":false,"suffix":""}],"container-title":"Frontiers in psychiatry","id":"ITEM-2","issued":{"date-parts":[["2022","5","23"]]},"publisher":"Front Psychiatry","title":"Catatonia Psychopathology and Phenomenology in a Large Dataset","type":"article-journal","volume":"13"},"uris":["http://www.mendeley.com/documents/?uuid=fa44f150-c135-3e18-94c4-0ff6a8761eeb"]},{"id":"ITEM-3","itemData":{"DOI":"10.1016/J.SCHRES.2023.06.002","ISSN":"1573-2509","PMID":"37331880","abstract":"Background: In the last two decades, much neuroscientific research has been done on the pathomechanisms of catatonia. However, catatonic symptoms have mainly been assessed with clinical rating scales based on observer ratings. Although catatonia is often associated with strong affective reactions, the subjective domain of catatonia has simply been neglected in scientific research. Methods: The main objective of this study was to modify, extend and translate the original German version of the Northoff Scale for Subjective Experience in Catatonia (NSSC) and to examine its preliminary validity and reliability. Data were collected from 28 patients diagnosed with catatonia associated with another mental disorder (6A40) according to ICD-11. Descriptive statistics, correlation coefficients, internal consistency and principal component analysis were employed to address preliminary validity and reliability of the NSSC. Results: NSSC showed high internal consistency (Cronbach's alpha = 0.92). NSSC total scores were significantly associated with Northoff Catatonia Rating Scale (r = 0.50, p &lt; .01) and Bush Francis Catatonia Rating Scale (r = 0.41, p &lt; .05) thus supporting its concurrent validity. There was no significant association between NSSC total score and Positive and Negative Symptoms Scale total (r = 0.26, p = .09), Brief Psychiatric Rating Scale (r = 0.29, p = .07) and GAF (r = 0.03, p = .43) scores. Conclusion: The extended version of the NSSC consists of 26 items and was developed to assess the subjective experience of catatonia patients. Preliminary validation of the NSSC revealed good psychometric properties. NSSC is a useful tool for everyday clinical work to assess the subjective experience of catatonia patients.","author":[{"dropping-particle":"","family":"Brandt","given":"Geva A.","non-dropping-particle":"","parse-names":false,"suffix":""},{"dropping-particle":"","family":"Fritze","given":"Stefan","non-dropping-particle":"","parse-names":false,"suffix":""},{"dropping-particle":"","family":"Krayem","given":"Maria","non-dropping-particle":"","parse-names":false,"suffix":""},{"dropping-particle":"","family":"Daub","given":"Jonas","non-dropping-particle":"","parse-names":false,"suffix":""},{"dropping-particle":"","family":"Volkmer","given":"Sebastian","non-dropping-particle":"","parse-names":false,"suffix":""},{"dropping-particle":"","family":"Kukovic","given":"Jacqueline","non-dropping-particle":"","parse-names":false,"suffix":""},{"dropping-particle":"","family":"Meyer-Lindenberg","given":"Andreas","non-dropping-particle":"","parse-names":false,"suffix":""},{"dropping-particle":"","family":"Northoff","given":"Georg","non-dropping-particle":"","parse-names":false,"suffix":""},{"dropping-particle":"","family":"Kubera","given":"Katharina M.","non-dropping-particle":"","parse-names":false,"suffix":""},{"dropping-particle":"","family":"Wolf","given":"Robert Christian","non-dropping-particle":"","parse-names":false,"suffix":""},{"dropping-particle":"","family":"Hirjak","given":"Dusan","non-dropping-particle":"","parse-names":false,"suffix":""}],"container-title":"Schizophrenia research","id":"ITEM-3","issued":{"date-parts":[["2024","1","1"]]},"page":"282-288","publisher":"Schizophr Res","title":"Extension, translation and preliminary validation of the Northoff Scale for Subjective Experience in Catatonia (NSSC)","type":"article-journal","volume":"263"},"uris":["http://www.mendeley.com/documents/?uuid=6ef56bcd-b092-31d2-873e-68054e7468ae"]},{"id":"ITEM-4","itemData":{"DOI":"10.1097/PSY.0000000000000574","ISSN":"15347796","PMID":"29521882","abstract":"Objective Although catatonia can occur secondary to a general medical condition, catatonia itself has been known to lead to various medical compolications. Although case reports on the association of catatonia with subsequent medical complications have been documented, no comprehensive large-scale study has been performed. To investigate specific medical complications after catatonia, we conducted a retrospective cohort study of specific medical complications of schizophrenia patients with catatonia. Methods The 1719 schizophrenia inpatients in our study were categorized into two groups: the catatonia group, i.e., those who exhibited catatonic stupor while they were hospitalized, and the noncatatonia group, i.e., those who never exhibited catatonic stupor. Differences between the two groups in the occurrence of subsequent medical complications were examined using linear and logistic regression analyses, and models were adjusted for potentially confounding factors. Results The catatonia group had an increased risk for mortality (odds ratio = 4.8, 95% confidence interval = 2.0-10.6, p &lt;.01) and certain specific medical complications, i.e., pneumonia, urinary tract infection, sepsis, disseminated intravascular coagulation, rhabdomyolysis, dehydration, deep venous thrombosis, pulmonary embolism, urinary retention, decubitus, arrhythmia, renal failure, neuroleptic malignant syndrome, hypernatremia, and liver dysfunction (all p values &lt;.01, except for deep venous thrombosis, p =.04 in the multiple linear regression analysis). Conclusions Catatonic stupor in schizophrenia substantially raises the risk for specific medical complications and mortality. Hyperactivity of the sympathetic nervous system, dehydration, and immobility, which are frequently involved in catatonia, might contribute to these specific medical complications. In catatonia, meticulous care for both mental and medical conditions should be taken to reduce the risk of adverse medical consequences.","author":[{"dropping-particle":"","family":"Funayama","given":"Michitaka","non-dropping-particle":"","parse-names":false,"suffix":""},{"dropping-particle":"","family":"Takata","given":"Taketo","non-dropping-particle":"","parse-names":false,"suffix":""},{"dropping-particle":"","family":"Koreki","given":"Akihiro","non-dropping-particle":"","parse-names":false,"suffix":""},{"dropping-particle":"","family":"Ogino","given":"Satoyuki","non-dropping-particle":"","parse-names":false,"suffix":""},{"dropping-particle":"","family":"Mimura","given":"Masaru","non-dropping-particle":"","parse-names":false,"suffix":""}],"container-title":"Psychosomatic Medicine","id":"ITEM-4","issue":"4","issued":{"date-parts":[["2018","5","1"]]},"page":"370-376","publisher":"Lippincott Williams and Wilkins","title":"Catatonic Stupor in Schizophrenic Disorders and Subsequent Medical Complications and Mortality","type":"article-journal","volume":"80"},"uris":["http://www.mendeley.com/documents/?uuid=5e6a728d-fa2a-38e8-9bff-bd5930098c85"]},{"id":"ITEM-5","itemData":{"DOI":"10.1001/ARCHPSYC.1963.01720180020003","ISSN":"0003-990X","PMID":"14056835","abstract":"&lt;p&gt;Schizophrenic patients have been found to die at an earlier age than the normal population.&lt;sup&gt;5&lt;/sup&gt;This was true whether the patient had one attack of the mental disorder, recovered and was discharged, and died later out of the mental hospital, or whether he was continuously hospitalized after the onset of the disease. The former died at an age of death closer to the normal than the latter. Patients having multiple admissions and releases dying in or out of the mental hospital fell between the above two groups.&lt;/p&gt;&lt;p&gt;These findings prompted a second study, this one cross sectional, which revealed that four different groups of schizophrenic patients had the same causes of death over a 30-year span as did the normal population.&lt;sup&gt;4&lt;/sup&gt;Deaths in each group consistently occurred at a younger age compared to that of the normal population.&lt;/p&gt;&lt;p&gt;Two other interesting data were found.&lt;/p&gt;","author":[{"dropping-particle":"","family":"Niswander","given":"G. Donald","non-dropping-particle":"","parse-names":false,"suffix":""},{"dropping-particle":"","family":"Haslerud","given":"George M.","non-dropping-particle":"","parse-names":false,"suffix":""},{"dropping-particle":"","family":"Mitchell","given":"Gary D.","non-dropping-particle":"","parse-names":false,"suffix":""}],"container-title":"Archives of General Psychiatry","id":"ITEM-5","issue":"6","issued":{"date-parts":[["1963","12","1"]]},"page":"548-551","publisher":"American Medical Association","title":"Effect of Catatonia on Schizophrenic Mortality","type":"article-journal","volume":"9"},"uris":["http://www.mendeley.com/documents/?uuid=27117406-82b8-374a-ba50-63dc0890710c"]},{"id":"ITEM-6","itemData":{"DOI":"10.1017/S0033291721004402","ISSN":"0033-2917","PMID":"35135642","abstract":"Background\n    Catatonia, a severe neuropsychiatric syndrome, has few studies of sufficient scale to clarify its epidemiology or pathophysiology. We aimed to characterise demographic associations, peripheral inflammatory markers and outcome of catatonia. Methods\n    Electronic healthcare records were searched for validated clinical diagnoses of catatonia. In a case–control study, demographics and inflammatory markers were compared in psychiatric inpatients with and without catatonia. In a cohort study, the two groups were compared in terms of their duration of admission and mortality. Results\n    We identified 1456 patients with catatonia (of whom 25.1% had two or more episodes) and 24 956 psychiatric inpatients without catatonia. Incidence was 10.6 episodes of catatonia per 100 000 person-years. Patients with and without catatonia were similar in sex, younger and more likely to be of Black ethnicity. Serum iron was reduced in patients with catatonia [11.6 v. 14.2 μmol/L, odds ratio (OR) 0.65 (95% confidence interval (CI) 0.45–0.95), p = 0.03] and creatine kinase was raised [2545 v. 459 IU/L, OR 1.53 (95% CI 1.29–1.81), p &amp;lt; 0.001], but there was no difference in C-reactive protein or white cell count. N-Methyl-d-aspartate receptor antibodies were significantly associated with catatonia, but there were small numbers of positive results. Duration of hospitalisation was greater in the catatonia group (median: 43 v. 25 days), but there was no difference in mortality after adjustment. Conclusions\n    In the largest clinical study of catatonia, we found catatonia occurred in approximately 1 per 10 000 person-years. Evidence for a proinflammatory state was mixed. Catatonia was associated with prolonged inpatient admission but not with increased mortality.","author":[{"dropping-particle":"","family":"Rogers","given":"Jonathan P.","non-dropping-particle":"","parse-names":false,"suffix":""},{"dropping-particle":"","family":"Pollak","given":"Thomas A.","non-dropping-particle":"","parse-names":false,"suffix":""},{"dropping-particle":"","family":"Begum","given":"Nazifa","non-dropping-particle":"","parse-names":false,"suffix":""},{"dropping-particle":"","family":"Griffin","given":"Anna","non-dropping-particle":"","parse-names":false,"suffix":""},{"dropping-particle":"","family":"Carter","given":"Ben","non-dropping-particle":"","parse-names":false,"suffix":""},{"dropping-particle":"","family":"Pritchard","given":"Megan","non-dropping-particle":"","parse-names":false,"suffix":""},{"dropping-particle":"","family":"Broadbent","given":"Matthew","non-dropping-particle":"","parse-names":false,"suffix":""},{"dropping-particle":"","family":"Kolliakou","given":"Anna","non-dropping-particle":"","parse-names":false,"suffix":""},{"dropping-particle":"","family":"Ke","given":"Jessie","non-dropping-particle":"","parse-names":false,"suffix":""},{"dropping-particle":"","family":"Stewart","given":"Robert","non-dropping-particle":"","parse-names":false,"suffix":""},{"dropping-particle":"","family":"Patel","given":"Rashmi","non-dropping-particle":"","parse-names":false,"suffix":""},{"dropping-particle":"","family":"Bomford","given":"Adrian","non-dropping-particle":"","parse-names":false,"suffix":""},{"dropping-particle":"","family":"Amad","given":"Ali","non-dropping-particle":"","parse-names":false,"suffix":""},{"dropping-particle":"","family":"Zandi","given":"Michael S.","non-dropping-particle":"","parse-names":false,"suffix":""},{"dropping-particle":"","family":"Lewis","given":"Glyn","non-dropping-particle":"","parse-names":false,"suffix":""},{"dropping-particle":"","family":"Nicholson","given":"Timothy R.","non-dropping-particle":"","parse-names":false,"suffix":""},{"dropping-particle":"","family":"David","given":"Anthony S.","non-dropping-particle":"","parse-names":false,"suffix":""}],"container-title":"Psychological Medicine","id":"ITEM-6","issue":"6","issued":{"date-parts":[["2023","4","2"]]},"page":"2492-2502","publisher":"Cambridge University Press","title":"Catatonia: demographic, clinical and laboratory associations","type":"article-journal","volume":"53"},"uris":["http://www.mendeley.com/documents/?uuid=d6b84526-b7d2-31e5-9e60-1223cf19dba0"]},{"id":"ITEM-7","itemData":{"DOI":"10.1016/J.JACLP.2024.12.001","ISSN":"2667-2960","PMID":"39662871","abstract":"Background: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Psychiatry","id":"ITEM-7","issued":{"date-parts":[["2024"]]},"publisher":"J Acad Consult Liaison Psychiatry","title":"Palliative Electroconvulsive Therapy: A Descriptive Cohort Study","type":"article-journal"},"uris":["http://www.mendeley.com/documents/?uuid=c1d075d1-af8f-3f1a-91a6-64564dd40c94"]},{"id":"ITEM-8","itemData":{"DOI":"10.1089/JPM.2018.0431","ISSN":"15577740","PMID":"30179523","abstract":"Abstract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E.","non-dropping-particle":"","parse-names":false,"suffix":""}],"container-title":"https://home.liebertpub.com/jpm","id":"ITEM-8","issue":"12","issued":{"date-parts":[["2018","12","14"]]},"page":"1684-1689","publisher":"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(12–14,16,18,19,26,72)","plainTextFormattedCitation":"(12–14,16,18,19,26,72)","previouslyFormattedCitation":"(12–14,16,18,19,26,72)"},"properties":{"noteIndex":0},"schema":"https://github.com/citation-style-language/schema/raw/master/csl-citation.json"}</w:instrText>
      </w:r>
      <w:r w:rsidR="000B23B0" w:rsidRPr="00677ACC">
        <w:fldChar w:fldCharType="separate"/>
      </w:r>
      <w:r w:rsidR="00EF1C44" w:rsidRPr="00EF1C44">
        <w:rPr>
          <w:noProof/>
        </w:rPr>
        <w:t>(12–14,16,18,19,26,72)</w:t>
      </w:r>
      <w:r w:rsidR="000B23B0" w:rsidRPr="00677ACC">
        <w:fldChar w:fldCharType="end"/>
      </w:r>
      <w:r w:rsidR="008104FC">
        <w:t xml:space="preserve">. </w:t>
      </w:r>
    </w:p>
    <w:p w14:paraId="10D696E4" w14:textId="35A02F28" w:rsidR="000B23B0" w:rsidRPr="00677ACC" w:rsidRDefault="000B23B0" w:rsidP="00677ACC">
      <w:pPr>
        <w:pStyle w:val="NormalWeb"/>
        <w:spacing w:line="480" w:lineRule="auto"/>
      </w:pPr>
      <w:r w:rsidRPr="00677ACC">
        <w:t xml:space="preserve">Despite its relevance, catatonia </w:t>
      </w:r>
      <w:r w:rsidR="00DA476D" w:rsidRPr="00677ACC">
        <w:t xml:space="preserve">occurring in the setting of serious illness </w:t>
      </w:r>
      <w:r w:rsidRPr="00677ACC">
        <w:t>is frequently mistaken for progressive dementia or the dying process itself</w:t>
      </w:r>
      <w:r w:rsidR="008104FC">
        <w:t xml:space="preserve"> </w:t>
      </w:r>
      <w:r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Pr="00677ACC">
        <w:fldChar w:fldCharType="separate"/>
      </w:r>
      <w:r w:rsidR="008104FC" w:rsidRPr="008104FC">
        <w:rPr>
          <w:noProof/>
        </w:rPr>
        <w:t>(26)</w:t>
      </w:r>
      <w:r w:rsidRPr="00677ACC">
        <w:fldChar w:fldCharType="end"/>
      </w:r>
      <w:r w:rsidR="008104FC">
        <w:t>.</w:t>
      </w:r>
      <w:r w:rsidRPr="00677ACC">
        <w:t xml:space="preserve"> These misinterpretations can obscure prognosis, redirect goals</w:t>
      </w:r>
      <w:r w:rsidR="00D40B3E" w:rsidRPr="00677ACC">
        <w:t xml:space="preserve"> </w:t>
      </w:r>
      <w:r w:rsidRPr="00677ACC">
        <w:t>of</w:t>
      </w:r>
      <w:r w:rsidR="00D40B3E" w:rsidRPr="00677ACC">
        <w:t xml:space="preserve"> </w:t>
      </w:r>
      <w:r w:rsidRPr="00677ACC">
        <w:t xml:space="preserve">care </w:t>
      </w:r>
      <w:r w:rsidR="00D40B3E" w:rsidRPr="00677ACC">
        <w:t xml:space="preserve">(GOC) </w:t>
      </w:r>
      <w:r w:rsidRPr="00677ACC">
        <w:t>conversations, and lead to premature decisions about hospice referral or withdrawal of treatment</w:t>
      </w:r>
      <w:r w:rsidR="008104FC">
        <w:t xml:space="preserve"> </w:t>
      </w:r>
      <w:r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Pr="00677ACC">
        <w:fldChar w:fldCharType="separate"/>
      </w:r>
      <w:r w:rsidR="008104FC" w:rsidRPr="008104FC">
        <w:rPr>
          <w:noProof/>
        </w:rPr>
        <w:t>(26)</w:t>
      </w:r>
      <w:r w:rsidRPr="00677ACC">
        <w:fldChar w:fldCharType="end"/>
      </w:r>
      <w:r w:rsidR="008104FC">
        <w:t>.</w:t>
      </w:r>
      <w:r w:rsidR="001332D6" w:rsidRPr="00677ACC">
        <w:t xml:space="preserve"> </w:t>
      </w:r>
      <w:r w:rsidR="00213F80" w:rsidRPr="00677ACC">
        <w:t>With some studies citing nearly one in four ICU patients meet</w:t>
      </w:r>
      <w:r w:rsidR="007E05A6" w:rsidRPr="00677ACC">
        <w:t>ing</w:t>
      </w:r>
      <w:r w:rsidR="00213F80" w:rsidRPr="00677ACC">
        <w:t xml:space="preserve"> criteria for catatonia, </w:t>
      </w:r>
      <w:r w:rsidR="001332D6" w:rsidRPr="00677ACC">
        <w:t xml:space="preserve">PC providers are likely </w:t>
      </w:r>
      <w:r w:rsidR="00213F80" w:rsidRPr="00677ACC">
        <w:t xml:space="preserve">encountering </w:t>
      </w:r>
      <w:r w:rsidR="001332D6" w:rsidRPr="00677ACC">
        <w:t xml:space="preserve">catatonia in their daily practice, </w:t>
      </w:r>
      <w:r w:rsidR="00213F80" w:rsidRPr="00677ACC">
        <w:t>al</w:t>
      </w:r>
      <w:r w:rsidR="001332D6" w:rsidRPr="00677ACC">
        <w:t>though it often goes unrecognized</w:t>
      </w:r>
      <w:r w:rsidR="008104FC">
        <w:t xml:space="preserve"> </w:t>
      </w:r>
      <w:r w:rsidR="00213F80"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id":"ITEM-2","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research","id":"ITEM-2","issued":{"date-parts":[["2024","1","1"]]},"page":"223-228","publisher":"Schizophr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investigation","type":"article-journal","volume":"263"},"uris":["http://www.mendeley.com/documents/?uuid=48fbaf5d-c9e0-3e72-ac1a-5e8bea6d87b5"]},{"id":"ITEM-3","itemData":{"DOI":"10.1097/CCM.0000000000002642","ISSN":"15300293","PMID":"28841632","abstract":"Objectives: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Medicine","id":"ITEM-3","issue":"11","issued":{"date-parts":[["2017","11","1"]]},"page":"1837-1844","publisher":"Lippincott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mendeley":{"formattedCitation":"(17,20,21)","plainTextFormattedCitation":"(17,20,21)","previouslyFormattedCitation":"(17,20,21)"},"properties":{"noteIndex":0},"schema":"https://github.com/citation-style-language/schema/raw/master/csl-citation.json"}</w:instrText>
      </w:r>
      <w:r w:rsidR="00213F80" w:rsidRPr="00677ACC">
        <w:fldChar w:fldCharType="separate"/>
      </w:r>
      <w:r w:rsidR="008104FC" w:rsidRPr="008104FC">
        <w:rPr>
          <w:noProof/>
        </w:rPr>
        <w:t>(17,20,21)</w:t>
      </w:r>
      <w:r w:rsidR="00213F80" w:rsidRPr="00677ACC">
        <w:fldChar w:fldCharType="end"/>
      </w:r>
      <w:r w:rsidR="008104FC">
        <w:t>.</w:t>
      </w:r>
    </w:p>
    <w:p w14:paraId="13676D8A" w14:textId="1E4A2FE1" w:rsidR="000B23B0" w:rsidRPr="00677ACC" w:rsidRDefault="000B23B0" w:rsidP="00677ACC">
      <w:pPr>
        <w:pStyle w:val="NormalWeb"/>
        <w:spacing w:line="480" w:lineRule="auto"/>
      </w:pPr>
      <w:r w:rsidRPr="00677ACC">
        <w:t xml:space="preserve">To our knowledge, no studies have specifically examined whether treating catatonia improves </w:t>
      </w:r>
      <w:r w:rsidR="00F75683" w:rsidRPr="00677ACC">
        <w:t>QOL</w:t>
      </w:r>
      <w:r w:rsidRPr="00677ACC">
        <w:t xml:space="preserve"> or reduces caregiver distress in patients with serious illness. Still, clinical experience suggests that restoring function and communication, especially near the end of life</w:t>
      </w:r>
      <w:r w:rsidR="00F75683" w:rsidRPr="00677ACC">
        <w:t xml:space="preserve"> (EOL)</w:t>
      </w:r>
      <w:r w:rsidRPr="00677ACC">
        <w:t>, can shift the trajectory of care in meaningful ways.</w:t>
      </w:r>
    </w:p>
    <w:p w14:paraId="04F5EB59" w14:textId="722EAC5B" w:rsidR="0088061C" w:rsidRPr="00677ACC" w:rsidRDefault="000B23B0" w:rsidP="00677ACC">
      <w:pPr>
        <w:pStyle w:val="NormalWeb"/>
        <w:spacing w:line="480" w:lineRule="auto"/>
      </w:pPr>
      <w:r w:rsidRPr="00677ACC">
        <w:t xml:space="preserve">For all of these reasons, recognizing and managing catatonia directly aligns with the goals of PC, which seeks to relieve suffering, preserve dignity, promote autonomy, and improve QOL for patients and caregivers through interdisciplinary, holistic support </w:t>
      </w:r>
      <w:r w:rsidRPr="00677ACC">
        <w:fldChar w:fldCharType="begin" w:fldLock="1"/>
      </w:r>
      <w:r w:rsidR="00EF1C44">
        <w:instrText>ADDIN CSL_CITATION {"citationItems":[{"id":"ITEM-1","itemData":{"DOI":"10.1089/JPM.2018.0431","ISSN":"15577740","PMID":"30179523","abstract":"Abstract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E.","non-dropping-particle":"","parse-names":false,"suffix":""}],"container-title":"https://home.liebertpub.com/jpm","id":"ITEM-1","issue":"12","issued":{"date-parts":[["2018","12","14"]]},"page":"1684-1689","publisher":"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(72)","plainTextFormattedCitation":"(72)","previouslyFormattedCitation":"(72)"},"properties":{"noteIndex":0},"schema":"https://github.com/citation-style-language/schema/raw/master/csl-citation.json"}</w:instrText>
      </w:r>
      <w:r w:rsidRPr="00677ACC">
        <w:fldChar w:fldCharType="separate"/>
      </w:r>
      <w:r w:rsidR="00EF1C44" w:rsidRPr="00EF1C44">
        <w:rPr>
          <w:noProof/>
        </w:rPr>
        <w:t>(72)</w:t>
      </w:r>
      <w:r w:rsidRPr="00677ACC">
        <w:fldChar w:fldCharType="end"/>
      </w:r>
      <w:r w:rsidR="008104FC">
        <w:t>.</w:t>
      </w:r>
    </w:p>
    <w:p w14:paraId="69525C38" w14:textId="77777777" w:rsidR="0088061C" w:rsidRPr="00677ACC" w:rsidRDefault="0088061C" w:rsidP="00677ACC">
      <w:pPr>
        <w:spacing w:line="480" w:lineRule="auto"/>
        <w:rPr>
          <w:b/>
          <w:bCs/>
        </w:rPr>
      </w:pPr>
      <w:r w:rsidRPr="00677ACC">
        <w:rPr>
          <w:b/>
          <w:bCs/>
        </w:rPr>
        <w:lastRenderedPageBreak/>
        <w:t>Missed Opportunities and Diagnostic Challenges:</w:t>
      </w:r>
    </w:p>
    <w:p w14:paraId="6D399DA6" w14:textId="58D6D0C8" w:rsidR="008104FC" w:rsidRPr="00677ACC" w:rsidRDefault="0088061C" w:rsidP="00677ACC">
      <w:pPr>
        <w:pStyle w:val="NormalWeb"/>
        <w:spacing w:line="480" w:lineRule="auto"/>
      </w:pPr>
      <w:r w:rsidRPr="00677ACC">
        <w:t xml:space="preserve">Underdiagnosis of catatonia is not unique to PC. Driven by a combination of unfamiliarity, diagnostic complexity, and subtle presentation, catatonia underdiagnosis is the norm </w:t>
      </w:r>
      <w:r w:rsidRPr="00677ACC">
        <w:fldChar w:fldCharType="begin" w:fldLock="1"/>
      </w:r>
      <w:r w:rsidR="00EF1C44">
        <w:instrText>ADDIN CSL_CITATION {"citationItems":[{"id":"ITEM-1","itemData":{"DOI":"10.1176/APPI.NEUROPSYCH.11060120","ISSN":"15457222","PMID":"22772668","abstract":"Identification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Neurosciences","id":"ITEM-1","issue":"2","issued":{"date-parts":[["2012"]]},"page":"198-207","publisher":"American Psychiatric Association","title":"Catatonic disorder due to a general medical or psychiatric condition","type":"article-journal","volume":"24"},"uris":["http://www.mendeley.com/documents/?uuid=39bea04f-f549-3049-9e3d-5c699a5bd393"]},{"id":"ITEM-2","itemData":{"DOI":"10.1111/j.1600-0447.1996.tb09814.x","abstract":"To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Scand","id":"ITEM-2","issue":"2","issued":{"date-parts":[["1996"]]},"page":"129-136","publisher-place":"Department of Psychiatry and Behavioral Sciences, SUNY Stony Brook, USA.","title":"Catatonia. I. Rating scale and standardized examination","type":"article-journal","volume":"93"},"uris":["http://www.mendeley.com/documents/?uuid=a5b43112-c268-376a-a8b9-ded4efe5cf8a"]},{"id":"ITEM-3","itemData":{"URL":"https://www.urmc.rochester.edu/psychiatry/divisions/collaborative-care-and-wellness/bush-francis-catatonia-rating-scale.aspx","author":[{"dropping-particle":"","family":"Rochester","given":"University of","non-dropping-particle":"","parse-names":false,"suffix":""}],"id":"ITEM-3","issued":{"date-parts":[["2024"]]},"title":"Bush-Francis Catatonia Rating Scale Assessment Resources","type":"webpage"},"uris":["http://www.mendeley.com/documents/?uuid=baa866de-3618-42b7-950d-7a15b277d79e"]},{"id":"ITEM-4","itemData":{"DOI":"10.1177/02698811231158232","abstract":"The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Psychopharmacol","id":"ITEM-4","issue":"4","issued":{"date-parts":[["2023"]]},"page":"327-369","publisher-place":"Institute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id":"ITEM-6","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Neurosciences","id":"ITEM-6","issue":"2","issued":{"date-parts":[["2018","3","1"]]},"page":"145-151","publisher":"American Psychiatric Association","title":"Catatonia under-diagnosis in the general hospital","type":"article-journal","volume":"30"},"uris":["http://www.mendeley.com/documents/?uuid=6cd5a459-b612-397c-88ed-84ca192884ba"]},{"id":"ITEM-7","itemData":{"DOI":"10.1159/000083964","ISSN":"02544962","PMID":"15714008","abstract":"Background: Over the last century, especially during the latter half, the prevalence of the diagnosis of catatonic schizophrenia decreased considerably. Several explanations for this phenomenon have been put forward. Sampling and Methods: The present study investigated the frequency of the diagnosis of catatonic schizophrenia in a large sample of admitted psychiatric patients (n = 19,309). In addition, the presence of catatonic symptoms was studied in a sample of patients with schizophrenia (n = 701) and in a group of consecutively admitted psychotic patients (n = 139). In these two groups the effect of the diagnostic procedures on the recognition of catatonia was examined. Results:The diagnosis of catatonic schizophrenia dropped from 7.8% in 1980-1989 to 1.3% in 1990-2001 (p &lt; 0.001). In addition, a possible underdiagnosis of catatonic schizophrenia was found in an independent sample of patients with schizophrenia. Application of a systematic catatonia rating scale in patients admitted with acute psychosis identified a bimodally distributed catatonic dimension. At least 18% of these patients fulfilled the criteria for catatonia. Interestingly, the catatonic subgroup used atypical antipsychotic compounds more frequently (p &lt; 0.05). Conclusions: The results suggest that changes in diagnostic criteria and the diagnostic procedure itself are responsible for the under-recognition of catatonia. Copyright © 2005 S. Karger AG.","author":[{"dropping-particle":"","family":"Heijden","given":"F. M.M.A.","non-dropping-particle":"Van Der","parse-names":false,"suffix":""},{"dropping-particle":"","family":"Tuinier","given":"S.","non-dropping-particle":"","parse-names":false,"suffix":""},{"dropping-particle":"","family":"Arts","given":"N. J.M.","non-dropping-particle":"","parse-names":false,"suffix":""},{"dropping-particle":"","family":"Hoogendoorn","given":"M. L.C.","non-dropping-particle":"","parse-names":false,"suffix":""},{"dropping-particle":"","family":"Kahn","given":"R. S.","non-dropping-particle":"","parse-names":false,"suffix":""},{"dropping-particle":"","family":"Verhoeven","given":"W. M.A.","non-dropping-particle":"","parse-names":false,"suffix":""}],"container-title":"Psychopathology","id":"ITEM-7","issue":"1","issued":{"date-parts":[["2005","1"]]},"page":"3-8","title":"Catatonia: Disappeared or under-diagnosed?","type":"article-journal","volume":"38"},"uris":["http://www.mendeley.com/documents/?uuid=efaf4c6c-3334-3c1c-9ff8-e7b6a1fb7314"]},{"id":"ITEM-8","itemData":{"DOI":"10.1097/CCM.0000000000000053","ISSN":"1530-0293","PMID":"24275514","abstract":"OBJECTIVE:: Catatonia is a neuropsychiatric syndrome with motor and behavioral symptoms occurring in patients with or without a history of psychiatric illness. Although it is associated with significant morbidity and mortality, the prevalence of catatonia in the ICU setting is unknown. The diagnosis and management of catatonia in the critically ill patient raises unique challenges. Furthermore, the diagnosis and management are not included in most critical care curricula. The objective of this retrospective study is to increase the awareness of this clinically important condition among critical care providers. DESIGN:: Retrospective case series study. SETTING:: Multiple critical care units at a university-affiliated tertiary care hospital. PATIENTS:: Five critically ill patients with catatonia, aged 17 to 78. INTERVENTIONS:: None. MEASUREMENTS AND MAIN RESULTS:: All notes, laboratory data, imaging results, other diagnostic studies, therapeutic interventions, and responses to treatment were reviewed for five critically ill patients with catatonia. No unifying cause of catatonia or predisposing conditions were identified for these patients. Currently available diagnostic criteria for catatonia were found to be nonspecific in the ICU setting. New diagnostic criteria for catatonia specific to the critically ill patient are proposed. CONCLUSIONS:: Catatonia can occur in a wide variety of critical care settings, with or without precedent psychiatric illness, and it may be exacerbated or induced by common intensive care practices. Psychomotor findings are imperative in examination of critically ill patients with altered mental status in order to diagnose catatonia.. Copyright © 2014 by the Society of Critical Care Medicine and Lippincott.","author":[{"dropping-particle":"","family":"Saddawi-Konefka","given":"Daniel","non-dropping-particle":"","parse-names":false,"suffix":""},{"dropping-particle":"","family":"Berg","given":"Sheri M.","non-dropping-particle":"","parse-names":false,"suffix":""},{"dropping-particle":"","family":"Nejad","given":"Shamim H.","non-dropping-particle":"","parse-names":false,"suffix":""},{"dropping-particle":"","family":"Bittner","given":"Edward A.","non-dropping-particle":"","parse-names":false,"suffix":""}],"container-title":"Critical care medicine","id":"ITEM-8","issue":"3","issued":{"date-parts":[["2014","3"]]},"publisher":"Crit Care Med","title":"Catatonia in the ICU: an important and underdiagnosed cause of altered mental status. a case series and review of the literature*","type":"article-journal","volume":"42"},"uris":["http://www.mendeley.com/documents/?uuid=3ecc0ad3-3c3a-31fe-a941-462ca9981c18"]},{"id":"ITEM-9","itemData":{"DOI":"10.1016/J.SCHRES.2023.07.031","ISSN":"1573-2509","PMID":"37580182","abstract":"Background: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research","id":"ITEM-9","issued":{"date-parts":[["2024","1","1"]]},"page":"223-228","publisher":"Schizophr Res","title":"In-hospital catatonia, delirium, and coma and mortality: Results from the delirium and catatonia prospective cohort investigation","type":"article-journal","volume":"263"},"uris":["http://www.mendeley.com/documents/?uuid=48fbaf5d-c9e0-3e72-ac1a-5e8bea6d87b5"]}],"mendeley":{"formattedCitation":"(17,20,23,29,51,52,56,66,73)","plainTextFormattedCitation":"(17,20,23,29,51,52,56,66,73)","previouslyFormattedCitation":"(17,20,23,29,51,52,56,66,73)"},"properties":{"noteIndex":0},"schema":"https://github.com/citation-style-language/schema/raw/master/csl-citation.json"}</w:instrText>
      </w:r>
      <w:r w:rsidRPr="00677ACC">
        <w:fldChar w:fldCharType="separate"/>
      </w:r>
      <w:r w:rsidR="00EF1C44" w:rsidRPr="00EF1C44">
        <w:rPr>
          <w:noProof/>
        </w:rPr>
        <w:t>(17,20,23,29,51,52,56,66,73)</w:t>
      </w:r>
      <w:r w:rsidRPr="00677ACC">
        <w:fldChar w:fldCharType="end"/>
      </w:r>
      <w:r w:rsidR="008104FC">
        <w:t>.</w:t>
      </w:r>
      <w:r w:rsidRPr="00677ACC">
        <w:t xml:space="preserve"> This is particularly true for CAMC, which is likely the more common form encountered in PC </w:t>
      </w:r>
      <w:r w:rsidRPr="00677ACC">
        <w:fldChar w:fldCharType="begin" w:fldLock="1"/>
      </w:r>
      <w:r w:rsidR="00EF1C44">
        <w:instrText>ADDIN CSL_CITATION {"citationItems":[{"id":"ITEM-1","itemData":{"DOI":"10.1176/APPI.NEUROPSYCH.11060120","ISSN":"15457222","PMID":"22772668","abstract":"Identification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Neurosciences","id":"ITEM-1","issue":"2","issued":{"date-parts":[["2012"]]},"page":"198-207","publisher":"American Psychiatric Association","title":"Catatonic disorder due to a general medical or psychiatric condition","type":"article-journal","volume":"24"},"uris":["http://www.mendeley.com/documents/?uuid=39bea04f-f549-3049-9e3d-5c699a5bd393"]}],"mendeley":{"formattedCitation":"(66)","plainTextFormattedCitation":"(66)","previouslyFormattedCitation":"(66)"},"properties":{"noteIndex":0},"schema":"https://github.com/citation-style-language/schema/raw/master/csl-citation.json"}</w:instrText>
      </w:r>
      <w:r w:rsidRPr="00677ACC">
        <w:fldChar w:fldCharType="separate"/>
      </w:r>
      <w:r w:rsidR="00EF1C44" w:rsidRPr="00EF1C44">
        <w:rPr>
          <w:noProof/>
        </w:rPr>
        <w:t>(66)</w:t>
      </w:r>
      <w:r w:rsidRPr="00677ACC">
        <w:fldChar w:fldCharType="end"/>
      </w:r>
      <w:r w:rsidR="008104FC">
        <w:t>.</w:t>
      </w:r>
      <w:r w:rsidRPr="00677ACC">
        <w:t xml:space="preserve">  </w:t>
      </w:r>
      <w:r w:rsidR="00F74786" w:rsidRPr="00677ACC">
        <w:t xml:space="preserve">In a case series involving neurological patients ultimately diagnosed with catatonia, none were initially recognized as having the condition; instead, they received alternative diagnoses, including </w:t>
      </w:r>
      <w:r w:rsidRPr="00677ACC">
        <w:t xml:space="preserve">extrapyramidal symptoms, meningitis, conversion disorder, acute psychosis, encephalopathy, and non-convulsive status epilepticus </w:t>
      </w:r>
      <w:r w:rsidRPr="00677ACC">
        <w:fldChar w:fldCharType="begin" w:fldLock="1"/>
      </w:r>
      <w:r w:rsidR="00EF1C44">
        <w:instrText>ADDIN CSL_CITATION {"citationItems":[{"id":"ITEM-1","itemData":{"DOI":"10.1016/J.CLINEURO.2019.105375","ISSN":"1872-6968","PMID":"31147176","abstract":"Catatonia is a well-described clinical syndrome characterized by features that range from mutism, negativism and stupor to agitation, mannerisms and stereotype. Causes of catatonia may range from organic brain disorders to psychiatric conditions. Despite a characteristic syndrome, catatonia is grossly under diagnosed. The reason for missed diagnosis of catatonia in neurology setting is not clear. Poor awareness is an unlikely cause because catatonia is taught among conditions with deregulated consciousness like vegetative state, locked-in state and akinetic mutism. We determined the proportion of catatonia patients correctly identified by neurology residents in neurology emergency. We also looked at the alternate diagnosis they received to identify catatonia mimics. Twelve patients (age 22–55 years, 7 females) of catatonia were discharged from a single unit of neurology department from 2007 to 2017. In the emergency department, neurology residents diagnosed none of the patients as catatonia. They offered diagnosis of extrapyramidal syndrome in 7, meningitis in 2, and conversion reaction, acute psychosis/encephalopathy and non-convulsive status epilepticus in one each. Their final diagnosis at discharge was catatonia due to general medical condition in 6 (progressive supranuclear palsy in 2, post-status epilepticus, uremic encephalopathy, glioblastoma multiforme and tuberculous meningitis in one each), catatonia due to major depression in 4, schizophrenia and idiopathic catatonia in one each. Extrapyramidal syndrome appeared as common mimic of catatonia. The literature reviewed also revealed the majority of organic catatonia secondary to causes that are usually associated with extrapyramidal features. Therefore, we suggest that neurologists should consider catatonia in patients presenting with extrapyramidal syndromes.","author":[{"dropping-particle":"","family":"Anand","given":"Sucharita","non-dropping-particle":"","parse-names":false,"suffix":""},{"dropping-particle":"","family":"Kumar Paliwal","given":"V.","non-dropping-particle":"","parse-names":false,"suffix":""},{"dropping-particle":"","family":"Singh","given":"Laxmi S.","non-dropping-particle":"","parse-names":false,"suffix":""},{"dropping-particle":"","family":"Uniyal","given":"Ravi","non-dropping-particle":"","parse-names":false,"suffix":""}],"container-title":"Clinical neurology and neurosurgery","id":"ITEM-1","issued":{"date-parts":[["2019","9","1"]]},"publisher":"Clin Neurol Neurosurg","title":"Why do neurologists miss catatonia in neurology emergency? A case series and brief literature review","type":"article-journal","volume":"184"},"uris":["http://www.mendeley.com/documents/?uuid=ffd4dc65-34db-3133-bf14-10646ab02ca3"]}],"mendeley":{"formattedCitation":"(74)","plainTextFormattedCitation":"(74)","previouslyFormattedCitation":"(74)"},"properties":{"noteIndex":0},"schema":"https://github.com/citation-style-language/schema/raw/master/csl-citation.json"}</w:instrText>
      </w:r>
      <w:r w:rsidRPr="00677ACC">
        <w:fldChar w:fldCharType="separate"/>
      </w:r>
      <w:r w:rsidR="00EF1C44" w:rsidRPr="00EF1C44">
        <w:rPr>
          <w:noProof/>
        </w:rPr>
        <w:t>(74)</w:t>
      </w:r>
      <w:r w:rsidRPr="00677ACC">
        <w:fldChar w:fldCharType="end"/>
      </w:r>
      <w:r w:rsidR="008104FC">
        <w:t>.</w:t>
      </w:r>
      <w:r w:rsidRPr="00677ACC">
        <w:t xml:space="preserve"> Retrospective studies in hospital and ICU settings have shown similar trends </w:t>
      </w:r>
      <w:r w:rsidRPr="00677ACC">
        <w:fldChar w:fldCharType="begin" w:fldLock="1"/>
      </w:r>
      <w:r w:rsidR="00EF1C44">
        <w:instrText>ADDIN CSL_CITATION {"citationItems":[{"id":"ITEM-1","itemData":{"DOI":"10.1176/APPI.NEUROPSYCH.17060123/ASSET/IMAGES/LARGE/APPI.NEUROPSYCH.17060123F1.JPEG","ISSN":"15457222","PMID":"29325478","abstract":"Catatonia is under-diagnosed in psychiatric settings. No studies have explored the under-diagnosis of catatonia in general hospitals. The authors conducted a retrospective chart review using DSM-5 criteria to diagnose catatonia in medical inpatients between 2011 and 2013. Of 133 case subjects meeting DSM-5 criteria for catatonia retrospectively, 79 had never been diagnosed and 54 had a documented diagnosis. Multiple logistic regression revealed that psychiatry consultation significantly decreased the odds of under-diagnosis of catatonia, whereas presence of agitation, grimacing, or echolalia increased the likelihood of under-diagnosis. Under-diagnosed case subjects received significantly lower doses of lorazepam, and increased mortality during admission and increased length of hospital stay both fell short of statistical significance in this group. Catatonia appears to be frequently under-diagnosed in the general hospital, and psychiatry consultation services play a crucial role in its detection and treatment. Strategies to improve recognition and treatment of catatonia should be implemented.","author":[{"dropping-particle":"","family":"Roig Llesuy","given":"Joan","non-dropping-particle":"","parse-names":false,"suffix":""},{"dropping-particle":"","family":"Medina","given":"Michel","non-dropping-particle":"","parse-names":false,"suffix":""},{"dropping-particle":"","family":"Jacobson","given":"Kristen C.","non-dropping-particle":"","parse-names":false,"suffix":""},{"dropping-particle":"","family":"Cooper","given":"Joseph J.","non-dropping-particle":"","parse-names":false,"suffix":""}],"container-title":"Journal of Neuropsychiatry and Clinical Neurosciences","id":"ITEM-1","issue":"2","issued":{"date-parts":[["2018","3","1"]]},"page":"145-151","publisher":"American Psychiatric Association","title":"Catatonia under-diagnosis in the general hospital","type":"article-journal","volume":"30"},"uris":["http://www.mendeley.com/documents/?uuid=6cd5a459-b612-397c-88ed-84ca192884ba"]},{"id":"ITEM-2","itemData":{"DOI":"10.1159/000083964","ISSN":"02544962","PMID":"15714008","abstract":"Background: Over the last century, especially during the latter half, the prevalence of the diagnosis of catatonic schizophrenia decreased considerably. Several explanations for this phenomenon have been put forward. Sampling and Methods: The present study investigated the frequency of the diagnosis of catatonic schizophrenia in a large sample of admitted psychiatric patients (n = 19,309). In addition, the presence of catatonic symptoms was studied in a sample of patients with schizophrenia (n = 701) and in a group of consecutively admitted psychotic patients (n = 139). In these two groups the effect of the diagnostic procedures on the recognition of catatonia was examined. Results:The diagnosis of catatonic schizophrenia dropped from 7.8% in 1980-1989 to 1.3% in 1990-2001 (p &lt; 0.001). In addition, a possible underdiagnosis of catatonic schizophrenia was found in an independent sample of patients with schizophrenia. Application of a systematic catatonia rating scale in patients admitted with acute psychosis identified a bimodally distributed catatonic dimension. At least 18% of these patients fulfilled the criteria for catatonia. Interestingly, the catatonic subgroup used atypical antipsychotic compounds more frequently (p &lt; 0.05). Conclusions: The results suggest that changes in diagnostic criteria and the diagnostic procedure itself are responsible for the under-recognition of catatonia. Copyright © 2005 S. Karger AG.","author":[{"dropping-particle":"","family":"Heijden","given":"F. M.M.A.","non-dropping-particle":"Van Der","parse-names":false,"suffix":""},{"dropping-particle":"","family":"Tuinier","given":"S.","non-dropping-particle":"","parse-names":false,"suffix":""},{"dropping-particle":"","family":"Arts","given":"N. J.M.","non-dropping-particle":"","parse-names":false,"suffix":""},{"dropping-particle":"","family":"Hoogendoorn","given":"M. L.C.","non-dropping-particle":"","parse-names":false,"suffix":""},{"dropping-particle":"","family":"Kahn","given":"R. S.","non-dropping-particle":"","parse-names":false,"suffix":""},{"dropping-particle":"","family":"Verhoeven","given":"W. M.A.","non-dropping-particle":"","parse-names":false,"suffix":""}],"container-title":"Psychopathology","id":"ITEM-2","issue":"1","issued":{"date-parts":[["2005","1"]]},"page":"3-8","title":"Catatonia: Disappeared or under-diagnosed?","type":"article-journal","volume":"38"},"uris":["http://www.mendeley.com/documents/?uuid=efaf4c6c-3334-3c1c-9ff8-e7b6a1fb7314"]},{"id":"ITEM-3","itemData":{"DOI":"10.1097/CCM.0000000000000053","ISSN":"1530-0293","PMID":"24275514","abstract":"OBJECTIVE:: Catatonia is a neuropsychiatric syndrome with motor and behavioral symptoms occurring in patients with or without a history of psychiatric illness. Although it is associated with significant morbidity and mortality, the prevalence of catatonia in the ICU setting is unknown. The diagnosis and management of catatonia in the critically ill patient raises unique challenges. Furthermore, the diagnosis and management are not included in most critical care curricula. The objective of this retrospective study is to increase the awareness of this clinically important condition among critical care providers. DESIGN:: Retrospective case series study. SETTING:: Multiple critical care units at a university-affiliated tertiary care hospital. PATIENTS:: Five critically ill patients with catatonia, aged 17 to 78. INTERVENTIONS:: None. MEASUREMENTS AND MAIN RESULTS:: All notes, laboratory data, imaging results, other diagnostic studies, therapeutic interventions, and responses to treatment were reviewed for five critically ill patients with catatonia. No unifying cause of catatonia or predisposing conditions were identified for these patients. Currently available diagnostic criteria for catatonia were found to be nonspecific in the ICU setting. New diagnostic criteria for catatonia specific to the critically ill patient are proposed. CONCLUSIONS:: Catatonia can occur in a wide variety of critical care settings, with or without precedent psychiatric illness, and it may be exacerbated or induced by common intensive care practices. Psychomotor findings are imperative in examination of critically ill patients with altered mental status in order to diagnose catatonia.. Copyright © 2014 by the Society of Critical Care Medicine and Lippincott.","author":[{"dropping-particle":"","family":"Saddawi-Konefka","given":"Daniel","non-dropping-particle":"","parse-names":false,"suffix":""},{"dropping-particle":"","family":"Berg","given":"Sheri M.","non-dropping-particle":"","parse-names":false,"suffix":""},{"dropping-particle":"","family":"Nejad","given":"Shamim H.","non-dropping-particle":"","parse-names":false,"suffix":""},{"dropping-particle":"","family":"Bittner","given":"Edward A.","non-dropping-particle":"","parse-names":false,"suffix":""}],"container-title":"Critical care medicine","id":"ITEM-3","issue":"3","issued":{"date-parts":[["2014","3"]]},"publisher":"Crit Care Med","title":"Catatonia in the ICU: an important and underdiagnosed cause of altered mental status. a case series and review of the literature*","type":"article-journal","volume":"42"},"uris":["http://www.mendeley.com/documents/?uuid=3ecc0ad3-3c3a-31fe-a941-462ca9981c18"]},{"id":"ITEM-4","itemData":{"DOI":"10.1016/J.SCHRES.2023.07.031","ISSN":"1573-2509","PMID":"37580182","abstract":"Background: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research","id":"ITEM-4","issued":{"date-parts":[["2024","1","1"]]},"page":"223-228","publisher":"Schizophr Res","title":"In-hospital catatonia, delirium, and coma and mortality: Results from the delirium and catatonia prospective cohort investigation","type":"article-journal","volume":"263"},"uris":["http://www.mendeley.com/documents/?uuid=48fbaf5d-c9e0-3e72-ac1a-5e8bea6d87b5"]}],"mendeley":{"formattedCitation":"(20,23,29,73)","plainTextFormattedCitation":"(20,23,29,73)","previouslyFormattedCitation":"(20,23,29,73)"},"properties":{"noteIndex":0},"schema":"https://github.com/citation-style-language/schema/raw/master/csl-citation.json"}</w:instrText>
      </w:r>
      <w:r w:rsidRPr="00677ACC">
        <w:fldChar w:fldCharType="separate"/>
      </w:r>
      <w:r w:rsidR="00EF1C44" w:rsidRPr="00EF1C44">
        <w:rPr>
          <w:noProof/>
        </w:rPr>
        <w:t>(20,23,29,73)</w:t>
      </w:r>
      <w:r w:rsidRPr="00677ACC">
        <w:fldChar w:fldCharType="end"/>
      </w:r>
      <w:r w:rsidR="008104FC">
        <w:t xml:space="preserve">. </w:t>
      </w:r>
      <w:r w:rsidRPr="00677ACC">
        <w:t xml:space="preserve">A systematic review found that while medical causes were identified in only 20% of catatonia cases overall, this rose to over 50% in acute medical-surgical settings and approached 100% in elderly, critically ill patients </w:t>
      </w:r>
      <w:r w:rsidRPr="00677ACC">
        <w:fldChar w:fldCharType="begin" w:fldLock="1"/>
      </w:r>
      <w:r w:rsidR="008104FC">
        <w:instrText>ADDIN CSL_CITATION {"citationItems":[{"id":"ITEM-1","itemData":{"DOI":"10.1016/J.PSYM.2018.04.001","ISSN":"1545-7206","PMID":"29776679","abstract":"Objective: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A.","non-dropping-particle":"","parse-names":false,"suffix":""}],"container-title":"Psychosomatics","id":"ITEM-1","issue":"4","issued":{"date-parts":[["2018","7","1"]]},"page":"333-340","publisher":"Psychosomatics","title":"The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(4)","plainTextFormattedCitation":"(4)","previouslyFormattedCitation":"(4)"},"properties":{"noteIndex":0},"schema":"https://github.com/citation-style-language/schema/raw/master/csl-citation.json"}</w:instrText>
      </w:r>
      <w:r w:rsidRPr="00677ACC">
        <w:fldChar w:fldCharType="separate"/>
      </w:r>
      <w:r w:rsidR="002C7F0B" w:rsidRPr="002C7F0B">
        <w:rPr>
          <w:noProof/>
        </w:rPr>
        <w:t>(4)</w:t>
      </w:r>
      <w:r w:rsidRPr="00677ACC">
        <w:fldChar w:fldCharType="end"/>
      </w:r>
      <w:r w:rsidR="008104FC">
        <w:t>.</w:t>
      </w:r>
      <w:r w:rsidRPr="00677ACC">
        <w:t xml:space="preserve"> </w:t>
      </w:r>
      <w:r w:rsidR="008104FC" w:rsidRPr="008104FC">
        <w:t xml:space="preserve">A milestone </w:t>
      </w:r>
      <w:r w:rsidR="008104FC" w:rsidRPr="00AC33AD">
        <w:rPr>
          <w:i/>
          <w:iCs/>
        </w:rPr>
        <w:t xml:space="preserve">New England Journal of Medicine </w:t>
      </w:r>
      <w:r w:rsidR="008104FC" w:rsidRPr="008104FC">
        <w:t>review underscored this diagnostic challenge by outlining a broad differential diagnosis for catatonia across clinical contexts—including delirium, neuroleptic malignant syndrome, serotonin syndrome, substance intoxication or withdrawal, autoimmune encephalitis, and structural brain lesions. Notably, however, that review did not address catatonia in the palliative care or hospice setting</w:t>
      </w:r>
      <w:r w:rsidR="008104FC">
        <w:t xml:space="preserve"> </w:t>
      </w:r>
      <w:r w:rsidR="008104FC">
        <w:fldChar w:fldCharType="begin" w:fldLock="1"/>
      </w:r>
      <w:r w:rsidR="00EF1C44">
        <w:instrText>ADDIN CSL_CITATION {"citationItems":[{"id":"ITEM-1","itemData":{"DOI":"10.1056/NEJMRA2116304","ISSN":"0028-4793","abstract":"Catatonia,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H.","non-dropping-particle":"","parse-names":false,"suffix":""}],"id":"ITEM-1","issue":"19","issued":{"date-parts":[["2023","11","9"]]},"page":"1797-1802","publisher":"Massachusetts Medical Society","title":"Catatonia","type":"article-journal","volume":"389"},"uris":["http://www.mendeley.com/documents/?uuid=86ece16a-5695-32ea-815c-6d0809c0698a"]}],"mendeley":{"formattedCitation":"(59)","plainTextFormattedCitation":"(59)","previouslyFormattedCitation":"(59)"},"properties":{"noteIndex":0},"schema":"https://github.com/citation-style-language/schema/raw/master/csl-citation.json"}</w:instrText>
      </w:r>
      <w:r w:rsidR="008104FC">
        <w:fldChar w:fldCharType="separate"/>
      </w:r>
      <w:r w:rsidR="006F585C" w:rsidRPr="006F585C">
        <w:rPr>
          <w:noProof/>
        </w:rPr>
        <w:t>(59)</w:t>
      </w:r>
      <w:r w:rsidR="008104FC">
        <w:fldChar w:fldCharType="end"/>
      </w:r>
      <w:r w:rsidR="008104FC" w:rsidRPr="008104FC">
        <w:t>.</w:t>
      </w:r>
      <w:r w:rsidR="008104FC">
        <w:t xml:space="preserve"> </w:t>
      </w:r>
      <w:r w:rsidRPr="00677ACC">
        <w:t xml:space="preserve">For PC clinicians, clinical suspicion for a medical cause should be high, especially in the absence of a prior psychiatric diagnosis </w:t>
      </w:r>
      <w:r w:rsidRPr="00677ACC">
        <w:fldChar w:fldCharType="begin" w:fldLock="1"/>
      </w:r>
      <w:r w:rsidR="00EF1C44">
        <w:instrText>ADDIN CSL_CITATION {"citationItems":[{"id":"ITEM-1","itemData":{"DOI":"10.1176/APPI.NEUROPSYCH.11060120","ISSN":"15457222","PMID":"22772668","abstract":"Identification of individuals with catatonic disorder secondary to a general medical condition (CD-GMC) may affect both acute and long-term patient management. The authors performed a 20-year retrospective cohort analysis of all patients meeting DSM-IV-TR criteria for catatonic subtypes seen at our institution. Encephalitis was the most common etiologic diagnosis among patients with CD-GMC, and lumbar puncture the test most likely to affect acute management. Univariate logistic-regression analysis utilizing Bonferroni correction for multiple comparisons yielded absence of a psychiatric history and history of clinical seizure as variables increasing the likelihood of a diagnosis of CD-GMC. Prospective evaluation across a larger patient series will be required to better identify patients with catatonia who would benefit from neurologic evaluation. © 2012 American Psychiatric Association.","author":[{"dropping-particle":"","family":"Smith","given":"Jonathan H.","non-dropping-particle":"","parse-names":false,"suffix":""},{"dropping-particle":"","family":"Smith","given":"Vanessa D.","non-dropping-particle":"","parse-names":false,"suffix":""},{"dropping-particle":"","family":"Philbrick","given":"Kemuel L.","non-dropping-particle":"","parse-names":false,"suffix":""},{"dropping-particle":"","family":"Kumar","given":"Neeraj","non-dropping-particle":"","parse-names":false,"suffix":""}],"container-title":"Journal of Neuropsychiatry and Clinical Neurosciences","id":"ITEM-1","issue":"2","issued":{"date-parts":[["2012"]]},"page":"198-207","publisher":"American Psychiatric Association","title":"Catatonic disorder due to a general medical or psychiatric condition","type":"article-journal","volume":"24"},"uris":["http://www.mendeley.com/documents/?uuid=39bea04f-f549-3049-9e3d-5c699a5bd393"]}],"mendeley":{"formattedCitation":"(66)","plainTextFormattedCitation":"(66)","previouslyFormattedCitation":"(66)"},"properties":{"noteIndex":0},"schema":"https://github.com/citation-style-language/schema/raw/master/csl-citation.json"}</w:instrText>
      </w:r>
      <w:r w:rsidRPr="00677ACC">
        <w:fldChar w:fldCharType="separate"/>
      </w:r>
      <w:r w:rsidR="00EF1C44" w:rsidRPr="00EF1C44">
        <w:rPr>
          <w:noProof/>
        </w:rPr>
        <w:t>(66)</w:t>
      </w:r>
      <w:r w:rsidRPr="00677ACC">
        <w:fldChar w:fldCharType="end"/>
      </w:r>
      <w:r w:rsidR="008104FC">
        <w:t>.</w:t>
      </w:r>
    </w:p>
    <w:p w14:paraId="3E252CC5" w14:textId="4CD7A23B" w:rsidR="0088061C" w:rsidRPr="00677ACC" w:rsidRDefault="0088061C" w:rsidP="00677ACC">
      <w:pPr>
        <w:pStyle w:val="NormalWeb"/>
        <w:spacing w:line="480" w:lineRule="auto"/>
      </w:pPr>
      <w:proofErr w:type="spellStart"/>
      <w:r w:rsidRPr="00677ACC">
        <w:t>Phenomenologic</w:t>
      </w:r>
      <w:proofErr w:type="spellEnd"/>
      <w:r w:rsidRPr="00677ACC">
        <w:t xml:space="preserve"> studies outside of serious illness suggest some differences in presentation between medical and psychiatric catatonia. Psychiatric catatonia is more likely to involve posturing, stereotypy, mannerisms, waxy flexibility, impulsivity, and perseveration, whereas medical catatonia is more commonly associated with autonomic instability, comorbid delirium, </w:t>
      </w:r>
      <w:r w:rsidRPr="00677ACC">
        <w:lastRenderedPageBreak/>
        <w:t xml:space="preserve">grasp reflex, hyperactivity, and a history of neurologic illness or seizures </w:t>
      </w:r>
      <w:r w:rsidRPr="00677ACC">
        <w:fldChar w:fldCharType="begin" w:fldLock="1"/>
      </w:r>
      <w:r w:rsidR="00EF1C44">
        <w:instrText>ADDIN CSL_CITATION {"citationItems":[{"id":"ITEM-1","itemData":{"DOI":"10.1177/0091217421994078","ISSN":"1541-3527","PMID":"33567935","abstract":"Objective: Catatonia is a disorder characterized by psychomotor symptoms. The etiology, symptomatology, response and outcome of catatonia in the medically ill has not been vigorously studied. Those who have catatonia associated with another mental disorder versus. catatonic disorder due to another medical condition may differ. The aim of this study is to study the causes, phenomenology and outcomes of medically ill patients with catatonia and explore differences among those who have catatonia associated with psychiatric illness vs. systemic medical illness. Method: We studied the incidence of catatonic symptoms in medically hospitalized patients to identify any apparent differences in clinical manifestations due to distinctive etiologies. Specifically, we assessed if there are differences between those who had catatonia associated with another mental disorder versus those with catatonic disorder due to another medical condition in their phenomenology, management and likelihood of response to treatment. Results: Of our 40 patients, 18 patients (45%) had catatonia associated with another mental disorder, 17 (42.5%) had catatonic disorder due to another medical condition, and in 5 patients (12.5%) the cause of catatonia was not identified. The most common catatonic symptoms regardless of etiology in our medically ill were mutism, followed by rigidity, and immobility. Bipolar disorder, schizophrenia, major depressive disorder, metabolic abnormalities, anti NMDAR encephalitis were the most frequent causes of catatonia in our medically ill patients. Compared to subjects with catatonic disorder due to another medical condition, those with catatonia associated with another mental disorder had more frequent mannerisms (Chi-square = 4.27; p = 0.039), waxy flexibility (Chi-square = 11.0; p &lt; 0.01), and impulsivity (Chi-square = 4.12, p = 0.042). Nonsignificant trends were noted for posturing (Chi-square = 3.74, p = 0.053), perseveration (Chi-square = 3.37, p = 0.067), and stereotypy (Chi-square = 2.91, p = 0.088) also being more frequent in catatonia associated with a psychiatric cause. Discussion: Our data supports phenomenological differences between medical and psychiatric causes of catatonia in the medically ill.","author":[{"dropping-particle":"","family":"Espi Forcen","given":"Fernando","non-dropping-particle":"","parse-names":false,"suffix":""},{"dropping-particle":"","family":"Respino","given":"Matteo","non-dropping-particle":"","parse-names":false,"suffix":""},{"dropping-particle":"","family":"Eloge","given":"Joshua","non-dropping-particle":"","parse-names":false,"suffix":""},{"dropping-particle":"","family":"Baldwin","given":"Meghan","non-dropping-particle":"","parse-names":false,"suffix":""},{"dropping-particle":"","family":"Burns","given":"Katrina","non-dropping-particle":"","parse-names":false,"suffix":""},{"dropping-particle":"","family":"Patron","given":"Victor","non-dropping-particle":"","parse-names":false,"suffix":""},{"dropping-particle":"","family":"Hebert","given":"Charles","non-dropping-particle":"","parse-names":false,"suffix":""}],"container-title":"International journal of psychiatry in medicine","id":"ITEM-1","issue":"1","issued":{"date-parts":[["2022","1","1"]]},"page":"80-88","publisher":"Int J Psychiatry Med","title":"Catatonia in the medically ill: Differences and parallels in etiology, phenomenology and management","type":"article-journal","volume":"57"},"uris":["http://www.mendeley.com/documents/?uuid=c6b838ee-7f2c-3c19-a13d-c9ec5f142785"]},{"id":"ITEM-2","itemData":{"DOI":"10.1016/J.PSYM.2018.04.001","ISSN":"1545-7206","PMID":"29776679","abstract":"Objective: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A.","non-dropping-particle":"","parse-names":false,"suffix":""}],"container-title":"Psychosomatics","id":"ITEM-2","issue":"4","issued":{"date-parts":[["2018","7","1"]]},"page":"333-340","publisher":"Psychosomatics","title":"The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mendeley":{"formattedCitation":"(4,75)","plainTextFormattedCitation":"(4,75)","previouslyFormattedCitation":"(4,75)"},"properties":{"noteIndex":0},"schema":"https://github.com/citation-style-language/schema/raw/master/csl-citation.json"}</w:instrText>
      </w:r>
      <w:r w:rsidRPr="00677ACC">
        <w:fldChar w:fldCharType="separate"/>
      </w:r>
      <w:r w:rsidR="00EF1C44" w:rsidRPr="00EF1C44">
        <w:rPr>
          <w:noProof/>
        </w:rPr>
        <w:t>(4,75)</w:t>
      </w:r>
      <w:r w:rsidRPr="00677ACC">
        <w:fldChar w:fldCharType="end"/>
      </w:r>
      <w:r w:rsidR="008104FC">
        <w:t>.</w:t>
      </w:r>
      <w:r w:rsidRPr="00677ACC">
        <w:t xml:space="preserve">  These patterns may help guide diagnostic thinking, though overlap is frequent.</w:t>
      </w:r>
    </w:p>
    <w:p w14:paraId="33335D94" w14:textId="14C53515" w:rsidR="0088061C" w:rsidRPr="00677ACC" w:rsidRDefault="0088061C" w:rsidP="00677ACC">
      <w:pPr>
        <w:pStyle w:val="NormalWeb"/>
        <w:spacing w:line="480" w:lineRule="auto"/>
      </w:pPr>
      <w:r w:rsidRPr="00677ACC">
        <w:t xml:space="preserve">Catatonia also rarely presents as the stereotypical stuporous or florid akinetic state often depicted in textbooks </w:t>
      </w:r>
      <w:r w:rsidRPr="00677ACC">
        <w:fldChar w:fldCharType="begin" w:fldLock="1"/>
      </w:r>
      <w:r w:rsidR="00EF1C44">
        <w:instrText>ADDIN CSL_CITATION {"citationItems":[{"id":"ITEM-1","itemData":{"DOI":"10.1016/J.CLINEURO.2019.105375","ISSN":"1872-6968","PMID":"31147176","abstract":"Catatonia is a well-described clinical syndrome characterized by features that range from mutism, negativism and stupor to agitation, mannerisms and stereotype. Causes of catatonia may range from organic brain disorders to psychiatric conditions. Despite a characteristic syndrome, catatonia is grossly under diagnosed. The reason for missed diagnosis of catatonia in neurology setting is not clear. Poor awareness is an unlikely cause because catatonia is taught among conditions with deregulated consciousness like vegetative state, locked-in state and akinetic mutism. We determined the proportion of catatonia patients correctly identified by neurology residents in neurology emergency. We also looked at the alternate diagnosis they received to identify catatonia mimics. Twelve patients (age 22–55 years, 7 females) of catatonia were discharged from a single unit of neurology department from 2007 to 2017. In the emergency department, neurology residents diagnosed none of the patients as catatonia. They offered diagnosis of extrapyramidal syndrome in 7, meningitis in 2, and conversion reaction, acute psychosis/encephalopathy and non-convulsive status epilepticus in one each. Their final diagnosis at discharge was catatonia due to general medical condition in 6 (progressive supranuclear palsy in 2, post-status epilepticus, uremic encephalopathy, glioblastoma multiforme and tuberculous meningitis in one each), catatonia due to major depression in 4, schizophrenia and idiopathic catatonia in one each. Extrapyramidal syndrome appeared as common mimic of catatonia. The literature reviewed also revealed the majority of organic catatonia secondary to causes that are usually associated with extrapyramidal features. Therefore, we suggest that neurologists should consider catatonia in patients presenting with extrapyramidal syndromes.","author":[{"dropping-particle":"","family":"Anand","given":"Sucharita","non-dropping-particle":"","parse-names":false,"suffix":""},{"dropping-particle":"","family":"Kumar Paliwal","given":"V.","non-dropping-particle":"","parse-names":false,"suffix":""},{"dropping-particle":"","family":"Singh","given":"Laxmi S.","non-dropping-particle":"","parse-names":false,"suffix":""},{"dropping-particle":"","family":"Uniyal","given":"Ravi","non-dropping-particle":"","parse-names":false,"suffix":""}],"container-title":"Clinical neurology and neurosurgery","id":"ITEM-1","issued":{"date-parts":[["2019","9","1"]]},"publisher":"Clin Neurol Neurosurg","title":"Why do neurologists miss catatonia in neurology emergency? A case series and brief literature review","type":"article-journal","volume":"184"},"uris":["http://www.mendeley.com/documents/?uuid=ffd4dc65-34db-3133-bf14-10646ab02ca3"]}],"mendeley":{"formattedCitation":"(74)","plainTextFormattedCitation":"(74)","previouslyFormattedCitation":"(74)"},"properties":{"noteIndex":0},"schema":"https://github.com/citation-style-language/schema/raw/master/csl-citation.json"}</w:instrText>
      </w:r>
      <w:r w:rsidRPr="00677ACC">
        <w:fldChar w:fldCharType="separate"/>
      </w:r>
      <w:r w:rsidR="00EF1C44" w:rsidRPr="00EF1C44">
        <w:rPr>
          <w:noProof/>
        </w:rPr>
        <w:t>(74)</w:t>
      </w:r>
      <w:r w:rsidRPr="00677ACC">
        <w:fldChar w:fldCharType="end"/>
      </w:r>
      <w:r w:rsidR="008104FC">
        <w:t>.</w:t>
      </w:r>
      <w:r w:rsidRPr="00677ACC">
        <w:t xml:space="preserve"> More often, it appears subtly—through purposeless agitation, mutism, urinary retention, rigidity, or unexplained diaphoresis—and is easily misattributed to hypoactive delirium, depression, or withdrawal </w:t>
      </w:r>
      <w:r w:rsidRPr="00677ACC">
        <w:fldChar w:fldCharType="begin" w:fldLock="1"/>
      </w:r>
      <w:r w:rsidR="00EF1C44">
        <w:instrText>ADDIN CSL_CITATION {"citationItems":[{"id":"ITEM-1","itemData":{"DOI":"10.1177/0897190011420159","ISSN":"1531-1937","PMID":"22048928","abstract":"Purpose: To report the cases of 2 hospitalized patients with chronic psychotic disorders who developed neuroleptic-induced catatonia (NIC), a catatonic-extrapyramidal syndrome occurring after administration of a D2-receptor antagonist, and delineate the importance of prompt recognition and treatment. Methods: Two patients with chronic psychotic disorders were admitted to the hospital for unstable medical conditions at which time their maintenance antipsychotic therapy was discontinued. Following administration of intravenous haloperidol, both patients developed catatonic and extrapyramidal signs. Both patients developed catatonia, rigidity, hyperthermia, leukocytosis, and elevations in creatine kinase. In both cases, the patients met the criteria for catatonia as evidenced by motoric immobility, stupor, mutism, and negativism. The syndrome resolved within a few days of stopping haloperidol and initiation of lorazepam. Conclusion: Neuroleptic-induced catatonia is underrecognized and can lead to potentially severe complications, although early recognition and treatment may prevent progression and complications. Previous reports do not underscore the importance of prompt recognition and treatment. © The Author(s) 2012.","author":[{"dropping-particle":"","family":"Gugger","given":"James J.","non-dropping-particle":"","parse-names":false,"suffix":""},{"dropping-particle":"","family":"Saad","given":"Maha","non-dropping-particle":"","parse-names":false,"suffix":""},{"dropping-particle":"","family":"Smith","given":"Candace","non-dropping-particle":"","parse-names":false,"suffix":""}],"container-title":"Journal of pharmacy practice","id":"ITEM-1","issue":"2","issued":{"date-parts":[["2012"]]},"page":"250-254","publisher":"J Pharm Pract","title":"Neuroleptic-induced catatonia in two hospitalized patients","type":"article-journal","volume":"25"},"uris":["http://www.mendeley.com/documents/?uuid=257fe968-6f7a-34c7-b3e0-d82039471441"]},{"id":"ITEM-2","itemData":{"DOI":"10.1111/j.1600-0447.1996.tb09814.x","abstract":"To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Scand","id":"ITEM-2","issue":"2","issued":{"date-parts":[["1996"]]},"page":"129-136","publisher-place":"Department of Psychiatry and Behavioral Sciences, SUNY Stony Brook, USA.","title":"Catatonia. I. Rating scale and standardized examination","type":"article-journal","volume":"93"},"uris":["http://www.mendeley.com/documents/?uuid=a5b43112-c268-376a-a8b9-ded4efe5cf8a"]},{"id":"ITEM-3","itemData":{"URL":"https://www.urmc.rochester.edu/psychiatry/divisions/collaborative-care-and-wellness/bush-francis-catatonia-rating-scale.aspx","author":[{"dropping-particle":"","family":"Rochester","given":"University of","non-dropping-particle":"","parse-names":false,"suffix":""}],"id":"ITEM-3","issued":{"date-parts":[["2024"]]},"title":"Bush-Francis Catatonia Rating Scale Assessment Resources","type":"webpage"},"uris":["http://www.mendeley.com/documents/?uuid=baa866de-3618-42b7-950d-7a15b277d79e"]},{"id":"ITEM-4","itemData":{"DOI":"10.1177/02698811231158232","abstract":"The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Psychopharmacol","id":"ITEM-4","issue":"4","issued":{"date-parts":[["2023"]]},"page":"327-369","publisher-place":"Institute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Psychopharmacology","type":"article-journal","volume":"37"},"uris":["http://www.mendeley.com/documents/?uuid=50908e9f-a212-31f8-b878-e18e2f87236c"]},{"id":"ITEM-5","itemData":{"DOI":"10.1038/s41572-024-00534-w","ISSN":"2056676X","PMID":"39025858","abstract":"Catatonia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Primers","id":"ITEM-5","issue":"1","issued":{"date-parts":[["2024","12","1"]]},"publisher":"Nature Research","title":"Catatonia","type":"article-journal","volume":"10"},"uris":["http://www.mendeley.com/documents/?uuid=4326a704-62f4-3cc1-b3d9-e311e36e7fa4"]}],"mendeley":{"formattedCitation":"(17,51,52,56,76)","plainTextFormattedCitation":"(17,51,52,56,76)","previouslyFormattedCitation":"(17,51,52,56,76)"},"properties":{"noteIndex":0},"schema":"https://github.com/citation-style-language/schema/raw/master/csl-citation.json"}</w:instrText>
      </w:r>
      <w:r w:rsidRPr="00677ACC">
        <w:fldChar w:fldCharType="separate"/>
      </w:r>
      <w:r w:rsidR="00EF1C44" w:rsidRPr="00EF1C44">
        <w:rPr>
          <w:noProof/>
        </w:rPr>
        <w:t>(17,51,52,56,76)</w:t>
      </w:r>
      <w:r w:rsidRPr="00677ACC">
        <w:fldChar w:fldCharType="end"/>
      </w:r>
      <w:r w:rsidR="008104FC">
        <w:t>.</w:t>
      </w:r>
      <w:r w:rsidRPr="00677ACC">
        <w:t xml:space="preserve">   This is especially relevant in </w:t>
      </w:r>
      <w:r w:rsidR="00F6362B" w:rsidRPr="00677ACC">
        <w:t>PC</w:t>
      </w:r>
      <w:r w:rsidRPr="00677ACC">
        <w:t xml:space="preserve">, </w:t>
      </w:r>
      <w:r w:rsidR="00F74786" w:rsidRPr="00677ACC">
        <w:t>where the manifestation of catatonia may be shaped by cognitive impairment, polypharmacy, and overlapping medical conditions</w:t>
      </w:r>
      <w:r w:rsidRPr="00677ACC">
        <w:t xml:space="preserve"> </w:t>
      </w:r>
      <w:r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a5b43112-c268-376a-a8b9-ded4efe5cf8a"]},{"id":"ITEM-2","itemData":{"URL":"https://www.urmc.rochester.edu/psychiatry/divisions/collaborative-care-and-wellness/bush-francis-catatonia-rating-scale.aspx","author":[{"dropping-particle":"","family":"Rochester","given":"University of","non-dropping-particle":"","parse-names":false,"suffix":""}],"id":"ITEM-2","issued":{"date-parts":[["2024"]]},"title":"Bush-Francis Catatonia Rating Scale Assessment Resources","type":"webpage"},"uris":["http://www.mendeley.com/documents/?uuid=baa866de-3618-42b7-950d-7a15b277d79e"]},{"id":"ITEM-3","itemData":{"DOI":"10.1177/02698811231158232","abstract":"The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Primers","id":"ITEM-4","issue":"1","issued":{"date-parts":[["2024","12","1"]]},"publisher":"Nature Research","title":"Catatonia","type":"article-journal","volume":"10"},"uris":["http://www.mendeley.com/documents/?uuid=4326a704-62f4-3cc1-b3d9-e311e36e7fa4"]}],"mendeley":{"formattedCitation":"(17,51,52,56)","plainTextFormattedCitation":"(17,51,52,56)","previouslyFormattedCitation":"(17,51,52,56)"},"properties":{"noteIndex":0},"schema":"https://github.com/citation-style-language/schema/raw/master/csl-citation.json"}</w:instrText>
      </w:r>
      <w:r w:rsidRPr="00677ACC">
        <w:fldChar w:fldCharType="separate"/>
      </w:r>
      <w:r w:rsidR="006F585C" w:rsidRPr="006F585C">
        <w:rPr>
          <w:noProof/>
        </w:rPr>
        <w:t>(17,51,52,56)</w:t>
      </w:r>
      <w:r w:rsidRPr="00677ACC">
        <w:fldChar w:fldCharType="end"/>
      </w:r>
      <w:r w:rsidR="008104FC">
        <w:t>.</w:t>
      </w:r>
      <w:r w:rsidRPr="00677ACC">
        <w:t xml:space="preserve">  In this context, catatonia can closely resemble terminal delirium, progressive dementia, or even </w:t>
      </w:r>
      <w:r w:rsidR="00F75683" w:rsidRPr="00677ACC">
        <w:t>EOL</w:t>
      </w:r>
      <w:r w:rsidRPr="00677ACC">
        <w:t xml:space="preserve"> anorexia </w:t>
      </w:r>
      <w:r w:rsidRPr="00677ACC">
        <w:fldChar w:fldCharType="begin" w:fldLock="1"/>
      </w:r>
      <w:r w:rsidR="00EF1C44">
        <w:instrText>ADDIN CSL_CITATION {"citationItems":[{"id":"ITEM-1","itemData":{"DOI":"10.1176/APPI.NEUROPSYCH.20230100","ISSN":"1545-7222","PMID":"39385575","author":[{"dropping-particle":"","family":"Trzepacz","given":"Paula T.","non-dropping-particle":"","parse-names":false,"suffix":""},{"dropping-particle":"","family":"Franco","given":"José G.","non-dropping-particle":"","parse-names":false,"suffix":""},{"dropping-particle":"","family":"Chakrabarti","given":"Subho","non-dropping-particle":"","parse-names":false,"suffix":""},{"dropping-particle":"","family":"Ghosh","given":"Abhishek","non-dropping-particle":"","parse-names":false,"suffix":""},{"dropping-particle":"","family":"Sahoo","given":"Swapnajeet","non-dropping-particle":"","parse-names":false,"suffix":""},{"dropping-particle":"","family":"Chakravarty","given":"Rahul","non-dropping-particle":"","parse-names":false,"suffix":""},{"dropping-particle":"","family":"Grover","given":"Sandeep","non-dropping-particle":"","parse-names":false,"suffix":""}],"container-title":"The Journal of neuropsychiatry and clinical neurosciences","id":"ITEM-1","issue":"1","issued":{"date-parts":[["2025","1"]]},"page":"67-78","publisher":"J Neuropsychiatry Clin Neurosci","title":"Refining Research Diagnostic Criteria for Catatonia Among Delirium, Medical, Affective, and Psychosis Patient Groups","type":"article-journal","volume":"37"},"uris":["http://www.mendeley.com/documents/?uuid=841eca8e-b78b-3286-b955-4086f0ca5daa"]},{"id":"ITEM-2","itemData":{"DOI":"10.1055/S-0044-1791226","ISSN":"1098-9021","PMID":"39362314","abstract":"Consultation liaison psychiatrists are frequently asked to evaluate patients with altered mental status (AMS). Psychiatrists have unique perspectives and approaches to care for confused patients, particularly optimizing facilitation of care and maintaining vigilance for diagnostic overshadowing. Psychiatrists also offer expertise in primary psychiatric illnesses that can overlap with AMS, and the most common etiology of AMS is delirium. In this article, we provide a consultation liaison psychiatrist perspective on AMS and related psychiatric conditions in addition to delirium. Manic and psychotic episodes have primary and secondary etiologies, with some symptoms that can overlap with delirium. Catatonia, neuroleptic malignant syndrome, and serotonin syndrome are potentially fatal emergencies, and require prompt index of suspicion to optimize clinical outcomes. Trauma sequelae, functional neurologic disorders, and dissociative disorders can present as puzzling cases that require psychiatric facilitation of care. Additionally, AMS is sometimes due to substance intoxication and withdrawal in the hospital. A nonstigmatizing approach to evaluation and management of delirium and AMS can ensure optimal patient care experiences and outcomes.","author":[{"dropping-particle":"","family":"Hamm","given":"Brandon","non-dropping-particle":"","parse-names":false,"suffix":""},{"dropping-particle":"","family":"Rosenthal","given":"Lisa J.","non-dropping-particle":"","parse-names":false,"suffix":""}],"container-title":"Seminars in neurology","id":"ITEM-2","issue":"6","issued":{"date-parts":[["2024","10","3"]]},"publisher":"Semin Neurol","title":"Psychiatric Etiologies and Approaches in Altered Mental Status Presentations: Insights from Consultation Liaison Psychiatry","type":"article-journal","volume":"44"},"uris":["http://www.mendeley.com/documents/?uuid=543017c5-5188-31e2-9a40-36433d3997b2"]},{"id":"ITEM-3","itemData":{"DOI":"10.1097/MCC.0000000000001142","ISSN":"1531-7072","PMID":"38441073","abstract":"Purpose of reviewThe rising prevalence of neurodegenerative and mental disorders, combined with the challenges posed by their frailty, has presented intensivists with complex issues in the intensive care unit (ICU). This review article explores specific aspects of care for patients with catatonia, Parkinson's disease (PD), and dementia within the context of the ICU, shedding light on recent developments in these fields.Recent findingsCatatonia, a neuropsychiatric syndrome with potentially life-Threatening forms, remains underdiagnosed, and its etiologies are diverse. PD patients in the ICU present unique challenges related to admission criteria, dopaminergic treatment, and respiratory care. Dementia increases the risk of delirium. Delirium is associated with long-Term cognitive impairment and dementia.SummaryWhile evidence is lacking, further research is needed to guide treatment for ICU patients with these comorbidities.","author":[{"dropping-particle":"","family":"Attali","given":"David","non-dropping-particle":"","parse-names":false,"suffix":""},{"dropping-particle":"","family":"Calligaris","given":"Charlotte","non-dropping-particle":"","parse-names":false,"suffix":""},{"dropping-particle":"","family":"Grabli","given":"David","non-dropping-particle":"","parse-names":false,"suffix":""},{"dropping-particle":"","family":"Slooter","given":"Arjen J.C.","non-dropping-particle":"","parse-names":false,"suffix":""}],"container-title":"Current opinion in critical care","id":"ITEM-3","issue":"2","issued":{"date-parts":[["2024","4","1"]]},"page":"151-156","publisher":"Curr Opin Crit Care","title":"How to manage catatonia, Parkinson and dementia in ICU","type":"article-journal","volume":"30"},"uris":["http://www.mendeley.com/documents/?uuid=f003b3d0-0ecb-39ea-9db0-dce0c4004cda"]},{"id":"ITEM-4","itemData":{"DOI":"10.1016/J.SCHRES.2023.07.031","ISSN":"1573-2509","PMID":"37580182","abstract":"Background: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research","id":"ITEM-4","issued":{"date-parts":[["2024","1","1"]]},"page":"223-228","publisher":"Schizophr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investigation","type":"article-journal","volume":"263"},"uris":["http://www.mendeley.com/documents/?uuid=48fbaf5d-c9e0-3e72-ac1a-5e8bea6d87b5"]},{"id":"ITEM-5","itemData":{"DOI":"10.1016/j.ajmo.2023.100059","ISSN":"2667-0364","PMID":"39035239","abstract":"BACKGROUND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open","id":"ITEM-5","issued":{"date-parts":[["2023","12"]]},"page":"100059","publisher":"Elsevier BV","title":"Catatonia: A Narrative Review for Hospitalists.","type":"article-journal","volume":"10"},"uris":["http://www.mendeley.com/documents/?uuid=ad166c68-95ef-3925-ab82-55fef7b17120"]}],"mendeley":{"formattedCitation":"(20,25,77–79)","plainTextFormattedCitation":"(20,25,77–79)","previouslyFormattedCitation":"(20,25,77–79)"},"properties":{"noteIndex":0},"schema":"https://github.com/citation-style-language/schema/raw/master/csl-citation.json"}</w:instrText>
      </w:r>
      <w:r w:rsidRPr="00677ACC">
        <w:fldChar w:fldCharType="separate"/>
      </w:r>
      <w:r w:rsidR="00EF1C44" w:rsidRPr="00EF1C44">
        <w:rPr>
          <w:noProof/>
        </w:rPr>
        <w:t>(20,25,77–79)</w:t>
      </w:r>
      <w:r w:rsidRPr="00677ACC">
        <w:fldChar w:fldCharType="end"/>
      </w:r>
      <w:r w:rsidR="008104FC">
        <w:t>.</w:t>
      </w:r>
    </w:p>
    <w:p w14:paraId="53BCCC9D" w14:textId="77777777" w:rsidR="006C39C1" w:rsidRPr="00677ACC" w:rsidRDefault="006C39C1" w:rsidP="00677ACC">
      <w:pPr>
        <w:spacing w:before="100" w:beforeAutospacing="1" w:after="100" w:afterAutospacing="1" w:line="480" w:lineRule="auto"/>
        <w:outlineLvl w:val="2"/>
        <w:rPr>
          <w:b/>
          <w:bCs/>
        </w:rPr>
      </w:pPr>
      <w:r w:rsidRPr="00677ACC">
        <w:rPr>
          <w:b/>
          <w:bCs/>
        </w:rPr>
        <w:t>Screening and Assessment: A Role for PC Clinicians</w:t>
      </w:r>
    </w:p>
    <w:p w14:paraId="0D027AA1" w14:textId="2C92C17F" w:rsidR="006C39C1" w:rsidRPr="00677ACC" w:rsidRDefault="006C39C1" w:rsidP="00677ACC">
      <w:pPr>
        <w:spacing w:before="100" w:beforeAutospacing="1" w:after="100" w:afterAutospacing="1" w:line="480" w:lineRule="auto"/>
      </w:pPr>
      <w:r w:rsidRPr="00677ACC">
        <w:t xml:space="preserve">PC clinicians are often the first to notice subtle changes in mental status, especially in patients with </w:t>
      </w:r>
      <w:r w:rsidR="006100BB" w:rsidRPr="00677ACC">
        <w:t>serious</w:t>
      </w:r>
      <w:r w:rsidRPr="00677ACC">
        <w:t xml:space="preserve"> illness or functional decline</w:t>
      </w:r>
      <w:r w:rsidR="008104FC">
        <w:t xml:space="preserve"> </w:t>
      </w:r>
      <w:r w:rsidRPr="00677ACC">
        <w:fldChar w:fldCharType="begin" w:fldLock="1"/>
      </w:r>
      <w:r w:rsidR="00EF1C44">
        <w:instrText>ADDIN CSL_CITATION {"citationItems":[{"id":"ITEM-1","itemData":{"DOI":"10.1007/S40265-017-0804-3","ISSN":"1179-1950","PMID":"28864877","abstract":"Delirium is a neurocognitive syndrome arising from acute global brain dysfunction, and is prevalent in up to 42% of patients admitted to palliative care inpatient units. The symptoms of delirium and its associated communicative impediment invariably generate high levels of patient and family distress. Furthermore, delirium is associated with significant patient morbidity and increased mortality in many patient populations, especially palliative care where refractory delirium is common in the dying phase. As the clinical diagnosis of delirium is frequently missed by the healthcare team, the case for regular screening is arguably very compelling. Depending on its precipitating factors, a delirium episode is often reversible, especially in the earlier stages of a life-threatening illness. Until recently, antipsychotics have played a pivotal role in delirium management, but this role now requires critical re-evaluation in light of recent research that failed to demonstrate their efficacy in mild- to moderate-severity delirium occurring in palliative care patients. Non-pharmacological strategies for the management of delirium play a fundamental role and should be optimized through the collective efforts of the whole interprofessional team. Refractory agitated delirium in the last days or weeks of life may require the use of pharmacological sedation to ameliorate the distress of patients, which is invariably juxtaposed with increasing distress of family members. Further evaluation of multicomponent strategies for delirium prevention and treatment in the palliative care patient population is urgently required.","author":[{"dropping-particle":"","family":"Bush","given":"Shirley Harvey","non-dropping-particle":"","parse-names":false,"suffix":""},{"dropping-particle":"","family":"Tierney","given":"Sallyanne","non-dropping-particle":"","parse-names":false,"suffix":""},{"dropping-particle":"","family":"Lawlor","given":"Peter Gerard","non-dropping-particle":"","parse-names":false,"suffix":""}],"container-title":"Drugs","id":"ITEM-1","issue":"15","issued":{"date-parts":[["2017","10","1"]]},"page":"1623-1643","publisher":"Drugs","title":"Clinical Assessment and Management of Delirium in the Palliative Care Setting","type":"article-journal","volume":"77"},"uris":["http://www.mendeley.com/documents/?uuid=e1995911-3211-3b6e-950d-011755e8f53d"]}],"mendeley":{"formattedCitation":"(80)","plainTextFormattedCitation":"(80)","previouslyFormattedCitation":"(80)"},"properties":{"noteIndex":0},"schema":"https://github.com/citation-style-language/schema/raw/master/csl-citation.json"}</w:instrText>
      </w:r>
      <w:r w:rsidRPr="00677ACC">
        <w:fldChar w:fldCharType="separate"/>
      </w:r>
      <w:r w:rsidR="00EF1C44" w:rsidRPr="00EF1C44">
        <w:rPr>
          <w:noProof/>
        </w:rPr>
        <w:t>(80)</w:t>
      </w:r>
      <w:r w:rsidRPr="00677ACC">
        <w:fldChar w:fldCharType="end"/>
      </w:r>
      <w:r w:rsidR="008104FC">
        <w:t>.</w:t>
      </w:r>
      <w:r w:rsidRPr="00677ACC">
        <w:t xml:space="preserve"> This places PC clinicians in a unique position to recognize </w:t>
      </w:r>
      <w:r w:rsidR="006100BB" w:rsidRPr="00677ACC">
        <w:t>features</w:t>
      </w:r>
      <w:r w:rsidRPr="00677ACC">
        <w:t xml:space="preserve"> of catatonia, perform bedside screening, initiate a lorazepam challenge when appropriate, and advocate for further diagnostic workup or psychiatric consultation. Just as importantly, they can help ensure that care remains goal-concordant, aligned with the patient’s values, and guided by the overall prognosis.</w:t>
      </w:r>
    </w:p>
    <w:p w14:paraId="332732ED" w14:textId="3B6193DE" w:rsidR="006C39C1" w:rsidRPr="00677ACC" w:rsidRDefault="006C39C1" w:rsidP="00677ACC">
      <w:pPr>
        <w:spacing w:before="100" w:beforeAutospacing="1" w:after="100" w:afterAutospacing="1" w:line="480" w:lineRule="auto"/>
      </w:pPr>
      <w:r w:rsidRPr="00677ACC">
        <w:t xml:space="preserve">Recognizing catatonia at the bedside begins with clinical suspicion. While completing a full BFCRS may not be feasible in all settings, we suggest PC teams should at minimum be familiar with key signs that can be assessed quickly at the bedside, including staring, waxy flexibility, withdrawal, grasp reflex, and rigidity. </w:t>
      </w:r>
      <w:r w:rsidR="004A527D" w:rsidRPr="00677ACC">
        <w:t>P</w:t>
      </w:r>
      <w:r w:rsidR="004A527D" w:rsidRPr="00677ACC">
        <w:rPr>
          <w:color w:val="000000"/>
        </w:rPr>
        <w:t xml:space="preserve">C teams can also consider use of the Catatonia Quick Screen, </w:t>
      </w:r>
      <w:r w:rsidR="006100BB" w:rsidRPr="00677ACC">
        <w:rPr>
          <w:color w:val="000000"/>
        </w:rPr>
        <w:t>a four-item screening instrument derived from the BFCRS with high sensitivity</w:t>
      </w:r>
      <w:r w:rsidR="008104FC">
        <w:rPr>
          <w:color w:val="000000"/>
        </w:rPr>
        <w:t xml:space="preserve"> </w:t>
      </w:r>
      <w:r w:rsidR="004A527D" w:rsidRPr="00677ACC">
        <w:rPr>
          <w:color w:val="000000"/>
        </w:rPr>
        <w:fldChar w:fldCharType="begin" w:fldLock="1"/>
      </w:r>
      <w:r w:rsidR="00EF1C44">
        <w:rPr>
          <w:color w:val="000000"/>
        </w:rPr>
        <w:instrText>ADDIN CSL_CITATION {"citationItems":[{"id":"ITEM-1","itemData":{"DOI":"10.1111/ACPS.13820","ISSN":"1600-0447","abstract":"Introduction: Catatonia is a potentially lethal and frequently underdiagnosed neuropsychiatric disorder marked by significant disturbances in motor, cognitive, and affective functioning. To enhance clinical detection of catatonia, this study aimed to develop and independently validate a rapid, sensitive Catatonia Quick Screen (CQS) using a reduced set of catatonic signs to facilitate screening in both adult and pediatric patients. Methods: Training data were derived from two retrospective cohorts totaling 446 patients (254 adults, 192 children) who screened positive for catatonia using the Bush Francis Catatonia Screening Instrument (BFCSI). The sensitivity of every potential combination of BFCSI signs was calculated from these data, with sensitivity defined as the proportion of patients identified by each combination of signs relative to the full BFCSI. The CQS was developed by selecting the combination of signs from the BFCSI that offered high sensitivity, ease of assessment by non-expert providers, and relevance to diverse catatonia presentations. The CQS was then validated in an independent 1456 patient cohort. Results: Using only four of the full BFCSI's 14 signs—excitement, mutism, staring, and posturing—yielded a sensitivity of 97% (95% CI: 95%–98%) relative to the BFCSI across both pediatric and adult patients within the training data. The CQS showed only a modest decrease in sensitivity (91%; 95% CI: 90%–93%) relative to the BFCSI when tested on the independent 1456 patient validation cohort. Conclusion: The CQS provides an independently validated, high sensitivity, rapid, and easy to use screening alternative to the BFCSI, potentially improving early detection of catatonia in clinical settings. A positive CQS should lead to a more detailed and definitive assessment for catatonia. Future prospective studies are necessary to determine the specificity of the CQS in diverse clinical populations.","author":[{"dropping-particle":"","family":"Luccarelli","given":"James","non-dropping-particle":"","parse-names":false,"suffix":""},{"dropping-particle":"","family":"Kalinich","given":"Mark","non-dropping-particle":"","parse-names":false,"suffix":""},{"dropping-particle":"","family":"Wilson","given":"Jo Ellen","non-dropping-particle":"","parse-names":false,"suffix":""},{"dropping-particle":"","family":"Rogers","given":"Jonathan P.","non-dropping-particle":"","parse-names":false,"suffix":""},{"dropping-particle":"","family":"Liu","given":"Jinyuan","non-dropping-particle":"","parse-names":false,"suffix":""},{"dropping-particle":"","family":"Fuchs","given":"D. Catherine","non-dropping-particle":"","parse-names":false,"suffix":""},{"dropping-particle":"","family":"Francis","given":"Andrew","non-dropping-particle":"","parse-names":false,"suffix":""},{"dropping-particle":"","family":"Heckers","given":"Stephan","non-dropping-particle":"","parse-names":false,"suffix":""},{"dropping-particle":"","family":"Fricchione","given":"Gregory","non-dropping-particle":"","parse-names":false,"suffix":""},{"dropping-particle":"","family":"Ryan Smith","given":"Joshua","non-dropping-particle":"","parse-names":false,"suffix":""}],"container-title":"Acta Psychiatrica Scandinavica","id":"ITEM-1","issued":{"date-parts":[["2025"]]},"publisher":"John Wiley &amp; Sons, Ltd","title":"The Catatonia Quick Screen (CQS): A Rapid Screening Tool for Catatonia in Adult and Pediatric Populations","type":"article-journal"},"uris":["http://www.mendeley.com/documents/?uuid=5660bb03-0f1f-30de-8555-a96e670a5adf"]}],"mendeley":{"formattedCitation":"(81)","plainTextFormattedCitation":"(81)","previouslyFormattedCitation":"(81)"},"properties":{"noteIndex":0},"schema":"https://github.com/citation-style-language/schema/raw/master/csl-citation.json"}</w:instrText>
      </w:r>
      <w:r w:rsidR="004A527D" w:rsidRPr="00677ACC">
        <w:rPr>
          <w:color w:val="000000"/>
        </w:rPr>
        <w:fldChar w:fldCharType="separate"/>
      </w:r>
      <w:r w:rsidR="00EF1C44" w:rsidRPr="00EF1C44">
        <w:rPr>
          <w:noProof/>
          <w:color w:val="000000"/>
        </w:rPr>
        <w:t>(81)</w:t>
      </w:r>
      <w:r w:rsidR="004A527D" w:rsidRPr="00677ACC">
        <w:rPr>
          <w:color w:val="000000"/>
        </w:rPr>
        <w:fldChar w:fldCharType="end"/>
      </w:r>
      <w:r w:rsidR="008104FC">
        <w:rPr>
          <w:color w:val="000000"/>
        </w:rPr>
        <w:t>.</w:t>
      </w:r>
      <w:r w:rsidR="006100BB" w:rsidRPr="00677ACC">
        <w:rPr>
          <w:color w:val="000000"/>
        </w:rPr>
        <w:t xml:space="preserve"> </w:t>
      </w:r>
      <w:r w:rsidRPr="00677ACC">
        <w:t xml:space="preserve">In </w:t>
      </w:r>
      <w:r w:rsidRPr="00677ACC">
        <w:lastRenderedPageBreak/>
        <w:t xml:space="preserve">settings where psychiatric consultation is unavailable, PC teams may need to recognize a broader range of BFCRS features and consider initiating a lorazepam challenge themselves, particularly when symptoms are distressing or rapidly progressing. Educational resources, including </w:t>
      </w:r>
      <w:r w:rsidR="00873C3C" w:rsidRPr="00677ACC">
        <w:t xml:space="preserve">those from </w:t>
      </w:r>
      <w:r w:rsidR="00873C3C" w:rsidRPr="00677ACC">
        <w:rPr>
          <w:i/>
          <w:iCs/>
        </w:rPr>
        <w:t>The Catatonia Foundation</w:t>
      </w:r>
      <w:r w:rsidR="00873C3C" w:rsidRPr="00677ACC">
        <w:t xml:space="preserve"> </w:t>
      </w:r>
      <w:r w:rsidR="00A91E00" w:rsidRPr="00677ACC">
        <w:t xml:space="preserve">and </w:t>
      </w:r>
      <w:r w:rsidRPr="00677ACC">
        <w:t xml:space="preserve">video demonstrations from the </w:t>
      </w:r>
      <w:r w:rsidRPr="00677ACC">
        <w:rPr>
          <w:i/>
          <w:iCs/>
        </w:rPr>
        <w:t>University of Rochester</w:t>
      </w:r>
      <w:r w:rsidRPr="00677ACC">
        <w:t>, can support clinician confidence in bedside screening and assessment</w:t>
      </w:r>
      <w:r w:rsidR="008104FC">
        <w:t xml:space="preserve"> </w:t>
      </w:r>
      <w:r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a5b43112-c268-376a-a8b9-ded4efe5cf8a"]},{"id":"ITEM-2","itemData":{"URL":"https://www.urmc.rochester.edu/psychiatry/divisions/collaborative-care-and-wellness/bush-francis-catatonia-rating-scale.aspx","author":[{"dropping-particle":"","family":"Rochester","given":"University of","non-dropping-particle":"","parse-names":false,"suffix":""}],"id":"ITEM-2","issued":{"date-parts":[["2024"]]},"title":"Bush-Francis Catatonia Rating Scale Assessment Resources","type":"webpage"},"uris":["http://www.mendeley.com/documents/?uuid=baa866de-3618-42b7-950d-7a15b277d79e"]},{"id":"ITEM-3","itemData":{"URL":"https://www.thecatatoniafoundation.org/","accessed":{"date-parts":[["2025","7","11"]]},"id":"ITEM-3","issued":{"date-parts":[["0"]]},"title":"Catatonia: Symptoms, Forms, Stories, Treatment &amp; Hope","type":"webpage"},"uris":["http://www.mendeley.com/documents/?uuid=c688ed8f-7099-31e1-b4f5-3f41a8f3e22b"]}],"mendeley":{"formattedCitation":"(51,52,82)","plainTextFormattedCitation":"(51,52,82)","previouslyFormattedCitation":"(51,52,82)"},"properties":{"noteIndex":0},"schema":"https://github.com/citation-style-language/schema/raw/master/csl-citation.json"}</w:instrText>
      </w:r>
      <w:r w:rsidRPr="00677ACC">
        <w:fldChar w:fldCharType="separate"/>
      </w:r>
      <w:r w:rsidR="00EF1C44" w:rsidRPr="00EF1C44">
        <w:rPr>
          <w:noProof/>
        </w:rPr>
        <w:t>(51,52,82)</w:t>
      </w:r>
      <w:r w:rsidRPr="00677ACC">
        <w:fldChar w:fldCharType="end"/>
      </w:r>
      <w:r w:rsidR="008104FC">
        <w:t>.</w:t>
      </w:r>
    </w:p>
    <w:p w14:paraId="01D99008" w14:textId="2A7B2D2F" w:rsidR="006C39C1" w:rsidRPr="00677ACC" w:rsidRDefault="006C39C1" w:rsidP="00677ACC">
      <w:pPr>
        <w:spacing w:before="100" w:beforeAutospacing="1" w:after="100" w:afterAutospacing="1" w:line="480" w:lineRule="auto"/>
        <w:rPr>
          <w:rFonts w:eastAsiaTheme="minorHAnsi"/>
          <w:kern w:val="2"/>
          <w14:ligatures w14:val="standardContextual"/>
        </w:rPr>
      </w:pPr>
      <w:r w:rsidRPr="00677ACC">
        <w:t xml:space="preserve">We recommend maintaining a high index of suspicion for catatonia in any patient with serious illness presenting with acute or subacute </w:t>
      </w:r>
      <w:r w:rsidR="00954824" w:rsidRPr="00677ACC">
        <w:t xml:space="preserve">mental status </w:t>
      </w:r>
      <w:r w:rsidRPr="00677ACC">
        <w:t xml:space="preserve">changes from baseline, particularly those with </w:t>
      </w:r>
      <w:r w:rsidR="00954824" w:rsidRPr="00677ACC">
        <w:t xml:space="preserve">motor features and/or underlying </w:t>
      </w:r>
      <w:r w:rsidRPr="00677ACC">
        <w:t xml:space="preserve">cognitive impairment, neurologic disease, </w:t>
      </w:r>
      <w:r w:rsidR="001A0F74" w:rsidRPr="00677ACC">
        <w:t xml:space="preserve">significant </w:t>
      </w:r>
      <w:r w:rsidRPr="00677ACC">
        <w:t xml:space="preserve">psychiatric history, or unexplained weight loss and withdrawal. </w:t>
      </w:r>
    </w:p>
    <w:p w14:paraId="127745E5" w14:textId="7F2BBDC5" w:rsidR="006C39C1" w:rsidRPr="00677ACC" w:rsidRDefault="006C39C1" w:rsidP="00677ACC">
      <w:pPr>
        <w:spacing w:before="100" w:beforeAutospacing="1" w:after="100" w:afterAutospacing="1" w:line="480" w:lineRule="auto"/>
        <w:rPr>
          <w:rFonts w:eastAsiaTheme="minorHAnsi"/>
          <w:kern w:val="2"/>
          <w14:ligatures w14:val="standardContextual"/>
        </w:rPr>
      </w:pPr>
      <w:r w:rsidRPr="00677ACC">
        <w:t xml:space="preserve">Catatonia and delirium often wax and wane, share overlapping features, and commonly co-occur </w:t>
      </w:r>
      <w:r w:rsidRPr="00677ACC">
        <w:fldChar w:fldCharType="begin" w:fldLock="1"/>
      </w:r>
      <w:r w:rsidR="00EF1C44">
        <w:instrText>ADDIN CSL_CITATION {"citationItems":[{"id":"ITEM-1","itemData":{"DOI":"10.1177/0897190011420159","ISSN":"1531-1937","PMID":"22048928","abstract":"Purpose: To report the cases of 2 hospitalized patients with chronic psychotic disorders who developed neuroleptic-induced catatonia (NIC), a catatonic-extrapyramidal syndrome occurring after administration of a D2-receptor antagonist, and delineate the importance of prompt recognition and treatment. Methods: Two patients with chronic psychotic disorders were admitted to the hospital for unstable medical conditions at which time their maintenance antipsychotic therapy was discontinued. Following administration of intravenous haloperidol, both patients developed catatonic and extrapyramidal signs. Both patients developed catatonia, rigidity, hyperthermia, leukocytosis, and elevations in creatine kinase. In both cases, the patients met the criteria for catatonia as evidenced by motoric immobility, stupor, mutism, and negativism. The syndrome resolved within a few days of stopping haloperidol and initiation of lorazepam. Conclusion: Neuroleptic-induced catatonia is underrecognized and can lead to potentially severe complications, although early recognition and treatment may prevent progression and complications. Previous reports do not underscore the importance of prompt recognition and treatment. © The Author(s) 2012.","author":[{"dropping-particle":"","family":"Gugger","given":"James J.","non-dropping-particle":"","parse-names":false,"suffix":""},{"dropping-particle":"","family":"Saad","given":"Maha","non-dropping-particle":"","parse-names":false,"suffix":""},{"dropping-particle":"","family":"Smith","given":"Candace","non-dropping-particle":"","parse-names":false,"suffix":""}],"container-title":"Journal of pharmacy practice","id":"ITEM-1","issue":"2","issued":{"date-parts":[["2012"]]},"page":"250-254","publisher":"J Pharm Pract","title":"Neuroleptic-induced catatonia in two hospitalized patients","type":"article-journal","volume":"25"},"uris":["http://www.mendeley.com/documents/?uuid=257fe968-6f7a-34c7-b3e0-d82039471441"]},{"id":"ITEM-2","itemData":{"DOI":"10.1038/s41572-024-00534-w","ISSN":"2056676X","PMID":"39025858","abstract":"Catatonia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mendeley":{"formattedCitation":"(17,76)","plainTextFormattedCitation":"(17,76)","previouslyFormattedCitation":"(17,76)"},"properties":{"noteIndex":0},"schema":"https://github.com/citation-style-language/schema/raw/master/csl-citation.json"}</w:instrText>
      </w:r>
      <w:r w:rsidRPr="00677ACC">
        <w:fldChar w:fldCharType="separate"/>
      </w:r>
      <w:r w:rsidR="00EF1C44" w:rsidRPr="00EF1C44">
        <w:rPr>
          <w:noProof/>
        </w:rPr>
        <w:t>(17,76)</w:t>
      </w:r>
      <w:r w:rsidRPr="00677ACC">
        <w:fldChar w:fldCharType="end"/>
      </w:r>
      <w:r w:rsidR="008104FC">
        <w:t>.</w:t>
      </w:r>
      <w:r w:rsidRPr="00677ACC">
        <w:t xml:space="preserve"> Because benzodiazepines typically help in catatonia but may worsen delirium, distinguishing between the two is critical </w:t>
      </w:r>
      <w:r w:rsidRPr="00677ACC">
        <w:fldChar w:fldCharType="begin" w:fldLock="1"/>
      </w:r>
      <w:r w:rsidR="008104FC">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4326a704-62f4-3cc1-b3d9-e311e36e7fa4"]}],"mendeley":{"formattedCitation":"(17)","plainTextFormattedCitation":"(17)","previouslyFormattedCitation":"(17)"},"properties":{"noteIndex":0},"schema":"https://github.com/citation-style-language/schema/raw/master/csl-citation.json"}</w:instrText>
      </w:r>
      <w:r w:rsidRPr="00677ACC">
        <w:fldChar w:fldCharType="separate"/>
      </w:r>
      <w:r w:rsidR="008104FC" w:rsidRPr="008104FC">
        <w:rPr>
          <w:noProof/>
        </w:rPr>
        <w:t>(17)</w:t>
      </w:r>
      <w:r w:rsidRPr="00677ACC">
        <w:fldChar w:fldCharType="end"/>
      </w:r>
      <w:r w:rsidR="008104FC">
        <w:t>.</w:t>
      </w:r>
      <w:r w:rsidRPr="00677ACC">
        <w:t xml:space="preserve"> Although DSM-5-TR excludes catatonia in the context of delirium, multiple studies have shown that </w:t>
      </w:r>
      <w:r w:rsidR="001A0F74" w:rsidRPr="00677ACC">
        <w:t>co-occurrence is possible</w:t>
      </w:r>
      <w:r w:rsidRPr="00677ACC">
        <w:t xml:space="preserve"> </w:t>
      </w:r>
      <w:r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Psychopharmacology","type":"article-journal","volume":"37"},"uris":["http://www.mendeley.com/documents/?uuid=50908e9f-a212-31f8-b878-e18e2f87236c"]},{"id":"ITEM-2","itemData":{"author":[{"dropping-particle":"","family":"Association","given":"American Psychiatric","non-dropping-particle":"","parse-names":false,"suffix":""}],"container-title":"American Psychiatric Press, Inc.","id":"ITEM-2","issued":{"date-parts":[["2022"]]},"title":"Diagnostic and Statistical Manual of Mental Disorders, Text Revision Dsm-5-tr 5th Edition","type":"article-journal"},"uris":["http://www.mendeley.com/documents/?uuid=47ff78f0-f4c2-4706-97e4-5f9d1a940da0"]}],"mendeley":{"formattedCitation":"(1,56)","plainTextFormattedCitation":"(1,56)","previouslyFormattedCitation":"(1,56)"},"properties":{"noteIndex":0},"schema":"https://github.com/citation-style-language/schema/raw/master/csl-citation.json"}</w:instrText>
      </w:r>
      <w:r w:rsidRPr="00677ACC">
        <w:fldChar w:fldCharType="separate"/>
      </w:r>
      <w:r w:rsidR="006F585C" w:rsidRPr="006F585C">
        <w:rPr>
          <w:noProof/>
        </w:rPr>
        <w:t>(1,56)</w:t>
      </w:r>
      <w:r w:rsidRPr="00677ACC">
        <w:fldChar w:fldCharType="end"/>
      </w:r>
      <w:r w:rsidR="008104FC">
        <w:t>.</w:t>
      </w:r>
      <w:r w:rsidRPr="00677ACC">
        <w:t xml:space="preserve"> In practice, </w:t>
      </w:r>
      <w:r w:rsidR="001A0F74" w:rsidRPr="00677ACC">
        <w:t>a key clinical clue that should prompt consideration of catatonia is delirium that fails to improve or paradoxically worsens after antipsychotic treatment</w:t>
      </w:r>
      <w:r w:rsidRPr="00677ACC">
        <w:t xml:space="preserve"> </w:t>
      </w:r>
      <w:r w:rsidR="00954824" w:rsidRPr="00677ACC">
        <w:fldChar w:fldCharType="begin" w:fldLock="1"/>
      </w:r>
      <w:r w:rsidR="00EF1C44">
        <w:instrText>ADDIN CSL_CITATION {"citationItems":[{"id":"ITEM-1","itemData":{"DOI":"10.1111/PCN.12168","ISSN":"1440-1819","PMID":"24521083","abstract":"Aim The aim of this study was to determine the prevalence of catatonic symptoms, as per the Bush Francis Catatonia Rating Scale (BFCRS), in patients with delirium and to evaluate the prevalence of catatonia as defined by the Bush Francis Catatonia Screening Instrument and DSM-5 criteria in patients with delirium. Method Two hundred five consecutive subjects with delirium were assessed on the Delirium Rating Scale-Revised 98 version, the amended Delirium Motor Symptom Scale and the BFCRS. Results On the BFCRS, two-fifths (n=80; 39%) of the study participants had two or more catatonic symptoms. When the diagnosis of catatonic syndrome was considered, 32% and 12.7% were observed to have catatonia as per the Bush Francis Catatonia Screening Instrument and proposed DSM-5 criteria, respectively. Delirium with catatonic syndrome was more common in women and in those who had onset of delirium prior to hospitalization. Amongst the delirium subtypes, hypoactive delirium was more commonly associated with catatonic syndrome. Conclusion The present study suggests that a substantial number of patients with delirium have catatonic symptoms and a significant proportion have catatonic syndrome. This high prevalence makes the concurrent diagnosis of delirium and catatonia plausible. The association of catatonia with a specific motor subtype of delirium could encourage the expansion or even modification of the existing subtypes of delirium. © 2014 Japanese Society of Psychiatry and Neurology.","author":[{"dropping-particle":"","family":"Grover","given":"Sandeep","non-dropping-particle":"","parse-names":false,"suffix":""},{"dropping-particle":"","family":"Ghosh","given":"Abhishek","non-dropping-particle":"","parse-names":false,"suffix":""},{"dropping-particle":"","family":"Ghormode","given":"Deepak","non-dropping-particle":"","parse-names":false,"suffix":""}],"container-title":"Psychiatry and clinical neurosciences","id":"ITEM-1","issue":"8","issued":{"date-parts":[["2014"]]},"page":"644-651","publisher":"Psychiatry Clin Neurosci","title":"Do patients of delirium have catatonic features? An exploratory study","type":"article-journal","volume":"68"},"uris":["http://www.mendeley.com/documents/?uuid=9987e205-9311-35b6-a2a0-aed89dd83f4e"]},{"id":"ITEM-2","itemData":{"DOI":"10.1016/J.GENHOSPPSYCH.2015.06.011","ISSN":"1873-7714","PMID":"26162545","abstract":"Background: Catatonia is seldom considered in evaluation of altered mental status (AMS) in medical settings. Furthermore, catatonia often meets delirium criteria due to incoherence, altered awareness and behavioral change. Catatonia may co-occur with or be preferentially diagnosed as delirium. Methods: We conducted a systematic literature review of MEDLINE, EMBASE and PsycINFO on the relationship between catatonia and delirium. We also juxtapose clinical features of these syndromes and outline a structured approach to catatonia evaluation and management in acute medical settings. Results: These syndromes share tremendous overlap: the historical catatonia-related terms \"delirious mania\" and \"delirious depression\" bespeak of literal confusion differentiating them. Only recently has evidence on their relationship progressed beyond case series and reports. Neurological conditions account for the majority of medical catatonia cases. Conclusions: New-onset catatonia warrants a medical workup, and catatonic features in AMS may guide clinicians to a neurological condition (e.g., encephalitis, seizures or structural central nervous system disease). Lorazepam or electroconvulsive therapy (ECT) should be considered even in medical catatonia, and neuroleptics should be used with caution. Moreover, ECT may prove lifesaving in malignant catatonia. Further studies on the relationship between delirium and catatonia are warranted.","author":[{"dropping-particle":"","family":"Oldham","given":"Mark A.","non-dropping-particle":"","parse-names":false,"suffix":""},{"dropping-particle":"","family":"Lee","given":"Hochang B.","non-dropping-particle":"","parse-names":false,"suffix":""}],"container-title":"General hospital psychiatry","id":"ITEM-2","issue":"6","issued":{"date-parts":[["2015","11","1"]]},"page":"554-559","publisher":"Gen Hosp Psychiatry","title":"Catatonia vis-à-vis delirium: the significance of recognizing catatonia in altered mental status","type":"article-journal","volume":"37"},"uris":["http://www.mendeley.com/documents/?uuid=80488a69-04b7-3396-9f3e-4d90dfd076ef"]},{"id":"ITEM-3","itemData":{"DOI":"10.1097/CCM.0000000000002642","ISSN":"15300293","PMID":"28841632","abstract":"Objectives: Catatonia, a condition characterized by motor, behavioral, and emotional changes, can occur during critical illness and appear as clinically similar to delirium, yet its management differs from delirium. Traditional criteria for medical catatonia preclude its diagnosis in delirium. Our objective in this investigation was to understand the overlap and relationship between delirium and catatonia in ICU patients and determine diagnostic thresholds for catatonia. Design: Convenience cohort, nested within two ongoing randomized trials. Setting: Single academic medical center in Nashville, TN. Patients: We enrolled 136 critically ill patients on mechanical ventilation and/or vasopressors, randomized to two usual care sedation regimens. Measurements and Main Results: Patients were assessed for delirium and catatonia by independent and masked personnel using Confusion Assessment Method for the ICU and the Bush Francis Catatonia Rating Scale mapped to Diagnostic Statistical Manual 5 criterion A for catatonia. Of 136 patients, 58 patients (43%) had only delirium, four (3%) had only catatonia, 42 (31%) had both, and 32 (24%) had neither. In a logistic regression model, more catatonia signs were associated with greater odds of having delirium. For example, patient assessments with greater than or equal to three Diagnostic Statistical Manual 5 symptoms (75th percentile) had, on average, 27.8 times the odds (interquartile range, 12.7-60.6) of having delirium compared with patient assessments with zero Diagnostic Statistical Manual 5 criteria (25th percentile) present (p &lt; 0.001). A cut-off of greater than or equal to 4 Bush Francis Catatonia Screening Instrument items was both sensitive (91%; 95% CI, 82.9-95.3) and specific (91%; 95% CI, 87.6-92.9) for Diagnostic Statistical Manual 5 catatonia. Conclusions: Given that about one in three patients had both catatonia and delirium, these data prompt reconsideration of Diagnostic Statistical Manual 5 criteria for \"Catatonic Disorder Due to Another Medical Condition\" that preclude diagnosing catatonia in the presence of delirium.","author":[{"dropping-particle":"","family":"Wilson","given":"Jo E.","non-dropping-particle":"","parse-names":false,"suffix":""},{"dropping-particle":"","family":"Carlson","given":"Richard","non-dropping-particle":"","parse-names":false,"suffix":""},{"dropping-particle":"","family":"Duggan","given":"Maria C.","non-dropping-particle":"","parse-names":false,"suffix":""},{"dropping-particle":"","family":"Pandharipande","given":"Pratik","non-dropping-particle":"","parse-names":false,"suffix":""},{"dropping-particle":"","family":"Girard","given":"Timothy D.","non-dropping-particle":"","parse-names":false,"suffix":""},{"dropping-particle":"","family":"Wang","given":"Li","non-dropping-particle":"","parse-names":false,"suffix":""},{"dropping-particle":"","family":"Thompson","given":"Jennifer L.","non-dropping-particle":"","parse-names":false,"suffix":""},{"dropping-particle":"","family":"Chandrasekhar","given":"Rameela","non-dropping-particle":"","parse-names":false,"suffix":""},{"dropping-particle":"","family":"Francis","given":"Andrew","non-dropping-particle":"","parse-names":false,"suffix":""},{"dropping-particle":"","family":"Nicolson","given":"Stephen E.","non-dropping-particle":"","parse-names":false,"suffix":""},{"dropping-particle":"","family":"Dittus","given":"Robert S.","non-dropping-particle":"","parse-names":false,"suffix":""},{"dropping-particle":"","family":"Heckers","given":"Stephan","non-dropping-particle":"","parse-names":false,"suffix":""},{"dropping-particle":"","family":"Ely","given":"E. Wesley","non-dropping-particle":"","parse-names":false,"suffix":""}],"container-title":"Critical Care Medicine","id":"ITEM-3","issue":"11","issued":{"date-parts":[["2017","11","1"]]},"page":"1837-1844","publisher":"Lippincott Williams and Wilkins","title":"Delirium and catatonia in critically ill patients: The delirium and catatonia prospective cohort investigation","type":"article-journal","volume":"45"},"uris":["http://www.mendeley.com/documents/?uuid=d65f5833-93cb-3a9e-9160-0554794dc903"]},{"id":"ITEM-4","itemData":{"DOI":"10.1017/CBO9780511543777","ISBN":"9780521822268","author":[{"dropping-particle":"","family":"Fink","given":"Max","non-dropping-particle":"","parse-names":false,"suffix":""},{"dropping-particle":"","family":"Taylor","given":"Michael Alan","non-dropping-particle":"","parse-names":false,"suffix":""}],"id":"ITEM-4","issued":{"date-parts":[["2003","3","20"]]},"publisher":"Cambridge University Press","title":"Catatonia","type":"article-journal"},"uris":["http://www.mendeley.com/documents/?uuid=7b77f54a-99f2-3313-a7a3-d236e2e55c23"]},{"id":"ITEM-5","itemData":{"DOI":"10.5498/WJP.V12.I2.348","ISSN":"2220-3206","PMID":"35317341","abstract":"BACKGROUND: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psychiatry","id":"ITEM-5","issue":"2","issued":{"date-parts":[["2022","2","19"]]},"page":"348-367","publisher":"World J Psychiatry","title":"Catatonia in older adults: A systematic review","type":"article-journal","volume":"12"},"uris":["http://www.mendeley.com/documents/?uuid=9923c9e9-aeb6-32cb-bb33-8d6e62620444"]}],"mendeley":{"formattedCitation":"(21,27,57,83,84)","plainTextFormattedCitation":"(21,27,57,83,84)","previouslyFormattedCitation":"(21,27,57,83,84)"},"properties":{"noteIndex":0},"schema":"https://github.com/citation-style-language/schema/raw/master/csl-citation.json"}</w:instrText>
      </w:r>
      <w:r w:rsidR="00954824" w:rsidRPr="00677ACC">
        <w:fldChar w:fldCharType="separate"/>
      </w:r>
      <w:r w:rsidR="00EF1C44" w:rsidRPr="00EF1C44">
        <w:rPr>
          <w:noProof/>
        </w:rPr>
        <w:t>(21,27,57,83,84)</w:t>
      </w:r>
      <w:r w:rsidR="00954824" w:rsidRPr="00677ACC">
        <w:fldChar w:fldCharType="end"/>
      </w:r>
      <w:r w:rsidR="008104FC">
        <w:t>.</w:t>
      </w:r>
      <w:r w:rsidRPr="00677ACC">
        <w:t xml:space="preserve"> Delirium that does not improve with standard treatment, or worsens after antipsychotic use, should prompt consideration of catatonia. Although clinicians may hesitate to use lorazepam in patients with altered mental status, a positive response to a diagnostic dose is generally interpreted as evidence that treating catatonia is likely to be more beneficial than harmful </w:t>
      </w:r>
      <w:r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Psychopharmacology","type":"article-journal","volume":"37"},"uris":["http://www.mendeley.com/documents/?uuid=50908e9f-a212-31f8-b878-e18e2f87236c"]},{"id":"ITEM-4","itemData":{"DOI":"10.1176/AJP.149.2.202","ISSN":"0002-953X","PMID":"1734740","abstract":"Objective: Clinical reports over the last 60 years suggest that the amobarbital interview is effective in relieving catatonic symptoms. This has never been substantiated with methodologically sound trials. The authors postulated that a randomized blind comparison of intravenous amobarbital and saline would demonstrate the superiority of amobarbital in relieving catatonic mutism. Method: The subjects were 20 inpatients with catatonic mutism. They were randomly assigned to either saline (N=l 0) or a 5% amobarbital solution (N=10), and the infusions were administered intravenously at a rate of 1 cc/min or less over 10 minutes by a blinded physician. A second blinded physician administered a semistructured interview during the infusion to control for the effect of suggestion. A third blinded physician rated patient responsiveness, reactivity, and arousal. Any patient who was unresponsive to the initial infusion was crossed over to the other infusion. Interviews were videotaped for determination of interrater reliability. Results: In the initial infusions, six of 10 patients responded to amobarbital and zero of 10 responded to saline. Four of the saline nonresponders responded when given amobarbital. Response was evident by the 4th minute of the amobarbital infusion. Interrater reliability was high. The responders and nonresponders differed significantly in the variance of the weight-adjusted amobarbital dose, and the responders tended to be older and female. Conclusions: Intravenous amobarbital is superior to saline in relieving catatonic mutism, although only 50% of these patients responded. The nonresponders were distinguished from the responders by a greater variance in the weight-adjusted dose of amobarbital.","author":[{"dropping-particle":"","family":"McCall","given":"William Vaughn","non-dropping-particle":"","parse-names":false,"suffix":""},{"dropping-particle":"","family":"Shelp","given":"Frank E.","non-dropping-particle":"","parse-names":false,"suffix":""},{"dropping-particle":"","family":"McDonald","given":"William M.","non-dropping-particle":"","parse-names":false,"suffix":""}],"container-title":"The American journal of psychiatry","id":"ITEM-4","issue":"2","issued":{"date-parts":[["1992","1","1"]]},"page":"202-206","publisher":"Am J Psychiatry","title":"Controlled investigation of the amobarbital interview for catatonic mutism","type":"article-journal","volume":"149"},"uris":["http://www.mendeley.com/documents/?uuid=940af341-f1f8-30f0-b407-6a25f5250d05"]}],"mendeley":{"formattedCitation":"(2,3,56,85)","plainTextFormattedCitation":"(2,3,56,85)","previouslyFormattedCitation":"(2,3,56,85)"},"properties":{"noteIndex":0},"schema":"https://github.com/citation-style-language/schema/raw/master/csl-citation.json"}</w:instrText>
      </w:r>
      <w:r w:rsidRPr="00677ACC">
        <w:fldChar w:fldCharType="separate"/>
      </w:r>
      <w:r w:rsidR="00EF1C44" w:rsidRPr="00EF1C44">
        <w:rPr>
          <w:noProof/>
        </w:rPr>
        <w:t>(2,3,56,85)</w:t>
      </w:r>
      <w:r w:rsidRPr="00677ACC">
        <w:fldChar w:fldCharType="end"/>
      </w:r>
      <w:r w:rsidR="008104FC">
        <w:t>.</w:t>
      </w:r>
      <w:r w:rsidRPr="00677ACC">
        <w:t xml:space="preserve"> </w:t>
      </w:r>
    </w:p>
    <w:p w14:paraId="04C12482" w14:textId="0884DEBF" w:rsidR="006C39C1" w:rsidRPr="00677ACC" w:rsidRDefault="006C39C1" w:rsidP="00677ACC">
      <w:pPr>
        <w:spacing w:before="100" w:beforeAutospacing="1" w:after="100" w:afterAutospacing="1" w:line="480" w:lineRule="auto"/>
        <w:outlineLvl w:val="2"/>
      </w:pPr>
      <w:r w:rsidRPr="00677ACC">
        <w:t xml:space="preserve">As with any intervention in serious illness, these decisions must be guided by clinical judgment and grounded in context. Factors such as age, frailty, comorbid substance use, overall prognosis, and patient values should all shape the approach. While not without risk, a single diagnostic dose </w:t>
      </w:r>
      <w:r w:rsidRPr="00677ACC">
        <w:lastRenderedPageBreak/>
        <w:t xml:space="preserve">of lorazepam is often well tolerated, and when clinical suspicion is moderate to high, the potential benefit of identifying and treating catatonia </w:t>
      </w:r>
      <w:r w:rsidR="00A91E00" w:rsidRPr="00677ACC">
        <w:t xml:space="preserve">likely </w:t>
      </w:r>
      <w:r w:rsidRPr="00677ACC">
        <w:t>outweigh</w:t>
      </w:r>
      <w:r w:rsidR="001A0F74" w:rsidRPr="00677ACC">
        <w:t>s</w:t>
      </w:r>
      <w:r w:rsidRPr="00677ACC">
        <w:t xml:space="preserve"> the risks</w:t>
      </w:r>
      <w:r w:rsidR="000D19D3" w:rsidRPr="00677ACC">
        <w:t xml:space="preserve"> </w:t>
      </w:r>
      <w:r w:rsidR="000D19D3"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Psychopharmacology","type":"article-journal","volume":"37"},"uris":["http://www.mendeley.com/documents/?uuid=50908e9f-a212-31f8-b878-e18e2f87236c"]},{"id":"ITEM-4","itemData":{"DOI":"10.1176/AJP.149.2.202","ISSN":"0002-953X","PMID":"1734740","abstract":"Objective: Clinical reports over the last 60 years suggest that the amobarbital interview is effective in relieving catatonic symptoms. This has never been substantiated with methodologically sound trials. The authors postulated that a randomized blind comparison of intravenous amobarbital and saline would demonstrate the superiority of amobarbital in relieving catatonic mutism. Method: The subjects were 20 inpatients with catatonic mutism. They were randomly assigned to either saline (N=l 0) or a 5% amobarbital solution (N=10), and the infusions were administered intravenously at a rate of 1 cc/min or less over 10 minutes by a blinded physician. A second blinded physician administered a semistructured interview during the infusion to control for the effect of suggestion. A third blinded physician rated patient responsiveness, reactivity, and arousal. Any patient who was unresponsive to the initial infusion was crossed over to the other infusion. Interviews were videotaped for determination of interrater reliability. Results: In the initial infusions, six of 10 patients responded to amobarbital and zero of 10 responded to saline. Four of the saline nonresponders responded when given amobarbital. Response was evident by the 4th minute of the amobarbital infusion. Interrater reliability was high. The responders and nonresponders differed significantly in the variance of the weight-adjusted amobarbital dose, and the responders tended to be older and female. Conclusions: Intravenous amobarbital is superior to saline in relieving catatonic mutism, although only 50% of these patients responded. The nonresponders were distinguished from the responders by a greater variance in the weight-adjusted dose of amobarbital.","author":[{"dropping-particle":"","family":"McCall","given":"William Vaughn","non-dropping-particle":"","parse-names":false,"suffix":""},{"dropping-particle":"","family":"Shelp","given":"Frank E.","non-dropping-particle":"","parse-names":false,"suffix":""},{"dropping-particle":"","family":"McDonald","given":"William M.","non-dropping-particle":"","parse-names":false,"suffix":""}],"container-title":"The American journal of psychiatry","id":"ITEM-4","issue":"2","issued":{"date-parts":[["1992","1","1"]]},"page":"202-206","publisher":"Am J Psychiatry","title":"Controlled investigation of the amobarbital interview for catatonic mutism","type":"article-journal","volume":"149"},"uris":["http://www.mendeley.com/documents/?uuid=940af341-f1f8-30f0-b407-6a25f5250d05"]}],"mendeley":{"formattedCitation":"(2,3,56,85)","plainTextFormattedCitation":"(2,3,56,85)","previouslyFormattedCitation":"(2,3,56,85)"},"properties":{"noteIndex":0},"schema":"https://github.com/citation-style-language/schema/raw/master/csl-citation.json"}</w:instrText>
      </w:r>
      <w:r w:rsidR="000D19D3" w:rsidRPr="00677ACC">
        <w:fldChar w:fldCharType="separate"/>
      </w:r>
      <w:r w:rsidR="00EF1C44" w:rsidRPr="00EF1C44">
        <w:rPr>
          <w:noProof/>
        </w:rPr>
        <w:t>(2,3,56,85)</w:t>
      </w:r>
      <w:r w:rsidR="000D19D3" w:rsidRPr="00677ACC">
        <w:fldChar w:fldCharType="end"/>
      </w:r>
      <w:r w:rsidR="008104FC">
        <w:t>.</w:t>
      </w:r>
      <w:r w:rsidR="000D19D3" w:rsidRPr="00677ACC">
        <w:t xml:space="preserve">  </w:t>
      </w:r>
    </w:p>
    <w:p w14:paraId="183205D6" w14:textId="7905050F" w:rsidR="00ED4016" w:rsidRPr="00677ACC" w:rsidRDefault="00ED4016" w:rsidP="00677ACC">
      <w:pPr>
        <w:spacing w:before="100" w:beforeAutospacing="1" w:after="100" w:afterAutospacing="1" w:line="480" w:lineRule="auto"/>
        <w:outlineLvl w:val="2"/>
        <w:rPr>
          <w:b/>
          <w:bCs/>
        </w:rPr>
      </w:pPr>
      <w:r w:rsidRPr="00677ACC">
        <w:rPr>
          <w:b/>
          <w:bCs/>
        </w:rPr>
        <w:t>Prognostication and Medical Decision-Making</w:t>
      </w:r>
    </w:p>
    <w:p w14:paraId="1A382569" w14:textId="6C0B219C" w:rsidR="003251BD" w:rsidRPr="00677ACC" w:rsidRDefault="003251BD" w:rsidP="00677ACC">
      <w:pPr>
        <w:spacing w:before="100" w:beforeAutospacing="1" w:after="100" w:afterAutospacing="1" w:line="480" w:lineRule="auto"/>
      </w:pPr>
      <w:r w:rsidRPr="00677ACC">
        <w:t xml:space="preserve">Prognostication is a core skill in PC, essential for guiding medical decisions and aligning treatments with patient values </w:t>
      </w:r>
      <w:r w:rsidRPr="00677ACC">
        <w:fldChar w:fldCharType="begin" w:fldLock="1"/>
      </w:r>
      <w:r w:rsidR="00EF1C44">
        <w:instrText>ADDIN CSL_CITATION {"citationItems":[{"id":"ITEM-1","itemData":{"DOI":"10.7861/CLINMEDICINE.19-4-306","ISSN":"1473-4893","PMID":"31308109","abstract":"An accurate prognosis about how long a terminally ill patient has left to live, when disclosed sensitively in open discussions, can facilitate patient-centred care and shared decision making. In addition, several guidelines, policies and funding streams rely, to some extent, on a clinician estimated prognosis. However, clinician predictions alone have been shown to be unreliable and over-optimistic. The factors underlying clinicians’ prognostic decisions (particularly at the very end of life) are beginning to be elucidated. As an alternative to clinicians’ subjective estimates, a number of prognostic algorithms and scores have been developed and validated, but only a few have consistently shown superiority to clinician predictions. Therefore, an element of uncertainty remains and this needs to be acknowledged when having conversations with patients and their families. Guidelines are available to advise clinicians about how to prepare for, participate in and record prognostic conversations.","author":[{"dropping-particle":"","family":"Chu","given":"Christina","non-dropping-particle":"","parse-names":false,"suffix":""},{"dropping-particle":"","family":"White","given":"Nicola","non-dropping-particle":"","parse-names":false,"suffix":""},{"dropping-particle":"","family":"Stone","given":"Paddy","non-dropping-particle":"","parse-names":false,"suffix":""}],"container-title":"Clinical medicine (London, England)","id":"ITEM-1","issue":"4","issued":{"date-parts":[["2019"]]},"page":"306-310","publisher":"Clin Med (Lond)","title":"Prognostication in palliative care","type":"article-journal","volume":"19"},"uris":["http://www.mendeley.com/documents/?uuid=67cf0cad-1126-3bdc-b5b6-271ee9b457e6"]},{"id":"ITEM-2","itemData":{"DOI":"10.1089/JPM.2022.0254","ISSN":"15577740","PMID":"35913475","author":[{"dropping-particle":"","family":"Patel","given":"Divya","non-dropping-particle":"","parse-names":false,"suffix":""},{"dropping-particle":"","family":"Marks","given":"Sean","non-dropping-particle":"","parse-names":false,"suffix":""}],"container-title":"https://home.liebertpub.com/jpm","id":"ITEM-2","issue":"8","issued":{"date-parts":[["2022","7","27"]]},"page":"1311-1312","publisher":" Mary Ann Liebert, Inc., publishers  140 Huguenot Street, 3rd Floor New Rochelle, NY 10801 USA  ","title":"Palliative Prognostic Index #444","type":"article-journal","volume":"25"},"uris":["http://www.mendeley.com/documents/?uuid=54b07029-e31d-3812-bb1a-447156b48f0d"]},{"id":"ITEM-3","itemData":{"DOI":"10.1089/JPM.2018.0431","ISSN":"15577740","PMID":"30179523","abstract":"Abstract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E.","non-dropping-particle":"","parse-names":false,"suffix":""}],"container-title":"https://home.liebertpub.com/jpm","id":"ITEM-3","issue":"12","issued":{"date-parts":[["2018","12","14"]]},"page":"1684-1689","publisher":"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Edition","type":"article-journal","volume":"21"},"uris":["http://www.mendeley.com/documents/?uuid=4a982ea8-5564-37fd-bca9-d26596587414"]},{"id":"ITEM-4","itemData":{"DOI":"10.1136/BMJ.320.7233.469","ISSN":"0959-8138","PMID":"10678857","abstract":"Objective. To describe doctors' prognostic accuracy in terminally ill patients and to evaluate the determinants of that accuracy. Design. Prospective cohort study. Setting. Five outpatient hospice programmes in Chicago. Participants. 343 doctors provided survival estimates for 468 terminally ill patients at the time of hospice referral. Main outcome measures. Patients' estimated and actual survival. Results. Median survival was 24 days. Only 20% (92/468) of predictions were accurate (within 33% of actual survival); 63% (295/468) were overoptimistic and 17% (81/468) were overpessimistic. Overall, doctors overestimated survival by a factor of 5.3. Few patient or doctor characteristics were associated with prognostic accuracy. Male patients were 58% less likely to have overpessimistic predictions. Non-oncology medical specialists were 326% more likely than general internists to make overpessimistic predictions. Doctors in the upper quartile of practice experience were the most accurate. As duration of doctor-patient relationship increased and time since last contact decreased, prognostic accuracy decreased. Conclusion. Doctors are inaccurate in their prognoses for terminally ill patients and the error is systematically optimistic. The inaccuracy is, in general, not restricted to certain kinds of doctors or patients. These phenomena may be adversely affecting the quality of care given to patients near the end of life.","author":[{"dropping-particle":"","family":"Christakis","given":"Nicholas A.","non-dropping-particle":"","parse-names":false,"suffix":""},{"dropping-particle":"","family":"Lamont","given":"Elizabeth B.","non-dropping-particle":"","parse-names":false,"suffix":""}],"container-title":"BMJ (Clinical research ed.)","id":"ITEM-4","issue":"7233","issued":{"date-parts":[["2000","2","19"]]},"page":"469-472","publisher":"BMJ","title":"Extent and determinants of error in doctors' prognoses in terminally ill patients: prospective cohort study","type":"article-journal","volume":"320"},"uris":["http://www.mendeley.com/documents/?uuid=10e9b559-561f-39a9-a071-d96dce617442"]},{"id":"ITEM-5","itemData":{"DOI":"10.1016/J.JPAINSYMMAN.2017.12.488","ISSN":"1873-6513","PMID":"29305320","abstract":"Patients and families facing serious illness often want and need their clinicians to help guide medical decision making by offering a recommendation. Yet clinicians worry that recommendations are not compatible with shared decision making and feel reluctant to offer them. We describe an expert approach to formulating a recommendation using a shared decision-making framework. We offer three steps to formulating a recommendation: 1) evaluate the prognosis and treatment options; 2) understand the range of priorities that are important to your patient given the prognosis; and 3) base your recommendation on the patient's priorities most compatible with the likely prognosis and available treatment options.","author":[{"dropping-particle":"","family":"Jacobsen","given":"Juliet","non-dropping-particle":"","parse-names":false,"suffix":""},{"dropping-particle":"","family":"Blinderman","given":"Craig","non-dropping-particle":"","parse-names":false,"suffix":""},{"dropping-particle":"","family":"Alexander Cole","given":"Corinne","non-dropping-particle":"","parse-names":false,"suffix":""},{"dropping-particle":"","family":"Jackson","given":"Vicki","non-dropping-particle":"","parse-names":false,"suffix":""}],"container-title":"Journal of pain and symptom management","id":"ITEM-5","issue":"4","issued":{"date-parts":[["2018","4","1"]]},"page":"1224-1230","publisher":"J Pain Symptom Manage","title":"\"I'd Recommend …\" How to Incorporate Your Recommendation Into Shared Decision Making for Patients With Serious Illness","type":"article-journal","volume":"55"},"uris":["http://www.mendeley.com/documents/?uuid=c9cb60c7-1e74-33c1-bb3b-57611cb93d13"]}],"mendeley":{"formattedCitation":"(72,86–89)","plainTextFormattedCitation":"(72,86–89)","previouslyFormattedCitation":"(72,86–89)"},"properties":{"noteIndex":0},"schema":"https://github.com/citation-style-language/schema/raw/master/csl-citation.json"}</w:instrText>
      </w:r>
      <w:r w:rsidRPr="00677ACC">
        <w:fldChar w:fldCharType="separate"/>
      </w:r>
      <w:r w:rsidR="00EF1C44" w:rsidRPr="00EF1C44">
        <w:rPr>
          <w:noProof/>
        </w:rPr>
        <w:t>(72,86–89)</w:t>
      </w:r>
      <w:r w:rsidRPr="00677ACC">
        <w:fldChar w:fldCharType="end"/>
      </w:r>
      <w:r w:rsidR="008104FC">
        <w:t>.</w:t>
      </w:r>
      <w:r w:rsidRPr="00677ACC">
        <w:t xml:space="preserve"> However, the presence of catatonia can significantly complicate this process.</w:t>
      </w:r>
    </w:p>
    <w:p w14:paraId="52C05544" w14:textId="0C30FBFB" w:rsidR="003251BD" w:rsidRPr="00677ACC" w:rsidRDefault="003251BD" w:rsidP="00677ACC">
      <w:pPr>
        <w:spacing w:before="100" w:beforeAutospacing="1" w:after="100" w:afterAutospacing="1" w:line="480" w:lineRule="auto"/>
      </w:pPr>
      <w:r w:rsidRPr="00677ACC">
        <w:t xml:space="preserve">Although catatonia frequently represents a reversible condition, it may signal a turning point in the trajectory of serious illness, potentially heralding a new central nervous system lesion, systemic infection, psychiatric decompensation, or disease progression </w:t>
      </w:r>
      <w:r w:rsidRPr="00677ACC">
        <w:fldChar w:fldCharType="begin" w:fldLock="1"/>
      </w:r>
      <w:r w:rsidR="00923FC0">
        <w:instrText>ADDIN CSL_CITATION {"citationItems":[{"id":"ITEM-1","itemData":{"DOI":"10.1016/J.PSYM.2018.04.001","ISSN":"1545-7206","PMID":"29776679","abstract":"Objective: The objective of this review is to determine the probability that catatonia in the hospital has a secondary cause (“medical catatonia”) and to calculate the relative proportions of these causes stratified by hospital setting. Methods: PRISMA systematic review of PubMed. Results: Eleven studies were included. Hospital-wide, 20% of catatonia was medical. In acute medical and surgical settings, medical catatonia comprised more than half of cases. At least 80% of older adults seen by consult psychiatry and critically ill patients had a medical cause. Two thirds of medical catatonia involved CNS-specific disease including encephalitis, neural injury, developmental disorders, structural brain pathology, or seizures. Conclusions: Patients in acute medical and surgical settings with catatonia deserve a medical workup that prioritizes CNS etiologies.","author":[{"dropping-particle":"","family":"Oldham","given":"Mark A.","non-dropping-particle":"","parse-names":false,"suffix":""}],"container-title":"Psychosomatics","id":"ITEM-1","issue":"4","issued":{"date-parts":[["2018","7","1"]]},"page":"333-340","publisher":"Psychosomatics","title":"The Probability That Catatonia in the Hospital has a Medical Cause and the Relative Proportions of Its Causes: A Systematic Review","type":"article-journal","volume":"59"},"uris":["http://www.mendeley.com/documents/?uuid=1c40e3ce-cad3-302c-98ef-811e9c14d144"]},{"id":"ITEM-2","itemData":{"DOI":"10.1016/J.JACLP.2024.12.001","ISSN":"2667-2960","PMID":"39662871","abstract":"Background: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Psychiatry","id":"ITEM-2","issued":{"date-parts":[["2024"]]},"publisher":"J Acad Consult Liaison Psychiatry","title":"Palliative Electroconvulsive Therapy: A Descriptive Cohort Study","type":"article-journal"},"uris":["http://www.mendeley.com/documents/?uuid=c1d075d1-af8f-3f1a-91a6-64564dd40c94"]},{"id":"ITEM-3","itemData":{"DOI":"10.1038/s41572-024-00534-w","ISSN":"2056676X","PMID":"39025858","abstract":"Catatonia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Primers","id":"ITEM-3","issue":"1","issued":{"date-parts":[["2024","12","1"]]},"publisher":"Nature Research","title":"Catatonia","type":"article-journal","volume":"10"},"uris":["http://www.mendeley.com/documents/?uuid=e8487146-a3a4-304c-8c0e-603ee2666288"]}],"mendeley":{"formattedCitation":"(4,17,26)","plainTextFormattedCitation":"(4,17,26)","previouslyFormattedCitation":"(4,17,26)"},"properties":{"noteIndex":0},"schema":"https://github.com/citation-style-language/schema/raw/master/csl-citation.json"}</w:instrText>
      </w:r>
      <w:r w:rsidRPr="00677ACC">
        <w:fldChar w:fldCharType="separate"/>
      </w:r>
      <w:r w:rsidR="00923FC0" w:rsidRPr="00923FC0">
        <w:rPr>
          <w:noProof/>
        </w:rPr>
        <w:t>(4,17,26)</w:t>
      </w:r>
      <w:r w:rsidRPr="00677ACC">
        <w:fldChar w:fldCharType="end"/>
      </w:r>
      <w:r w:rsidR="008104FC">
        <w:t>.</w:t>
      </w:r>
      <w:r w:rsidRPr="00677ACC">
        <w:t xml:space="preserve"> In some cases, it reflects irreversible decline, such as cancer advancement or a new stroke, with major implications for prognosis.</w:t>
      </w:r>
    </w:p>
    <w:p w14:paraId="43FBDFEC" w14:textId="71A3AE60" w:rsidR="003251BD" w:rsidRPr="00677ACC" w:rsidRDefault="003251BD" w:rsidP="00677ACC">
      <w:pPr>
        <w:spacing w:before="100" w:beforeAutospacing="1" w:after="100" w:afterAutospacing="1" w:line="480" w:lineRule="auto"/>
      </w:pPr>
      <w:r w:rsidRPr="00677ACC">
        <w:t xml:space="preserve">Additionally, catatonia features may independently contribute to medical complications </w:t>
      </w:r>
      <w:r w:rsidRPr="00677ACC">
        <w:fldChar w:fldCharType="begin" w:fldLock="1"/>
      </w:r>
      <w:r w:rsidR="006F169F">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mendeley":{"formattedCitation":"(17)","plainTextFormattedCitation":"(17)","previouslyFormattedCitation":"(17)"},"properties":{"noteIndex":0},"schema":"https://github.com/citation-style-language/schema/raw/master/csl-citation.json"}</w:instrText>
      </w:r>
      <w:r w:rsidRPr="00677ACC">
        <w:fldChar w:fldCharType="separate"/>
      </w:r>
      <w:r w:rsidR="00923FC0" w:rsidRPr="00923FC0">
        <w:rPr>
          <w:noProof/>
        </w:rPr>
        <w:t>(17)</w:t>
      </w:r>
      <w:r w:rsidRPr="00677ACC">
        <w:fldChar w:fldCharType="end"/>
      </w:r>
      <w:r w:rsidR="008104FC">
        <w:t>.</w:t>
      </w:r>
      <w:r w:rsidRPr="00677ACC">
        <w:rPr>
          <w:color w:val="000000"/>
        </w:rPr>
        <w:t xml:space="preserve"> </w:t>
      </w:r>
      <w:r w:rsidRPr="00677ACC">
        <w:t>These factors may worsen outcomes regardless of underlying etiology and should be thoughtfully integrated into prognostic conversations.</w:t>
      </w:r>
    </w:p>
    <w:p w14:paraId="08E4EEAA" w14:textId="77777777" w:rsidR="003251BD" w:rsidRPr="00677ACC" w:rsidRDefault="003251BD" w:rsidP="00677ACC">
      <w:pPr>
        <w:spacing w:before="100" w:beforeAutospacing="1" w:after="100" w:afterAutospacing="1" w:line="480" w:lineRule="auto"/>
      </w:pPr>
      <w:r w:rsidRPr="00677ACC">
        <w:t xml:space="preserve">When catatonia is suspected, diagnostic evaluation should be tailored to the patient’s GOC. For patients pursuing full workup, appropriate studies may include neuroimaging, lumbar puncture with cerebrospinal fluid (CSF) analysis, electroencephalogram (EEG), and laboratory evaluation. For those near the EOL, clinical judgment should weigh the burden and invasiveness of testing against likely yield and therapeutic impact (see </w:t>
      </w:r>
      <w:r w:rsidRPr="00677ACC">
        <w:rPr>
          <w:b/>
          <w:bCs/>
        </w:rPr>
        <w:t>Figure 1</w:t>
      </w:r>
      <w:r w:rsidRPr="00677ACC">
        <w:t>). Shared decision-making, grounded in the patient’s values and informed by clinical context, should guide this process.</w:t>
      </w:r>
    </w:p>
    <w:p w14:paraId="47148323" w14:textId="71C0D3A7" w:rsidR="00ED4016" w:rsidRPr="00677ACC" w:rsidRDefault="00ED4016" w:rsidP="00677ACC">
      <w:pPr>
        <w:spacing w:before="100" w:beforeAutospacing="1" w:after="100" w:afterAutospacing="1" w:line="480" w:lineRule="auto"/>
      </w:pPr>
      <w:r w:rsidRPr="00677ACC">
        <w:lastRenderedPageBreak/>
        <w:t xml:space="preserve">Ultimately, identifying catatonia—even in patients with limited </w:t>
      </w:r>
      <w:r w:rsidR="00A660D6" w:rsidRPr="00677ACC">
        <w:t>life expectancy</w:t>
      </w:r>
      <w:r w:rsidRPr="00677ACC">
        <w:t>—can support prognostication, clearer communication and promote care that remains aligned with the patient’s goals.</w:t>
      </w:r>
    </w:p>
    <w:p w14:paraId="1AB18C9F" w14:textId="77777777" w:rsidR="00E423B7" w:rsidRPr="00677ACC" w:rsidRDefault="00E423B7" w:rsidP="00677ACC">
      <w:pPr>
        <w:spacing w:after="240" w:line="480" w:lineRule="auto"/>
      </w:pPr>
    </w:p>
    <w:p w14:paraId="1F54ED1F" w14:textId="4A9D3875" w:rsidR="00B85CE9" w:rsidRPr="00677ACC" w:rsidRDefault="00BA031B" w:rsidP="00677ACC">
      <w:pPr>
        <w:spacing w:line="480" w:lineRule="auto"/>
        <w:rPr>
          <w:b/>
          <w:bCs/>
        </w:rPr>
      </w:pPr>
      <w:r w:rsidRPr="00677ACC">
        <w:rPr>
          <w:b/>
          <w:bCs/>
        </w:rPr>
        <w:t>Managing Catatonia: Guidance for</w:t>
      </w:r>
      <w:r w:rsidR="00B85CE9" w:rsidRPr="00677ACC">
        <w:rPr>
          <w:b/>
          <w:bCs/>
        </w:rPr>
        <w:t xml:space="preserve"> PC Clinician</w:t>
      </w:r>
    </w:p>
    <w:p w14:paraId="28D6BAD3" w14:textId="77777777" w:rsidR="00B85CE9" w:rsidRPr="00677ACC" w:rsidRDefault="00B85CE9" w:rsidP="00677ACC">
      <w:pPr>
        <w:spacing w:line="480" w:lineRule="auto"/>
        <w:rPr>
          <w:b/>
          <w:bCs/>
        </w:rPr>
      </w:pPr>
    </w:p>
    <w:p w14:paraId="44438F61" w14:textId="4B56C900" w:rsidR="00B85CE9" w:rsidRPr="00677ACC" w:rsidRDefault="008E043C" w:rsidP="00677ACC">
      <w:pPr>
        <w:spacing w:line="480" w:lineRule="auto"/>
      </w:pPr>
      <w:r w:rsidRPr="00677ACC">
        <w:t xml:space="preserve">No specific guidelines are available for PC </w:t>
      </w:r>
      <w:r w:rsidR="00B85CE9" w:rsidRPr="00677ACC">
        <w:t xml:space="preserve">clinicians working at the intersection of catatonia and serious illness </w:t>
      </w:r>
      <w:r w:rsidR="00B85CE9" w:rsidRPr="00677ACC">
        <w:fldChar w:fldCharType="begin" w:fldLock="1"/>
      </w:r>
      <w:r w:rsidR="00EF1C44">
        <w:instrText>ADDIN CSL_CITATION {"citationItems":[{"id":"ITEM-1","itemData":{"DOI":"10.1177/02698811231158232","abstract":"The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Psychopharmacol","id":"ITEM-1","issue":"4","issued":{"date-parts":[["2023"]]},"page":"327-369","publisher-place":"Institute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-2","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-2","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-3","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Psychiatry","id":"ITEM-3","issue":"2","issued":{"date-parts":[["2018"]]},"page":"140-155","title":"Catatonia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-4","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Psychiatry","id":"ITEM-4","issued":{"date-parts":[["2025","5"]]},"publisher":"J Acad Consult Liaison Psychiatry","title":"Catatonia: American Psychiatric Association Resource Document","type":"article-journal"},"uris":["http://www.mendeley.com/documents/?uuid=b7c7ad32-5717-372a-8e09-9fa63156a01e"]}],"mendeley":{"formattedCitation":"(2,3,50,56)","plainTextFormattedCitation":"(2,3,50,56)","previouslyFormattedCitation":"(2,3,50,56)"},"properties":{"noteIndex":0},"schema":"https://github.com/citation-style-language/schema/raw/master/csl-citation.json"}</w:instrText>
      </w:r>
      <w:r w:rsidR="00B85CE9" w:rsidRPr="00677ACC">
        <w:fldChar w:fldCharType="separate"/>
      </w:r>
      <w:r w:rsidR="006F585C" w:rsidRPr="006F585C">
        <w:rPr>
          <w:noProof/>
        </w:rPr>
        <w:t>(2,3,50,56)</w:t>
      </w:r>
      <w:r w:rsidR="00B85CE9" w:rsidRPr="00677ACC">
        <w:fldChar w:fldCharType="end"/>
      </w:r>
      <w:r w:rsidR="008104FC">
        <w:t>.</w:t>
      </w:r>
      <w:r w:rsidR="00B85CE9" w:rsidRPr="00677ACC">
        <w:t xml:space="preserve">  Likewise, no published recommendations define the specific role of PC clinicians in the recognition, assessment, or management of catatonia.</w:t>
      </w:r>
      <w:r w:rsidRPr="00677ACC">
        <w:t xml:space="preserve"> </w:t>
      </w:r>
      <w:r w:rsidR="00886ADC" w:rsidRPr="00677ACC">
        <w:rPr>
          <w:b/>
          <w:bCs/>
        </w:rPr>
        <w:t>Figure 2</w:t>
      </w:r>
      <w:r w:rsidR="00886ADC" w:rsidRPr="00677ACC">
        <w:t xml:space="preserve"> provides targeted guidance for PC clinicians on treating catatonia in patients with serious illness, with particular attention to the added complexity of factors such as older age, frailty, polypharmacy, substance use, and medical comorbidities—all of which can impact the risks and benefits of treatment</w:t>
      </w:r>
      <w:r w:rsidR="00B85CE9" w:rsidRPr="00677ACC">
        <w:t xml:space="preserve"> </w:t>
      </w:r>
      <w:r w:rsidR="00886ADC"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Psychiatry","id":"ITEM-3","issued":{"date-parts":[["2025","5"]]},"publisher":"J Acad Consult Liaison Psychiatry","title":"Catatonia: American Psychiatric Association Resource Document","type":"article-journal"},"uris":["http://www.mendeley.com/documents/?uuid=b7c7ad32-5717-372a-8e09-9fa63156a01e"]},{"id":"ITEM-4","itemData":{"DOI":"10.1161/HCQ.0000000000000131/SUPPL_FILE/DI","ISSN":"19417705","PMID":"38946532","abstract":"Cardiovascular disease exacts a heavy toll on health and quality of life and is the leading cause of death among people ≥65 years of age. Although medical, surgical, and device therapies can certainly prolong a life span, disease progression from chronic to advanced to end stage is temporally unpredictable, uncertain, and marked by worsening symptoms that result in recurrent hospitalizations and excessive health care use. Compared with other serious illnesses, medication management that incorporates a palliative approach is underused among individuals with cardiovascular disease. This scientific statement describes palliative pharmacotherapy inclusive of cardiovascular drugs and essential palliative medicines that work synergistically to control symptoms and enhance quality of life. We also summarize and clarify available evidence on the utility of guideline-directed and evidence-based medical therapies in individuals with end-stage heart failure, pulmonary arterial hypertension, coronary heart disease, and other cardiomyopathies while providing clinical considerations for de-escalating or deprescribing. Shared decision-making and goal-oriented care are emphasized and considered quintessential to the iterative process of patient-centered medication management across the spectrum of cardiovascular disease.","author":[{"dropping-particle":"","family":"Palo","given":"Katherine E.","non-dropping-particle":"Di","parse-names":false,"suffix":""},{"dropping-particle":"","family":"Feder","given":"Shelli","non-dropping-particle":"","parse-names":false,"suffix":""},{"dropping-particle":"","family":"Baggenstos","given":"Yleana T.","non-dropping-particle":"","parse-names":false,"suffix":""},{"dropping-particle":"","family":"Cornelio","given":"Cyrille K.","non-dropping-particle":"","parse-names":false,"suffix":""},{"dropping-particle":"","family":"Forman","given":"Daniel E.","non-dropping-particle":"","parse-names":false,"suffix":""},{"dropping-particle":"","family":"Goyal","given":"Parag","non-dropping-particle":"","parse-names":false,"suffix":""},{"dropping-particle":"","family":"Kwak","given":"Min Ji","non-dropping-particle":"","parse-names":false,"suffix":""},{"dropping-particle":"","family":"McIlvennan","given":"Colleen K.","non-dropping-particle":"","parse-names":false,"suffix":""}],"container-title":"Circulation: Cardiovascular Quality and Outcomes","id":"ITEM-4","issue":"8","issued":{"date-parts":[["2024","8","1"]]},"page":"e000131","publisher":"Lippincott Williams and Wilkins","title":"Palliative Pharmacotherapy for Cardiovascular Disease: A Scientific Statement From the American Heart Association","type":"article-journal","volume":"17"},"uris":["http://www.mendeley.com/documents/?uuid=c960034f-35e0-39e9-956a-5824f2c94158"]},{"id":"ITEM-5","itemData":{"DOI":"10.1089/JPM.2018.0431","ISSN":"15577740","PMID":"30179523","abstract":"Abstract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E.","non-dropping-particle":"","parse-names":false,"suffix":""}],"container-title":"https://home.liebertpub.com/jpm","id":"ITEM-5","issue":"12","issued":{"date-parts":[["2018","12","14"]]},"page":"1684-1689","publisher":"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(2,3,50,72,90)","plainTextFormattedCitation":"(2,3,50,72,90)","previouslyFormattedCitation":"(2,3,50,72,90)"},"properties":{"noteIndex":0},"schema":"https://github.com/citation-style-language/schema/raw/master/csl-citation.json"}</w:instrText>
      </w:r>
      <w:r w:rsidR="00886ADC" w:rsidRPr="00677ACC">
        <w:fldChar w:fldCharType="separate"/>
      </w:r>
      <w:r w:rsidR="00EF1C44" w:rsidRPr="00EF1C44">
        <w:rPr>
          <w:noProof/>
        </w:rPr>
        <w:t>(2,3,50,72,90)</w:t>
      </w:r>
      <w:r w:rsidR="00886ADC" w:rsidRPr="00677ACC">
        <w:fldChar w:fldCharType="end"/>
      </w:r>
      <w:r w:rsidR="008104FC">
        <w:t>.</w:t>
      </w:r>
    </w:p>
    <w:p w14:paraId="6EE0551A" w14:textId="297142F9" w:rsidR="00B85CE9" w:rsidRPr="00677ACC" w:rsidRDefault="00C425D2" w:rsidP="00677ACC">
      <w:pPr>
        <w:pStyle w:val="NormalWeb"/>
        <w:spacing w:line="480" w:lineRule="auto"/>
      </w:pPr>
      <w:r w:rsidRPr="00677ACC">
        <w:t>PC clinicians are more likely to encounter CAMC, which may be less responsive than CAMD to standard treatments like benzodiazepines. When the underlying etiology is potentially treatable, PC clinicians can encourage early identification and intervention. When the cause requires complex interventions like artificial nutrition, dialysis, or surgery, PC teams can help patients and families navigate those decisions within a GOC framework</w:t>
      </w:r>
      <w:r w:rsidR="008104FC">
        <w:t xml:space="preserve"> </w:t>
      </w:r>
      <w:r w:rsidR="00B85CE9" w:rsidRPr="00677ACC">
        <w:fldChar w:fldCharType="begin" w:fldLock="1"/>
      </w:r>
      <w:r w:rsidR="00EF1C44">
        <w:instrText>ADDIN CSL_CITATION {"citationItems":[{"id":"ITEM-1","itemData":{"DOI":"10.1016/J.PSYCHRES.2016.04.105","ISSN":"1872-7123","PMID":"27156025","abstract":"Catatonia is a syndrome of motor and psychological disturbances, which is accompanied by blood stasis that increases the risk of deep vein thrombosis (DVT). The aim of this study was to examine the incidence of DVT in catatonic patients in comparison to that in non-catatonic physically restrained patients. We conducted a chart review of involuntarily hospitalized patients from 2010 to 2013 at Sakuragaoka Memorial Hospital in Japan. Routine screening of DVT has been conducted for catatonic patients and restrained patients in this hospital. Catatonic patients were identified based on descriptions of charts and sorted to two subtypes (i.e. retarded and excited forms). A Doppler ultrasound scanning was performed to examine the presence of DVT. The incidence of DVT was compared among retarded and excited catatonic patients and non-catatonic restrained patients. There were 79 catatonic patients, of whom 42 were retarded. The incidence of DVT was 25.3% (20/79) in the catatonic patients. The retarded catatonic patients demonstrated a significantly higher incidence rate than the restrained non-catatonic patients (35.7% [15/42] vs. 10.6% [31/272], adjusted OR, 4.47). The incidence of DVT in catatonic patients, especially in the retarded form, was considerably high, which suggests the importance of prophylaxis of DVT.","author":[{"dropping-particle":"","family":"Ishida","given":"Takuto","non-dropping-particle":"","parse-names":false,"suffix":""},{"dropping-particle":"","family":"Sakurai","given":"Hitoshi","non-dropping-particle":"","parse-names":false,"suffix":""},{"dropping-particle":"","family":"Watanabe","given":"Koichiro","non-dropping-particle":"","parse-names":false,"suffix":""},{"dropping-particle":"","family":"Iwashita","given":"Satoru","non-dropping-particle":"","parse-names":false,"suffix":""},{"dropping-particle":"","family":"Mimura","given":"Masaru","non-dropping-particle":"","parse-names":false,"suffix":""},{"dropping-particle":"","family":"Uchida","given":"Hiroyuki","non-dropping-particle":"","parse-names":false,"suffix":""}],"container-title":"Psychiatry research","id":"ITEM-1","issued":{"date-parts":[["2016","7","30"]]},"page":"61-65","publisher":"Psychiatry Res","title":"Incidence of deep vein thrombosis in catatonic patients: A chart review","type":"article-journal","volume":"241"},"uris":["http://www.mendeley.com/documents/?uuid=b4c7e4ee-d34b-34bd-a42b-ce3157647085"]},{"id":"ITEM-2","itemData":{"DOI":"10.4088/JCP.13R08870","ISSN":"01606689","PMID":"25004188","abstract":"Objective: Comprehensive hospital-based care for individuals with catatonia relies on preventive approaches to reduce medical morbidity and mortality. Without syndrome-specific guidelines, psychiatrists must draw from measures used for general medical and surgical inpatients. We employ a prototypical case to highlight medical complications of catatonia and review preventive guidelines for implementation in the inpatient setting. Data Sources: Searches of the PubMed and Ovid databases were conducted from September- November 2013 using keywords relevant to 4 medical complications of catatonia: deep vein thrombosis/pulmonary embolism, pressure ulcers, muscle contractures, and nutritional deficiencies. A complementary general web-browser search was performed to help ensure that unpublished guidelines were considered. Study Selection: A search for deep vein thrombosis/pulmonary embolism guidelines yielded 478 articles that were appraised for relevance, and 6 were chosen for review; the pressure ulcer guideline search yielded 5,665 articles, and 5 were chosen; the muscle contractures guideline search yielded 1,481 articles, and 3 were chosen; and the nutritional deficiencies guideline search yielded 16,937 articles, and 4 were chosen. Data Extraction: Guidelines were reviewed for content and summarized in a manner relevant to the audience. No quantitative analyses were conducted. Results: Guidelines for deep vein thrombosis/pulmonary embolism prophylaxis support use of anticoagulant therapies for patients with catatonia who are at lower risk for acute bleeding. Pressure ulcer prevention hinges on frequent skin evaluation, use of support surfaces, and repositioning. Muscle contracture data are less clear and must be extrapolated from studies of patients with neurologic injuries. Early initiation of enteral nutrition should be considered in patients with prolonged immobility. Conclusions: As medical complications are common with catatonia, implementation of preventive measures is imperative. © Copyright 2014 Physicians Postgraduate Press, Inc.","author":[{"dropping-particle":"","family":"Clinebell","given":"Kimberly","non-dropping-particle":"","parse-names":false,"suffix":""},{"dropping-particle":"","family":"Azzam","given":"Pierre N.","non-dropping-particle":"","parse-names":false,"suffix":""},{"dropping-particle":"","family":"Gopalan","given":"Priya","non-dropping-particle":"","parse-names":false,"suffix":""},{"dropping-particle":"","family":"Haskett","given":"Roger","non-dropping-particle":"","parse-names":false,"suffix":""}],"container-title":"Journal of Clinical Psychiatry","id":"ITEM-2","issue":"6","issued":{"date-parts":[["2014"]]},"page":"644-651","publisher":"Physicians Postgraduate Press Inc.","title":"Guidelines for preventing common medical complications of catatonia: Case report and literature review","type":"article-journal","volume":"75"},"uris":["http://www.mendeley.com/documents/?uuid=3b657238-de80-35ce-b8ed-05b5811c2d25"]},{"id":"ITEM-3","itemData":{"DOI":"10.1016/j.ajmo.2023.100059","ISSN":"2667-0364","PMID":"39035239","abstract":"BACKGROUND Catatonia is a complex psychomotor syndrome commonly associated with psychiatric disorders. However, hospitalists encounter this condition on medical floors, where it is typically due to an underlying medical, especially neurological, etiology. Delays in the diagnosis of catatonia are common and lead to worsened outcomes for patients, including a multitude of medical complications, such as venous thromboembolism and stasis ulcers. Catatonia due to a medical condition is less likely to respond to benzodiazepine therapy; identification and treatment of the underlying cause is crucial. METHODS This article provides a practical review of the catatonia literature, with a focus on diagnosis, workup, and management of catatonia for patients admitted to medical hospitals. CONCLUSIONS With greater knowledge about catatonia, internists are uniquely positioned to recognize and initiate treatment.","author":[{"dropping-particle":"","family":"Smith","given":"Alyssa C","non-dropping-particle":"","parse-names":false,"suffix":""},{"dropping-particle":"","family":"Holmes","given":"Emily G","non-dropping-particle":"","parse-names":false,"suffix":""}],"container-title":"American journal of medicine open","id":"ITEM-3","issued":{"date-parts":[["2023","12"]]},"page":"100059","publisher":"Elsevier BV","title":"Catatonia: A Narrative Review for Hospitalists.","type":"article-journal","volume":"10"},"uris":["http://www.mendeley.com/documents/?uuid=ad166c68-95ef-3925-ab82-55fef7b17120"]},{"id":"ITEM-4","itemData":{"DOI":"10.1089/JPM.2018.0431","ISSN":"15577740","PMID":"30179523","abstract":"Abstract Background: The goal of the 4th edition of the National Consensus Project Clinical Practice Guidelines for Quality Palliative Care (NCP Guidelines) is to improve access to quality palliati...","author":[{"dropping-particle":"","family":"Ferrell","given":"Betty R.","non-dropping-particle":"","parse-names":false,"suffix":""},{"dropping-particle":"","family":"Twaddle","given":"Martha L.","non-dropping-particle":"","parse-names":false,"suffix":""},{"dropping-particle":"","family":"Melnick","given":"Amy","non-dropping-particle":"","parse-names":false,"suffix":""},{"dropping-particle":"","family":"Meier","given":"Diane E.","non-dropping-particle":"","parse-names":false,"suffix":""}],"container-title":"https://home.liebertpub.com/jpm","id":"ITEM-4","issue":"12","issued":{"date-parts":[["2018","12","14"]]},"page":"1684-1689","publisher":" Mary Ann Liebert, Inc., publishers  140 Huguenot Street, 3rd Floor New Rochelle, NY 10801 USA  ","title":"National Consensus Project Clinical Practice Guidelines for Quality Palliative Care Guidelines, 4th Edition","type":"article-journal","volume":"21"},"uris":["http://www.mendeley.com/documents/?uuid=4a982ea8-5564-37fd-bca9-d26596587414"]}],"mendeley":{"formattedCitation":"(10,25,68,72)","plainTextFormattedCitation":"(10,25,68,72)","previouslyFormattedCitation":"(10,25,68,72)"},"properties":{"noteIndex":0},"schema":"https://github.com/citation-style-language/schema/raw/master/csl-citation.json"}</w:instrText>
      </w:r>
      <w:r w:rsidR="00B85CE9" w:rsidRPr="00677ACC">
        <w:fldChar w:fldCharType="separate"/>
      </w:r>
      <w:r w:rsidR="00EF1C44" w:rsidRPr="00EF1C44">
        <w:rPr>
          <w:noProof/>
        </w:rPr>
        <w:t>(10,25,68,72)</w:t>
      </w:r>
      <w:r w:rsidR="00B85CE9" w:rsidRPr="00677ACC">
        <w:fldChar w:fldCharType="end"/>
      </w:r>
      <w:r w:rsidR="008104FC">
        <w:t>.</w:t>
      </w:r>
    </w:p>
    <w:p w14:paraId="06DD8614" w14:textId="70A43F0F" w:rsidR="00B85CE9" w:rsidRPr="00677ACC" w:rsidRDefault="00C425D2" w:rsidP="00677ACC">
      <w:pPr>
        <w:pStyle w:val="NormalWeb"/>
        <w:spacing w:line="480" w:lineRule="auto"/>
      </w:pPr>
      <w:r w:rsidRPr="00677ACC">
        <w:t xml:space="preserve">Treatment in the outpatient PC setting poses several challenges. Outpatient access to IV lorazepam, ECT referral, or psychiatric referral is often limited. This may lead to the emergency department, which may not align with the stated GOC. In these cases, we suggest considering a </w:t>
      </w:r>
      <w:r w:rsidRPr="00677ACC">
        <w:lastRenderedPageBreak/>
        <w:t>short-term trial of oral lorazepam or amantadine, with dosing and duration guided by risk-benefit analysis, patient goals, and overall prognosis</w:t>
      </w:r>
      <w:r w:rsidR="008104FC">
        <w:t xml:space="preserve"> </w:t>
      </w:r>
      <w:r w:rsidR="00B85CE9" w:rsidRPr="00677ACC">
        <w:fldChar w:fldCharType="begin" w:fldLock="1"/>
      </w:r>
      <w:r w:rsidR="008104FC">
        <w:instrText>ADDIN CSL_CITATION {"citationItems":[{"id":"ITEM-1","itemData":{"DOI":"10.1016/J.SCHRES.2023.12.019","ISSN":"1573-2509","PMID":"38183961","author":[{"dropping-particle":"","family":"Ferrafiat","given":"Vladimir","non-dropping-particle":"","parse-names":false,"suffix":""},{"dropping-particle":"","family":"Wachtel","given":"Lee","non-dropping-particle":"","parse-names":false,"suffix":""},{"dropping-particle":"","family":"Dhossche","given":"Dirk","non-dropping-particle":"","parse-names":false,"suffix":""},{"dropping-particle":"","family":"Hauptman","given":"Aaron","non-dropping-particle":"","parse-names":false,"suffix":""}],"container-title":"Schizophrenia research","id":"ITEM-1","issued":{"date-parts":[["2024","2","1"]]},"page":"233-235","publisher":"Schizophr Res","title":"Catatonia is an outpatient reality. What do we do now?","type":"article-journal","volume":"264"},"uris":["http://www.mendeley.com/documents/?uuid=d7926fc1-ba57-3642-918a-9828562b8fb4"]}],"mendeley":{"formattedCitation":"(37)","plainTextFormattedCitation":"(37)","previouslyFormattedCitation":"(37)"},"properties":{"noteIndex":0},"schema":"https://github.com/citation-style-language/schema/raw/master/csl-citation.json"}</w:instrText>
      </w:r>
      <w:r w:rsidR="00B85CE9" w:rsidRPr="00677ACC">
        <w:fldChar w:fldCharType="separate"/>
      </w:r>
      <w:r w:rsidR="008104FC" w:rsidRPr="008104FC">
        <w:rPr>
          <w:noProof/>
        </w:rPr>
        <w:t>(37)</w:t>
      </w:r>
      <w:r w:rsidR="00B85CE9" w:rsidRPr="00677ACC">
        <w:fldChar w:fldCharType="end"/>
      </w:r>
      <w:r w:rsidR="008104FC">
        <w:t>.</w:t>
      </w:r>
      <w:r w:rsidR="00B85CE9" w:rsidRPr="00677ACC">
        <w:t xml:space="preserve"> </w:t>
      </w:r>
    </w:p>
    <w:p w14:paraId="3AA19CAA" w14:textId="5502FDAE" w:rsidR="00C425D2" w:rsidRPr="00677ACC" w:rsidRDefault="00C425D2" w:rsidP="00677ACC">
      <w:pPr>
        <w:pStyle w:val="NormalWeb"/>
        <w:spacing w:line="480" w:lineRule="auto"/>
      </w:pPr>
      <w:r w:rsidRPr="00677ACC">
        <w:t>In older adults with serious illness, lower-dose lorazepam (1–2 mg/day in divided doses) is often effective and better tolerated</w:t>
      </w:r>
      <w:r w:rsidR="008104FC">
        <w:t xml:space="preserve"> </w:t>
      </w:r>
      <w:r w:rsidRPr="00677ACC">
        <w:fldChar w:fldCharType="begin" w:fldLock="1"/>
      </w:r>
      <w:r w:rsidR="00EF1C44">
        <w:instrText>ADDIN CSL_CITATION {"citationItems":[{"id":"ITEM-1","itemData":{"DOI":"10.5498/WJP.V12.I2.348","ISSN":"2220-3206","PMID":"35317341","abstract":"BACKGROUND: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psychiatry","id":"ITEM-1","issue":"2","issued":{"date-parts":[["2022","2","19"]]},"page":"348-367","publisher":"World J Psychiatry","title":"Catatonia in older adults: A systematic review","type":"article-journal","volume":"12"},"uris":["http://www.mendeley.com/documents/?uuid=9923c9e9-aeb6-32cb-bb33-8d6e62620444"]}],"mendeley":{"formattedCitation":"(57)","plainTextFormattedCitation":"(57)","previouslyFormattedCitation":"(57)"},"properties":{"noteIndex":0},"schema":"https://github.com/citation-style-language/schema/raw/master/csl-citation.json"}</w:instrText>
      </w:r>
      <w:r w:rsidRPr="00677ACC">
        <w:fldChar w:fldCharType="separate"/>
      </w:r>
      <w:r w:rsidR="006F585C" w:rsidRPr="006F585C">
        <w:rPr>
          <w:noProof/>
        </w:rPr>
        <w:t>(57)</w:t>
      </w:r>
      <w:r w:rsidRPr="00677ACC">
        <w:fldChar w:fldCharType="end"/>
      </w:r>
      <w:r w:rsidR="008104FC">
        <w:t>.</w:t>
      </w:r>
      <w:r w:rsidRPr="00677ACC">
        <w:t xml:space="preserve"> When benzodiazepines are inadequate or poorly tolerated, the PC clinician is encouraged to consider second-line options such as amantadine or memantine </w:t>
      </w:r>
      <w:r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Psychopharmacology","type":"article-journal","volume":"37"},"uris":["http://www.mendeley.com/documents/?uuid=50908e9f-a212-31f8-b878-e18e2f87236c"]},{"id":"ITEM-4","itemData":{"DOI":"10.1016/J.GENHOSPPSYCH.2024.09.005","ISSN":"1873-7714","PMID":"39278010","abstract":"Objective: While the majority of patients with catatonia fully respond to benzodiazepines or ECT, some have a partial or no response. Benzodiazepines may be contraindicated such as when delirium co-exists. This review discusses the utility of NMDA receptor antagonists as alternatives to benzodiazepines in the treatment of catatonia in adults. Methods: A PubMed search adhering to PRISMA guidelines was conducted for articles on NMDA receptor antagonists in catatonia treatment. Results: Thirty-seven articles, including case reports and case series were identified. Amantadine (27 cases in 13 articles) and memantine (20 cases in 14 articles) were the most commonly reported agents. Amantadine, typically used as monotherapy or adjunctive therapy with benzodiazepines, showed quick responses. Memantine, used alone or with lorazepam, demonstrated rapid responses. A small number of cases (5 cases in 4 articles) reported successful use of ketamine and esketamine, highlighting their potential role in catatonia treatment. Conclusion: Despite limitations, NMDA receptor antagonists may be viable options when the patient is partially or not responsive to benzodiazepine, ECT is not available or may not be well tolerated, there is a concern for co-morbid delirium where benzodiazepines may be contraindicated. Further research is needed.","author":[{"dropping-particle":"","family":"Lee","given":"Jeong Hoo","non-dropping-particle":"","parse-names":false,"suffix":""},{"dropping-particle":"","family":"Suzuki","given":"Joji","non-dropping-particle":"","parse-names":false,"suffix":""}],"container-title":"General hospital psychiatry","id":"ITEM-4","issued":{"date-parts":[["2024","11","1"]]},"page":"60-65","publisher":"Gen Hosp Psychiatry","title":"N-methyl-d-aspartate (NMDA) receptor antagonists for treatment of catatonia in adults: Narrative review","type":"article-journal","volume":"91"},"uris":["http://www.mendeley.com/documents/?uuid=7f6be933-27df-3400-a087-481c8f4850be"]}],"mendeley":{"formattedCitation":"(2,3,56,91)","plainTextFormattedCitation":"(2,3,56,91)","previouslyFormattedCitation":"(2,3,56,91)"},"properties":{"noteIndex":0},"schema":"https://github.com/citation-style-language/schema/raw/master/csl-citation.json"}</w:instrText>
      </w:r>
      <w:r w:rsidRPr="00677ACC">
        <w:fldChar w:fldCharType="separate"/>
      </w:r>
      <w:r w:rsidR="00EF1C44" w:rsidRPr="00EF1C44">
        <w:rPr>
          <w:noProof/>
        </w:rPr>
        <w:t>(2,3,56,91)</w:t>
      </w:r>
      <w:r w:rsidRPr="00677ACC">
        <w:fldChar w:fldCharType="end"/>
      </w:r>
      <w:r w:rsidR="008104FC">
        <w:t>.</w:t>
      </w:r>
      <w:r w:rsidRPr="00677ACC">
        <w:t xml:space="preserve"> Though evidence remains limited, the largest case series in older patients suggests both classes can be helpful when initiated conservatively, with attention to minimizing sedation and other adverse effects </w:t>
      </w:r>
      <w:r w:rsidRPr="00677ACC">
        <w:fldChar w:fldCharType="begin" w:fldLock="1"/>
      </w:r>
      <w:r w:rsidR="00EF1C44">
        <w:instrText>ADDIN CSL_CITATION {"citationItems":[{"id":"ITEM-1","itemData":{"DOI":"10.5498/WJP.V12.I2.348","ISSN":"2220-3206","PMID":"35317341","abstract":"BACKGROUND: Catatonia is a complex psychomotor syndrome that often goes unrecognized and untreated, even though its classification has evolved in recent years. Prompt and correct identification of catatonia allows for highly effective treatment and prevention of possible complications. The underrecognition of catatonia in older patients is also frequent, and research in this population is scarce., AIM: To conduct a systematic review of the literature on catatonia in older people to ascertain its clinical characteristics across settings., METHODS: Following the PRISMA guidelines, MEDLINE, EMBASE, and PsycINFO databases were searched from inception to December 2021, with a strategy aimed at identifying all articles published on catatonia in older adults. Titles and abstracts were scanned and selected independently by two authors. Papers investigating issues related to catatonia and/or catatonic symptoms in older people, with English abstracts available, were included. References of selected articles were revised to identify other relevant studies., RESULTS: In total, 1355 articles were retrieved. After removing duplicates, 879 remained. Of the 879 identified abstracts, 669 were excluded because they did not meet the inclusion criteria. A total of 210 articles underwent full text review, and 51 were eliminated for various reasons. Fourteen more articles were selected from the references. Overall, 173 articles were reviewed: 108 case reports, 35 case series, 11 prospective cohort studies, 6 case-control studies, 3 retrospective cohort studies and 10 reviews. We found several particular aspects of catatonia in this population. Catatonia in older patients is highly prevalent and tends to have a multifactorial etiology. Older patients, compared to younger patients, have a higher risk of developing catatonia with benzodiazepine (BZD) withdrawal, in bipolar disorder, and in the general hospital. Age, together with other risk factors, was significantly associated with the incidence of deep venous thrombosis, neuroleptic malignant syndrome poor outcome, other complications and mortality. Treatment with BZDs and electroconvulsive therapy is safe and effective. Prompt treatment of its cause is essential to ensure a good prognosis., CONCLUSION: Catatonia in older patients is highly prevalent and tends to have a multifactorial etiology. The risk of developing catatonia in some settings and conditions, as well as of developing complications, is high in this population.…","author":[{"dropping-particle":"","family":"Jaimes-Albornoz","given":"Walter","non-dropping-particle":"","parse-names":false,"suffix":""},{"dropping-particle":"","family":"Ruiz de Pellon-Santamaria","given":"Angel","non-dropping-particle":"","parse-names":false,"suffix":""},{"dropping-particle":"","family":"Nizama-Vía","given":"Ayar","non-dropping-particle":"","parse-names":false,"suffix":""},{"dropping-particle":"","family":"Isetta","given":"Marco","non-dropping-particle":"","parse-names":false,"suffix":""},{"dropping-particle":"","family":"Albajar","given":"Ines","non-dropping-particle":"","parse-names":false,"suffix":""},{"dropping-particle":"","family":"Serra-Mestres","given":"Jordi","non-dropping-particle":"","parse-names":false,"suffix":""}],"container-title":"World journal of psychiatry","id":"ITEM-1","issue":"2","issued":{"date-parts":[["2022","2","19"]]},"page":"348-367","publisher":"World J Psychiatry","title":"Catatonia in older adults: A systematic review","type":"article-journal","volume":"12"},"uris":["http://www.mendeley.com/documents/?uuid=9923c9e9-aeb6-32cb-bb33-8d6e62620444"]},{"id":"ITEM-2","itemData":{"DOI":"10.1016/J.GENHOSPPSYCH.2024.09.005","ISSN":"1873-7714","PMID":"39278010","abstract":"Objective: While the majority of patients with catatonia fully respond to benzodiazepines or ECT, some have a partial or no response. Benzodiazepines may be contraindicated such as when delirium co-exists. This review discusses the utility of NMDA receptor antagonists as alternatives to benzodiazepines in the treatment of catatonia in adults. Methods: A PubMed search adhering to PRISMA guidelines was conducted for articles on NMDA receptor antagonists in catatonia treatment. Results: Thirty-seven articles, including case reports and case series were identified. Amantadine (27 cases in 13 articles) and memantine (20 cases in 14 articles) were the most commonly reported agents. Amantadine, typically used as monotherapy or adjunctive therapy with benzodiazepines, showed quick responses. Memantine, used alone or with lorazepam, demonstrated rapid responses. A small number of cases (5 cases in 4 articles) reported successful use of ketamine and esketamine, highlighting their potential role in catatonia treatment. Conclusion: Despite limitations, NMDA receptor antagonists may be viable options when the patient is partially or not responsive to benzodiazepine, ECT is not available or may not be well tolerated, there is a concern for co-morbid delirium where benzodiazepines may be contraindicated. Further research is needed.","author":[{"dropping-particle":"","family":"Lee","given":"Jeong Hoo","non-dropping-particle":"","parse-names":false,"suffix":""},{"dropping-particle":"","family":"Suzuki","given":"Joji","non-dropping-particle":"","parse-names":false,"suffix":""}],"container-title":"General hospital psychiatry","id":"ITEM-2","issued":{"date-parts":[["2024","11","1"]]},"page":"60-65","publisher":"Gen Hosp Psychiatry","title":"N-methyl-d-aspartate (NMDA) receptor antagonists for treatment of catatonia in adults: Narrative review","type":"article-journal","volume":"91"},"uris":["http://www.mendeley.com/documents/?uuid=7f6be933-27df-3400-a087-481c8f4850be"]}],"mendeley":{"formattedCitation":"(57,91)","plainTextFormattedCitation":"(57,91)","previouslyFormattedCitation":"(57,91)"},"properties":{"noteIndex":0},"schema":"https://github.com/citation-style-language/schema/raw/master/csl-citation.json"}</w:instrText>
      </w:r>
      <w:r w:rsidRPr="00677ACC">
        <w:fldChar w:fldCharType="separate"/>
      </w:r>
      <w:r w:rsidR="00EF1C44" w:rsidRPr="00EF1C44">
        <w:rPr>
          <w:noProof/>
        </w:rPr>
        <w:t>(57,91)</w:t>
      </w:r>
      <w:r w:rsidRPr="00677ACC">
        <w:fldChar w:fldCharType="end"/>
      </w:r>
      <w:r w:rsidR="008104FC">
        <w:t>.</w:t>
      </w:r>
    </w:p>
    <w:p w14:paraId="2DF54004" w14:textId="571BBB58" w:rsidR="00B85CE9" w:rsidRPr="00677ACC" w:rsidRDefault="00A136D4" w:rsidP="00677ACC">
      <w:pPr>
        <w:pStyle w:val="NormalWeb"/>
        <w:spacing w:line="480" w:lineRule="auto"/>
      </w:pPr>
      <w:r w:rsidRPr="00677ACC">
        <w:t>Prevalence of substance use disorders is high in patients with serious illness. Catatonia often presents in the context of substance intoxication or withdrawal, particularly with substances such as cannabis, cocaine, alcohol, opioids, or benzodiazepines. While no specific guidelines exist to guide management of catatonia in this setting, current guidance generally supports the use of benzodiazepines or ECT as first-line treatment, even in patients with active or recent substance use</w:t>
      </w:r>
      <w:r w:rsidR="00B85CE9" w:rsidRPr="00677ACC">
        <w:t xml:space="preserve"> </w:t>
      </w:r>
      <w:r w:rsidR="00B85CE9" w:rsidRPr="00677ACC">
        <w:fldChar w:fldCharType="begin" w:fldLock="1"/>
      </w:r>
      <w:r w:rsidR="00EF1C44">
        <w:instrText>ADDIN CSL_CITATION {"citationItems":[{"id":"ITEM-1","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-1","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-2","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Psychiatry","id":"ITEM-2","issue":"2","issued":{"date-parts":[["2018"]]},"page":"140-155","title":"Catatonia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Psychopharmacology","type":"article-journal","volume":"37"},"uris":["http://www.mendeley.com/documents/?uuid=50908e9f-a212-31f8-b878-e18e2f87236c"]},{"id":"ITEM-4","itemData":{"DOI":"10.1016/J.GENHOSPPSYCH.2024.09.005","ISSN":"1873-7714","PMID":"39278010","abstract":"Objective: While the majority of patients with catatonia fully respond to benzodiazepines or ECT, some have a partial or no response. Benzodiazepines may be contraindicated such as when delirium co-exists. This review discusses the utility of NMDA receptor antagonists as alternatives to benzodiazepines in the treatment of catatonia in adults. Methods: A PubMed search adhering to PRISMA guidelines was conducted for articles on NMDA receptor antagonists in catatonia treatment. Results: Thirty-seven articles, including case reports and case series were identified. Amantadine (27 cases in 13 articles) and memantine (20 cases in 14 articles) were the most commonly reported agents. Amantadine, typically used as monotherapy or adjunctive therapy with benzodiazepines, showed quick responses. Memantine, used alone or with lorazepam, demonstrated rapid responses. A small number of cases (5 cases in 4 articles) reported successful use of ketamine and esketamine, highlighting their potential role in catatonia treatment. Conclusion: Despite limitations, NMDA receptor antagonists may be viable options when the patient is partially or not responsive to benzodiazepine, ECT is not available or may not be well tolerated, there is a concern for co-morbid delirium where benzodiazepines may be contraindicated. Further research is needed.","author":[{"dropping-particle":"","family":"Lee","given":"Jeong Hoo","non-dropping-particle":"","parse-names":false,"suffix":""},{"dropping-particle":"","family":"Suzuki","given":"Joji","non-dropping-particle":"","parse-names":false,"suffix":""}],"container-title":"General hospital psychiatry","id":"ITEM-4","issued":{"date-parts":[["2024","11","1"]]},"page":"60-65","publisher":"Gen Hosp Psychiatry","title":"N-methyl-d-aspartate (NMDA) receptor antagonists for treatment of catatonia in adults: Narrative review","type":"article-journal","volume":"91"},"uris":["http://www.mendeley.com/documents/?uuid=7f6be933-27df-3400-a087-481c8f4850be"]},{"id":"ITEM-5","itemData":{"DOI":"10.1056/NEJMRA2116304","ISSN":"0028-4793","abstract":"Catatonia,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H.","non-dropping-particle":"","parse-names":false,"suffix":""}],"id":"ITEM-5","issue":"19","issued":{"date-parts":[["2023","11","9"]]},"page":"1797-1802","publisher":"Massachusetts Medical Society","title":"Catatonia","type":"article-journal","volume":"389"},"uris":["http://www.mendeley.com/documents/?uuid=86ece16a-5695-32ea-815c-6d0809c0698a"]}],"mendeley":{"formattedCitation":"(2,3,56,59,91)","plainTextFormattedCitation":"(2,3,56,59,91)","previouslyFormattedCitation":"(2,3,56,59,91)"},"properties":{"noteIndex":0},"schema":"https://github.com/citation-style-language/schema/raw/master/csl-citation.json"}</w:instrText>
      </w:r>
      <w:r w:rsidR="00B85CE9" w:rsidRPr="00677ACC">
        <w:fldChar w:fldCharType="separate"/>
      </w:r>
      <w:r w:rsidR="00EF1C44" w:rsidRPr="00EF1C44">
        <w:rPr>
          <w:noProof/>
        </w:rPr>
        <w:t>(2,3,56,59,91)</w:t>
      </w:r>
      <w:r w:rsidR="00B85CE9" w:rsidRPr="00677ACC">
        <w:fldChar w:fldCharType="end"/>
      </w:r>
      <w:r w:rsidR="008104FC">
        <w:t>.</w:t>
      </w:r>
    </w:p>
    <w:p w14:paraId="51C84DD8" w14:textId="606B8D20" w:rsidR="00B85CE9" w:rsidRPr="00677ACC" w:rsidRDefault="00644C47" w:rsidP="00677ACC">
      <w:pPr>
        <w:pStyle w:val="NormalWeb"/>
        <w:spacing w:line="480" w:lineRule="auto"/>
      </w:pPr>
      <w:r w:rsidRPr="00677ACC">
        <w:t xml:space="preserve">In patients with serious illness, there are multiple barriers to the use of ECT including stigma, hospital infrastructure, legal frameworks, clinician comfort, and concerns about the impact of medical comorbidity. </w:t>
      </w:r>
      <w:r w:rsidR="00B85CE9" w:rsidRPr="00677ACC">
        <w:t xml:space="preserve">While ECT is safe and well-studied, stigma remains a powerful barrier </w:t>
      </w:r>
      <w:r w:rsidR="00B85CE9" w:rsidRPr="00677ACC">
        <w:fldChar w:fldCharType="begin" w:fldLock="1"/>
      </w:r>
      <w:r w:rsidR="00EF1C44">
        <w:instrText>ADDIN CSL_CITATION {"citationItems":[{"id":"ITEM-1","itemData":{"DOI":"10.1097/YCT.0000000000000993","ISSN":"1533-4112","PMID":"38265759","abstract":"Objectives: The objective study was to investigate the safety and efficacy of electroconvulsive therapy (ECT) in a retrospective cohort of pediatric patients. Methods: A single-site retrospective analysis was conducted of patients aged younger than 18 years who received ECT in a private university hospital from January 28, 2012 to April 8, 2023. Treatment efficacy and adverse events were determined retrospectively through review of the medical record. Results: A total of 36 pediatric patients met the inclusion criteria. Catatonia was the most common presenting indication for ECT, followed by psychosis and suicidal ideation. For all patients, Clinical Global Impressions–Improvement scale scores indicated that it was very likely for a subject to experience at least “much improvement” with the estimated probability of receiving a Clinical Global Impressions–Improvement scale score better than 3 of 0.852 (t.s. = 16.3; P &lt; 0.001; 95% confidence interval, 0.711–0.931). All patients with catatonia demonstrated a positive clinical response and experienced a statistically significant reduction in total Bush-Francis Catatonia Rating Scale scores observed (t = 11.9; df = 20; SD = 6.3; P &lt; 0.001; 95% confidence interval, 12.6–17.9). No significant adverse events were reported for any patient in the cohort. However, 14 (38.9%) patients experienced prolonged seizures, all of which were terminated with propofol (mean, 49.7 mg). Conclusions: This study provides further data supporting the safe and effective use of pediatric ECT in the treatment of various psychiatric conditions. However, more research is needed to determine the risk factors associated with prolonged seizures and the optimal seizure parameters in young people.","author":[{"dropping-particle":"","family":"Smith","given":"Joshua R.","non-dropping-particle":"","parse-names":false,"suffix":""},{"dropping-particle":"","family":"Baldwin","given":"Isaac","non-dropping-particle":"","parse-names":false,"suffix":""},{"dropping-particle":"","family":"Termini","given":"Katherine Audrey","non-dropping-particle":"","parse-names":false,"suffix":""},{"dropping-particle":"","family":"McGonigle","given":"Trey","non-dropping-particle":"","parse-names":false,"suffix":""},{"dropping-particle":"","family":"Vandekar","given":"Simon","non-dropping-particle":"","parse-names":false,"suffix":""},{"dropping-particle":"","family":"Luccarelli","given":"James","non-dropping-particle":"","parse-names":false,"suffix":""}],"container-title":"The journal of ECT","id":"ITEM-1","issue":"3","issued":{"date-parts":[["2024","9","1"]]},"page":"154-161","publisher":"J ECT","title":"Use of ECT for Children With and Without Catatonia: A Single-Site Retrospective Analysis","type":"article-journal","volume":"40"},"uris":["http://www.mendeley.com/documents/?uuid=dc9fc2a2-3979-3c3b-8fb6-c6c32a0786b6"]},{"id":"ITEM-2","itemData":{"DOI":"10.1016/J.JAAC.2022.07.850","ISSN":"1527-5418","PMID":"36334892","author":[{"dropping-particle":"","family":"Ong","given":"Michael","non-dropping-particle":"","parse-names":false,"suffix":""},{"dropping-particle":"","family":"Patterson","given":"Emmy","non-dropping-particle":"","parse-names":false,"suffix":""},{"dropping-particle":"","family":"Stewart","given":"Lisa","non-dropping-particle":"","parse-names":false,"suffix":""},{"dropping-particle":"","family":"Pierce","given":"Donald","non-dropping-particle":"","parse-names":false,"suffix":""},{"dropping-particle":"","family":"Smith","given":"Joshua Ryan","non-dropping-particle":"","parse-names":false,"suffix":""}],"container-title":"Journal of the American Academy of Child and Adolescent Psychiatry","id":"ITEM-2","issue":"3","issued":{"date-parts":[["2023","3","1"]]},"page":"279-281","publisher":"J Am Acad Child Adolesc Psychiatry","title":"Morbidity Due to Disparity in Pediatric Electroconvulsive Therapy","type":"article-journal","volume":"62"},"uris":["http://www.mendeley.com/documents/?uuid=27214793-b077-38c1-91d2-5fc3ac6a0e67"]},{"id":"ITEM-3","itemData":{"DOI":"10.1016/J.SCHRES.2024.07.004","ISSN":"1573-2509","PMID":"38986388","abstract":"Objective: Catatonia is a neuropsychiatric disorder associated with changes in behavior and affect. In adults, catatonia can respond rapidly to treatment with benzodiazepines as part of the “lorazepam challenge test.” The acute effectiveness of benzodiazepine treatment in pediatric catatonia, however, has received less study. This study reports catatonia severity as measured by the Bush Francis Catatonia Rating Scale (BFCRS) in pediatric patients before and after treatment with lorazepam. Methods: Multicenter retrospective cohort study from 1/1/2018 to 6/1/2023 of patients aged 18 and younger with a clinical diagnosis of catatonia and assessment using the BFCRS before and after treatment with lorazepam. Results: Among 54 patients, median age was 16, and 26 (48.1 %) were female. Neurodevelopmental disabilities were present in 24 (44.4 %) of patients. Prior to treatment, patients had a mean BFCRS score of 16.6 ± 6.1, which significantly reduced to 9.5 ± 5.3 following treatment with lorazepam (mean paired difference 7.1; t = 9.0, df = 53, p &lt; 0.001), representing a large effect size (Hedges's g = 1.20; 95 % CI: 0.85 to 1.55). No significant association was found between lorazepam dose or route of administration and clinical response, nor were age, sex, study site, the presence of a neurodevelopmental disorder, the presence of hyperactive catatonic features, or the time between treatment and reassessment associated with post-treatment BFCRS. Conclusions: Lorazepam resulted in a rapid improvement in BFCRS score in pediatric patients, with a large effect size. Further research is needed into optimal dosing and route of administration of the lorazepam challenge test in pediatric patients.","author":[{"dropping-particle":"","family":"Luccarelli","given":"James","non-dropping-particle":"","parse-names":false,"suffix":""},{"dropping-particle":"","family":"McCoy","given":"Thomas H.","non-dropping-particle":"","parse-names":false,"suffix":""},{"dropping-particle":"","family":"York","given":"Tasia","non-dropping-particle":"","parse-names":false,"suffix":""},{"dropping-particle":"","family":"Baldwin","given":"Isaac","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R.","non-dropping-particle":"","parse-names":false,"suffix":""}],"container-title":"Schizophrenia research","id":"ITEM-3","issued":{"date-parts":[["2024","8","1"]]},"page":"410-415","publisher":"Schizophr Res","title":"The effectiveness of the lorazepam challenge test in pediatric catatonia: A multisite retrospective cohort study","type":"article-journal","volume":"270"},"uris":["http://www.mendeley.com/documents/?uuid=fbf02a9f-f823-36ba-bd2b-18e54978252c"]},{"id":"ITEM-4","itemData":{"DOI":"10.1177/0004867420968915","ISSN":"1440-1614","PMID":"33124447","abstract":"Objective: Catatonia can be life-threatening unless timely identified and treated. Lorazepam’s ubiquitous response has led to its universal acceptance as being the first-line management of catatonia and alludes to catatonia’s neurobiological underpinnings. Lorazepam challenge test (LCT) is widely used to either confirm a catatonia diagnosis or determine lorazepam sensitivity. It has a proposed schedule for administering lorazepam. However, efficacy of recommended LCT doses lack systematic evidence, resulting in variable LCT doses used in clinical and research settings contributing to findings that are challenging to generalize or assist with developing standardized lorazepam treatment protocols for catatonia. Given the same, this study aimed to objectively compare the response between two groups receiving different LCT doses and factors influencing the same. Methods: The 6-month study in a psychiatric emergency setting at a tertiary neuropsychiatric center in India evaluated 57 catatonia patients, before and after administration of single 2 mg (n = 37; LCT-2) or 4 mg (n = 20; LCT-4) lorazepam dose, applying Bush Francis Catatonia Rating Scale (BFCRS), Mini International Neuropsychiatric Interview (MINI 5.0) and obtaining sociodemographic, clinical data. Results: No between-group differences (LCT-2 vs LCT-4) for sociodemographic, clinical profiles or BFCRS severity score changes to lorazepam on Mann–Whitney U test were noted. Applying Wilcoxon signed rank test comparing individual sign severity demonstrated response variability, with significant response noted to both doses (stupor, mutism, staring, posturing, withdrawal, ambitendency, automatic obedience) and others selectively to 2 mg (echolalia, rigidity, negativism, mitgehen). Notably, sign resolution (present/absent) only to 2 mg was significant for stupor, mutism, staring, posturing, echolalia, rigidity, negativism and mitgehen. Conclusion: This study suggests 2 mg lorazepam may be an optimal LCT dose, given significant response to most catatonic signs thereby ensuring accurate detection and preventing misinterpretation of response. It offers future studies direction for standardizing lorazepam dosing schedules for catatonia management and exploring neurobiological underpinnings for individual catatonic signs that may be potentially different, given these findings.","author":[{"dropping-particle":"","family":"Suchandra","given":"Hari Hara","non-dropping-particle":"","parse-names":false,"suffix":""},{"dropping-particle":"","family":"Reddi","given":"Venkata Senthil Kumar","non-dropping-particle":"","parse-names":false,"suffix":""},{"dropping-particle":"","family":"Aandi Subramaniyam","given":"Bhaskaran","non-dropping-particle":"","parse-names":false,"suffix":""},{"dropping-particle":"","family":"Muliyala","given":"Krishna Prasad","non-dropping-particle":"","parse-names":false,"suffix":""}],"container-title":"The Australian and New Zealand journal of psychiatry","id":"ITEM-4","issue":"10","issued":{"date-parts":[["2021","10","1"]]},"page":"993-1004","publisher":"Aust N Z J Psychiatry","title":"Revisiting lorazepam challenge test: Clinical response with dose variations and utility for catatonia in a psychiatric emergency setting","type":"article-journal","volume":"55"},"uris":["http://www.mendeley.com/documents/?uuid=35628efb-0374-35a7-8d2a-5a45e8d37f2e"]}],"mendeley":{"formattedCitation":"(92–95)","plainTextFormattedCitation":"(92–95)","previouslyFormattedCitation":"(92–95)"},"properties":{"noteIndex":0},"schema":"https://github.com/citation-style-language/schema/raw/master/csl-citation.json"}</w:instrText>
      </w:r>
      <w:r w:rsidR="00B85CE9" w:rsidRPr="00677ACC">
        <w:fldChar w:fldCharType="separate"/>
      </w:r>
      <w:r w:rsidR="00EF1C44" w:rsidRPr="00EF1C44">
        <w:rPr>
          <w:noProof/>
        </w:rPr>
        <w:t>(92–95)</w:t>
      </w:r>
      <w:r w:rsidR="00B85CE9" w:rsidRPr="00677ACC">
        <w:fldChar w:fldCharType="end"/>
      </w:r>
      <w:r w:rsidR="008104FC">
        <w:t>.</w:t>
      </w:r>
      <w:r w:rsidR="00B85CE9" w:rsidRPr="00677ACC">
        <w:t xml:space="preserve"> </w:t>
      </w:r>
      <w:r w:rsidRPr="00677ACC">
        <w:t>Furthermore, n</w:t>
      </w:r>
      <w:r w:rsidR="00B85CE9" w:rsidRPr="00677ACC">
        <w:t xml:space="preserve">early every state imposes legal restrictions on ECT, many of which limit its use to adult patients who can consent for themselves </w:t>
      </w:r>
      <w:r w:rsidR="00B85CE9" w:rsidRPr="00677ACC">
        <w:fldChar w:fldCharType="begin" w:fldLock="1"/>
      </w:r>
      <w:r w:rsidR="00EF1C44">
        <w:instrText>ADDIN CSL_CITATION {"citationItems":[{"id":"ITEM-1","itemData":{"DOI":"10.1097/YCT.0000000000000993","ISSN":"1533-4112","PMID":"38265759","abstract":"Objectives: The objective study was to investigate the safety and efficacy of electroconvulsive therapy (ECT) in a retrospective cohort of pediatric patients. Methods: A single-site retrospective analysis was conducted of patients aged younger than 18 years who received ECT in a private university hospital from January 28, 2012 to April 8, 2023. Treatment efficacy and adverse events were determined retrospectively through review of the medical record. Results: A total of 36 pediatric patients met the inclusion criteria. Catatonia was the most common presenting indication for ECT, followed by psychosis and suicidal ideation. For all patients, Clinical Global Impressions–Improvement scale scores indicated that it was very likely for a subject to experience at least “much improvement” with the estimated probability of receiving a Clinical Global Impressions–Improvement scale score better than 3 of 0.852 (t.s. = 16.3; P &lt; 0.001; 95% confidence interval, 0.711–0.931). All patients with catatonia demonstrated a positive clinical response and experienced a statistically significant reduction in total Bush-Francis Catatonia Rating Scale scores observed (t = 11.9; df = 20; SD = 6.3; P &lt; 0.001; 95% confidence interval, 12.6–17.9). No significant adverse events were reported for any patient in the cohort. However, 14 (38.9%) patients experienced prolonged seizures, all of which were terminated with propofol (mean, 49.7 mg). Conclusions: This study provides further data supporting the safe and effective use of pediatric ECT in the treatment of various psychiatric conditions. However, more research is needed to determine the risk factors associated with prolonged seizures and the optimal seizure parameters in young people.","author":[{"dropping-particle":"","family":"Smith","given":"Joshua R.","non-dropping-particle":"","parse-names":false,"suffix":""},{"dropping-particle":"","family":"Baldwin","given":"Isaac","non-dropping-particle":"","parse-names":false,"suffix":""},{"dropping-particle":"","family":"Termini","given":"Katherine Audrey","non-dropping-particle":"","parse-names":false,"suffix":""},{"dropping-particle":"","family":"McGonigle","given":"Trey","non-dropping-particle":"","parse-names":false,"suffix":""},{"dropping-particle":"","family":"Vandekar","given":"Simon","non-dropping-particle":"","parse-names":false,"suffix":""},{"dropping-particle":"","family":"Luccarelli","given":"James","non-dropping-particle":"","parse-names":false,"suffix":""}],"container-title":"The journal of ECT","id":"ITEM-1","issue":"3","issued":{"date-parts":[["2024","9","1"]]},"page":"154-161","publisher":"J ECT","title":"Use of ECT for Children With and Without Catatonia: A Single-Site Retrospective Analysis","type":"article-journal","volume":"40"},"uris":["http://www.mendeley.com/documents/?uuid=dc9fc2a2-3979-3c3b-8fb6-c6c32a0786b6"]},{"id":"ITEM-2","itemData":{"DOI":"10.1016/J.JAAC.2022.07.850","ISSN":"1527-5418","PMID":"36334892","author":[{"dropping-particle":"","family":"Ong","given":"Michael","non-dropping-particle":"","parse-names":false,"suffix":""},{"dropping-particle":"","family":"Patterson","given":"Emmy","non-dropping-particle":"","parse-names":false,"suffix":""},{"dropping-particle":"","family":"Stewart","given":"Lisa","non-dropping-particle":"","parse-names":false,"suffix":""},{"dropping-particle":"","family":"Pierce","given":"Donald","non-dropping-particle":"","parse-names":false,"suffix":""},{"dropping-particle":"","family":"Smith","given":"Joshua Ryan","non-dropping-particle":"","parse-names":false,"suffix":""}],"container-title":"Journal of the American Academy of Child and Adolescent Psychiatry","id":"ITEM-2","issue":"3","issued":{"date-parts":[["2023","3","1"]]},"page":"279-281","publisher":"J Am Acad Child Adolesc Psychiatry","title":"Morbidity Due to Disparity in Pediatric Electroconvulsive Therapy","type":"article-journal","volume":"62"},"uris":["http://www.mendeley.com/documents/?uuid=27214793-b077-38c1-91d2-5fc3ac6a0e67"]},{"id":"ITEM-3","itemData":{"DOI":"10.1016/J.SCHRES.2024.07.004","ISSN":"1573-2509","PMID":"38986388","abstract":"Objective: Catatonia is a neuropsychiatric disorder associated with changes in behavior and affect. In adults, catatonia can respond rapidly to treatment with benzodiazepines as part of the “lorazepam challenge test.” The acute effectiveness of benzodiazepine treatment in pediatric catatonia, however, has received less study. This study reports catatonia severity as measured by the Bush Francis Catatonia Rating Scale (BFCRS) in pediatric patients before and after treatment with lorazepam. Methods: Multicenter retrospective cohort study from 1/1/2018 to 6/1/2023 of patients aged 18 and younger with a clinical diagnosis of catatonia and assessment using the BFCRS before and after treatment with lorazepam. Results: Among 54 patients, median age was 16, and 26 (48.1 %) were female. Neurodevelopmental disabilities were present in 24 (44.4 %) of patients. Prior to treatment, patients had a mean BFCRS score of 16.6 ± 6.1, which significantly reduced to 9.5 ± 5.3 following treatment with lorazepam (mean paired difference 7.1; t = 9.0, df = 53, p &lt; 0.001), representing a large effect size (Hedges's g = 1.20; 95 % CI: 0.85 to 1.55). No significant association was found between lorazepam dose or route of administration and clinical response, nor were age, sex, study site, the presence of a neurodevelopmental disorder, the presence of hyperactive catatonic features, or the time between treatment and reassessment associated with post-treatment BFCRS. Conclusions: Lorazepam resulted in a rapid improvement in BFCRS score in pediatric patients, with a large effect size. Further research is needed into optimal dosing and route of administration of the lorazepam challenge test in pediatric patients.","author":[{"dropping-particle":"","family":"Luccarelli","given":"James","non-dropping-particle":"","parse-names":false,"suffix":""},{"dropping-particle":"","family":"McCoy","given":"Thomas H.","non-dropping-particle":"","parse-names":false,"suffix":""},{"dropping-particle":"","family":"York","given":"Tasia","non-dropping-particle":"","parse-names":false,"suffix":""},{"dropping-particle":"","family":"Baldwin","given":"Isaac","non-dropping-particle":"","parse-names":false,"suffix":""},{"dropping-particle":"","family":"Fricchione","given":"Gregory","non-dropping-particle":"","parse-names":false,"suffix":""},{"dropping-particle":"","family":"Fuchs","given":"Catherine","non-dropping-particle":"","parse-names":false,"suffix":""},{"dropping-particle":"","family":"Smith","given":"Joshua R.","non-dropping-particle":"","parse-names":false,"suffix":""}],"container-title":"Schizophrenia research","id":"ITEM-3","issued":{"date-parts":[["2024","8","1"]]},"page":"410-415","publisher":"Schizophr Res","title":"The effectiveness of the lorazepam challenge test in pediatric catatonia: A multisite retrospective cohort study","type":"article-journal","volume":"270"},"uris":["http://www.mendeley.com/documents/?uuid=fbf02a9f-f823-36ba-bd2b-18e54978252c"]},{"id":"ITEM-4","itemData":{"DOI":"10.1177/0004867420968915","ISSN":"1440-1614","PMID":"33124447","abstract":"Objective: Catatonia can be life-threatening unless timely identified and treated. Lorazepam’s ubiquitous response has led to its universal acceptance as being the first-line management of catatonia and alludes to catatonia’s neurobiological underpinnings. Lorazepam challenge test (LCT) is widely used to either confirm a catatonia diagnosis or determine lorazepam sensitivity. It has a proposed schedule for administering lorazepam. However, efficacy of recommended LCT doses lack systematic evidence, resulting in variable LCT doses used in clinical and research settings contributing to findings that are challenging to generalize or assist with developing standardized lorazepam treatment protocols for catatonia. Given the same, this study aimed to objectively compare the response between two groups receiving different LCT doses and factors influencing the same. Methods: The 6-month study in a psychiatric emergency setting at a tertiary neuropsychiatric center in India evaluated 57 catatonia patients, before and after administration of single 2 mg (n = 37; LCT-2) or 4 mg (n = 20; LCT-4) lorazepam dose, applying Bush Francis Catatonia Rating Scale (BFCRS), Mini International Neuropsychiatric Interview (MINI 5.0) and obtaining sociodemographic, clinical data. Results: No between-group differences (LCT-2 vs LCT-4) for sociodemographic, clinical profiles or BFCRS severity score changes to lorazepam on Mann–Whitney U test were noted. Applying Wilcoxon signed rank test comparing individual sign severity demonstrated response variability, with significant response noted to both doses (stupor, mutism, staring, posturing, withdrawal, ambitendency, automatic obedience) and others selectively to 2 mg (echolalia, rigidity, negativism, mitgehen). Notably, sign resolution (present/absent) only to 2 mg was significant for stupor, mutism, staring, posturing, echolalia, rigidity, negativism and mitgehen. Conclusion: This study suggests 2 mg lorazepam may be an optimal LCT dose, given significant response to most catatonic signs thereby ensuring accurate detection and preventing misinterpretation of response. It offers future studies direction for standardizing lorazepam dosing schedules for catatonia management and exploring neurobiological underpinnings for individual catatonic signs that may be potentially different, given these findings.","author":[{"dropping-particle":"","family":"Suchandra","given":"Hari Hara","non-dropping-particle":"","parse-names":false,"suffix":""},{"dropping-particle":"","family":"Reddi","given":"Venkata Senthil Kumar","non-dropping-particle":"","parse-names":false,"suffix":""},{"dropping-particle":"","family":"Aandi Subramaniyam","given":"Bhaskaran","non-dropping-particle":"","parse-names":false,"suffix":""},{"dropping-particle":"","family":"Muliyala","given":"Krishna Prasad","non-dropping-particle":"","parse-names":false,"suffix":""}],"container-title":"The Australian and New Zealand journal of psychiatry","id":"ITEM-4","issue":"10","issued":{"date-parts":[["2021","10","1"]]},"page":"993-1004","publisher":"Aust N Z J Psychiatry","title":"Revisiting lorazepam challenge test: Clinical response with dose variations and utility for catatonia in a psychiatric emergency setting","type":"article-journal","volume":"55"},"uris":["http://www.mendeley.com/documents/?uuid=35628efb-0374-35a7-8d2a-5a45e8d37f2e"]}],"mendeley":{"formattedCitation":"(92–95)","plainTextFormattedCitation":"(92–95)","previouslyFormattedCitation":"(92–95)"},"properties":{"noteIndex":0},"schema":"https://github.com/citation-style-language/schema/raw/master/csl-citation.json"}</w:instrText>
      </w:r>
      <w:r w:rsidR="00B85CE9" w:rsidRPr="00677ACC">
        <w:fldChar w:fldCharType="separate"/>
      </w:r>
      <w:r w:rsidR="00EF1C44" w:rsidRPr="00EF1C44">
        <w:rPr>
          <w:noProof/>
        </w:rPr>
        <w:t>(92–95)</w:t>
      </w:r>
      <w:r w:rsidR="00B85CE9" w:rsidRPr="00677ACC">
        <w:fldChar w:fldCharType="end"/>
      </w:r>
      <w:r w:rsidR="008104FC">
        <w:t>.</w:t>
      </w:r>
      <w:r w:rsidR="00B85CE9" w:rsidRPr="00677ACC">
        <w:t xml:space="preserve"> These statutes may prevent its use in patients with catatonia who lack decision-making capacity, even if they have surrogate decision-makers</w:t>
      </w:r>
      <w:r w:rsidR="008104FC">
        <w:t xml:space="preserve"> </w:t>
      </w:r>
      <w:r w:rsidR="00B85CE9" w:rsidRPr="00677ACC">
        <w:fldChar w:fldCharType="begin" w:fldLock="1"/>
      </w:r>
      <w:r w:rsidR="00EF1C44">
        <w:instrText>ADDIN CSL_CITATION {"citationItems":[{"id":"ITEM-1","itemData":{"DOI":"10.1097/YCT.0000000000000460","ISSN":"1533-4112","PMID":"28991068","abstract":"Objectives The goal of this study was to systematically review current US state laws on electroconvulsive therapy (ECT) in order to provide a comprehensive resource to educate practitioners, potential patients, and lawmakers. Methods Individual state legislative Web sites were searched by 2 independent authors using the following search terms: \"electroconvulsive therapy,\" \"convulsive therapy,\" \"electroconvulsant therapy,\" \"electroshock therapy,\" and \"shock therapy\" from March 2017 to May 2017. All sections of state law pertaining to ECT were reviewed, and pertinent data regarding consent, age restrictions, treatment limitations, required reporting, defined qualified professionals, fees, and other information were extracted. Results State regulation on ECT widely varied from none to stringent requirements. There were 6 states without any laws pertaining to ECT. California, Illinois, Massachusetts, Missouri, New York, South Dakota, Tennessee, and Texas were noted to be the most regulatory on ECT. Conclusions There are no US national laws on ECT leaving individual state governments to regulate treatment. Whereas some states have detailed restrictions on use, other states have no regulation at all. This variation applies to multiple areas of ECT practice, including who can receive ECT, who can provide informed consent, who can prescribe or perform ECT, and what administrative requirements (eg, fees, reporting) must be met by ECT practitioners. Knowledge of these state laws will help providers not only to be aware of their own state's regulations, but also to have a general awareness of what other states mandate for better patient care and utilization of ECT.","author":[{"dropping-particle":"","family":"Livingston","given":"Robin","non-dropping-particle":"","parse-names":false,"suffix":""},{"dropping-particle":"","family":"Wu","given":"Chester","non-dropping-particle":"","parse-names":false,"suffix":""},{"dropping-particle":"","family":"Mu","given":"Kathy","non-dropping-particle":"","parse-names":false,"suffix":""},{"dropping-particle":"","family":"Coffey","given":"M. Justin","non-dropping-particle":"","parse-names":false,"suffix":""}],"container-title":"The journal of ECT","id":"ITEM-1","issue":"1","issued":{"date-parts":[["2018","3","1"]]},"page":"60-68","publisher":"J ECT","title":"Regulation of Electroconvulsive Therapy: A Systematic Review of US State Laws","type":"article-journal","volume":"34"},"uris":["http://www.mendeley.com/documents/?uuid=f1579140-7ebd-331e-b767-c1af223f71c4"]},{"id":"ITEM-2","itemData":{"DOI":"10.1097/YCT.0000000000001173","ISSN":"1533-4112","PMID":"40549951","author":[{"dropping-particle":"","family":"Beydler","given":"Emily M.","non-dropping-particle":"","parse-names":false,"suffix":""},{"dropping-particle":"","family":"Katzell","given":"Lauren M.","non-dropping-particle":"","parse-names":false,"suffix":""},{"dropping-particle":"","family":"Dragonetti","given":"Joseph","non-dropping-particle":"","parse-names":false,"suffix":""},{"dropping-particle":"","family":"Ortiz","given":"Nicholas","non-dropping-particle":"","parse-names":false,"suffix":""}],"container-title":"The journal of ECT","id":"ITEM-2","issued":{"date-parts":[["2025","6","23"]]},"publisher":"J ECT","title":"Legislation Limiting Access to Electroconvulsive Therapy Is Increasing-A Call for Reasonable and Evidence-Based Legislation","type":"article-journal"},"uris":["http://www.mendeley.com/documents/?uuid=cf02c56a-f602-3e70-b059-2f0395547e8d"]}],"mendeley":{"formattedCitation":"(96,97)","plainTextFormattedCitation":"(96,97)","previouslyFormattedCitation":"(96,97)"},"properties":{"noteIndex":0},"schema":"https://github.com/citation-style-language/schema/raw/master/csl-citation.json"}</w:instrText>
      </w:r>
      <w:r w:rsidR="00B85CE9" w:rsidRPr="00677ACC">
        <w:fldChar w:fldCharType="separate"/>
      </w:r>
      <w:r w:rsidR="00EF1C44" w:rsidRPr="00EF1C44">
        <w:rPr>
          <w:noProof/>
        </w:rPr>
        <w:t>(96,97)</w:t>
      </w:r>
      <w:r w:rsidR="00B85CE9" w:rsidRPr="00677ACC">
        <w:fldChar w:fldCharType="end"/>
      </w:r>
      <w:r w:rsidR="008104FC">
        <w:t>.</w:t>
      </w:r>
      <w:r w:rsidR="00B85CE9" w:rsidRPr="00677ACC">
        <w:t xml:space="preserve"> Many hospitals lack the resources, trained staff, or policy frameworks to administer ECT in ICUs or general medical settings. Even where ECT is technically available, </w:t>
      </w:r>
      <w:r w:rsidR="00B85CE9" w:rsidRPr="00677ACC">
        <w:lastRenderedPageBreak/>
        <w:t xml:space="preserve">patients with serious illness may be excluded due to medical concerns such as brain metastases, recent stroke, or the medically imposed risks associated with general anesthesia. Because ECT works by inducing a seizure under anesthesia via electrical stimulation, these concerns are legitimate and warrant careful consideration. In some cases, protocols can be adapted—for example, modifying electrode placement to avoid tumor-involved areas—but feasibility and safety must always be considered in light of the patient’s overall prognosis and GOC </w:t>
      </w:r>
      <w:r w:rsidR="00B85CE9" w:rsidRPr="00677ACC">
        <w:fldChar w:fldCharType="begin" w:fldLock="1"/>
      </w:r>
      <w:r w:rsidR="00EF1C44">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id":"ITEM-2","itemData":{"DOI":"10.1016/j.jaclp.2024.01.005","author":[{"dropping-particle":"","family":"Mahajan","given":"Arushi","non-dropping-particle":"","parse-names":false,"suffix":""},{"dropping-particle":"","family":"Vatti","given":"Thanvi","non-dropping-particle":"","parse-names":false,"suffix":""},{"dropping-particle":"","family":"Coulter","given":"Andrew","non-dropping-particle":"","parse-names":false,"suffix":""},{"dropping-particle":"","family":"Khawam","given":"Elias","non-dropping-particle":"","parse-names":false,"suffix":""},{"dropping-particle":"","family":"Howland","given":"Molly","non-dropping-particle":"","parse-names":false,"suffix":""}],"container-title":"J Acad Consult Liaison Psychiatry","id":"ITEM-2","issued":{"date-parts":[["2024"]]},"publisher-place":"Department of Psychiatry, Cleveland Clinic Foundation, Cleveland, OH.","title":"Palliative ECT for Catatonia in a Terminal Cancer Patient: A Case Report","type":"article-journal"},"uris":["http://www.mendeley.com/documents/?uuid=34e01e3e-e4d2-3f0b-82fb-5686dd82b0bd"]},{"id":"ITEM-3","itemData":{"DOI":"10.1177/02698811231158232","abstract":"The British Association for Psychopharmacology developed an evidence-based consensus guideline on the management of catatonia. A group of international experts from a wide range of disciplines was assembled. Evidence was gathered from existing systematic reviews and the primary literature. Recommendations were made on the basis of this evidence and were graded in terms of their strength. The guideline initially covers the diagnosis, aetiology, clinical features and descriptive epidemiology of catatonia. Clinical assessments, including history, physical examination and investigations are then considered. Treatment with benzodiazepines, electroconvulsive therapy and other pharmacological and neuromodulatory therapies is covered. Special regard is given to periodic catatonia, malignant catatonia, neuroleptic malignant syndrome and antipsychotic-induced catatonia. There is attention to the needs of particular groups, namely children and adolescents, older adults, women in the perinatal period, people with autism spectrum disorder and those with certain medical conditions. Clinical trials were uncommon, and the recommendations in this guideline are mainly informed by small observational studies, case series and case reports, which highlights the need for randomised controlled trials and prospective cohort studies in this area.","author":[{"dropping-particle":"","family":"Rogers","given":"Jonathan P","non-dropping-particle":"","parse-names":false,"suffix":""},{"dropping-particle":"","family":"Oldham","given":"Mark A","non-dropping-particle":"","parse-names":false,"suffix":""},{"dropping-particle":"","family":"Fricchione","given":"Gregory","non-dropping-particle":"","parse-names":false,"suffix":""},{"dropping-particle":"","family":"Northoff","given":"Georg","non-dropping-particle":"","parse-names":false,"suffix":""},{"dropping-particle":"","family":"Ellen Wilson","given":"Jo","non-dropping-particle":"","parse-names":false,"suffix":""},{"dropping-particle":"","family":"Mann","given":"Stephan C","non-dropping-particle":"","parse-names":false,"suffix":""},{"dropping-particle":"","family":"Francis","given":"Andrew","non-dropping-particle":"","parse-names":false,"suffix":""},{"dropping-particle":"","family":"Wieck","given":"Angelika","non-dropping-particle":"","parse-names":false,"suffix":""},{"dropping-particle":"","family":"Elizabeth Wachtel","given":"Lee","non-dropping-particle":"","parse-names":false,"suffix":""},{"dropping-particle":"","family":"Lewis","given":"Glyn","non-dropping-particle":"","parse-names":false,"suffix":""},{"dropping-particle":"","family":"Grover","given":"Sandeep","non-dropping-particle":"","parse-names":false,"suffix":""},{"dropping-particle":"","family":"Hirjak","given":"Dusan","non-dropping-particle":"","parse-names":false,"suffix":""},{"dropping-particle":"","family":"Ahuja","given":"Niraj","non-dropping-particle":"","parse-names":false,"suffix":""},{"dropping-particle":"","family":"Zandi","given":"Michael S","non-dropping-particle":"","parse-names":false,"suffix":""},{"dropping-particle":"","family":"Young","given":"Allan H","non-dropping-particle":"","parse-names":false,"suffix":""},{"dropping-particle":"","family":"Fone","given":"Kevin","non-dropping-particle":"","parse-names":false,"suffix":""},{"dropping-particle":"","family":"Andrews","given":"Simon","non-dropping-particle":"","parse-names":false,"suffix":""},{"dropping-particle":"","family":"Kessler","given":"David","non-dropping-particle":"","parse-names":false,"suffix":""},{"dropping-particle":"","family":"Saifee","given":"Tabish","non-dropping-particle":"","parse-names":false,"suffix":""},{"dropping-particle":"","family":"Gee","given":"Siobhan","non-dropping-particle":"","parse-names":false,"suffix":""},{"dropping-particle":"","family":"Baldwin","given":"David S","non-dropping-particle":"","parse-names":false,"suffix":""},{"dropping-particle":"","family":"David","given":"Anthony S","non-dropping-particle":"","parse-names":false,"suffix":""}],"container-title":"J Psychopharmacol","id":"ITEM-3","issue":"4","issued":{"date-parts":[["2023"]]},"page":"327-369","publisher-place":"Institute of Mental Health, University College London, London, UK.","title":"Evidence-based consensus guidelines for the management of catatonia: Recommendations from the British Association for Psychopharmacology","type":"article-journal","volume":"37"},"uris":["http://www.mendeley.com/documents/?uuid=50908e9f-a212-31f8-b878-e18e2f87236c"]},{"id":"ITEM-4","itemData":{"author":[{"dropping-particle":"","family":"Denysenko","given":"Lex","non-dropping-particle":"","parse-names":false,"suffix":""},{"dropping-particle":"","family":"Freudenreich","given":"Oliver","non-dropping-particle":"","parse-names":false,"suffix":""},{"dropping-particle":"","family":"Philbrick","given":"Kemuel","non-dropping-particle":"","parse-names":false,"suffix":""},{"dropping-particle":"","family":"Penders","given":"Thomas","non-dropping-particle":"","parse-names":false,"suffix":""},{"dropping-particle":"","family":"Zimbrean","given":"Paula","non-dropping-particle":"","parse-names":false,"suffix":""},{"dropping-particle":"","family":"Nejad","given":"Shamim","non-dropping-particle":"","parse-names":false,"suffix":""},{"dropping-particle":"","family":"Chwastiak","given":"Lydia","non-dropping-particle":"","parse-names":false,"suffix":""},{"dropping-particle":"","family":"Dickerman","given":"Anna","non-dropping-particle":"","parse-names":false,"suffix":""},{"dropping-particle":"","family":"Niazi","given":"Shehzad","non-dropping-particle":"","parse-names":false,"suffix":""},{"dropping-particle":"","family":"Shim","given":"Jewel","non-dropping-particle":"","parse-names":false,"suffix":""},{"dropping-particle":"","family":"Soellner","given":"Wolfgang","non-dropping-particle":"","parse-names":false,"suffix":""},{"dropping-particle":"","family":"Walker","given":"Audrey","non-dropping-particle":"","parse-names":false,"suffix":""},{"dropping-particle":"","family":"Carroll","given":"Brendan","non-dropping-particle":"","parse-names":false,"suffix":""},{"dropping-particle":"","family":"Francis","given":"Andrew","non-dropping-particle":"","parse-names":false,"suffix":""}],"id":"ITEM-4","issue":"2","issued":{"date-parts":[["2015"]]},"title":"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type":"article-journal"},"uris":["http://www.mendeley.com/documents/?uuid=6574b012-7340-38f3-850d-bdcf5cf926ca"]},{"id":"ITEM-5","itemData":{"author":[{"dropping-particle":"","family":"Denysenko","given":"Lex","non-dropping-particle":"","parse-names":false,"suffix":""},{"dropping-particle":"","family":"Sica","given":"Nicole","non-dropping-particle":"","parse-names":false,"suffix":""},{"dropping-particle":"","family":"Penders","given":"Thomas","non-dropping-particle":"","parse-names":false,"suffix":""},{"dropping-particle":"","family":"Philbrick","given":"Kemuel L","non-dropping-particle":"","parse-names":false,"suffix":""},{"dropping-particle":"","family":"Walker","given":"Audrey","non-dropping-particle":"","parse-names":false,"suffix":""},{"dropping-particle":"","family":"Shaffer","given":"Scott","non-dropping-particle":"","parse-names":false,"suffix":""},{"dropping-particle":"","family":"Zimbrean","given":"Paula","non-dropping-particle":"","parse-names":false,"suffix":""},{"dropping-particle":"","family":"Freudenreich","given":"Oliver","non-dropping-particle":"","parse-names":false,"suffix":""},{"dropping-particle":"","family":"Rex","given":"Nicole","non-dropping-particle":"","parse-names":false,"suffix":""},{"dropping-particle":"","family":"Carroll","given":"Brendan T","non-dropping-particle":"","parse-names":false,"suffix":""},{"dropping-particle":"","family":"Francis","given":"Andrew","non-dropping-particle":"","parse-names":false,"suffix":""}],"container-title":"Annals of Clinical Psychiatry","id":"ITEM-5","issue":"2","issued":{"date-parts":[["2018"]]},"page":"140-155","title":"Catatonia in the medically ill: Etiology, diagnosis, and treatment. The Academy of Consultation-Liaison Psychiatry Evidence-Based Medicine Subcommittee Monograph - PubMed","type":"article-journal","volume":"30"},"uris":["http://www.mendeley.com/documents/?uuid=6a13c14e-44cf-39c4-9074-8bef470c94c4"]},{"id":"ITEM-6","itemData":{"DOI":"10.1016/J.JACLP.2025.05.001","ISSN":"2667-2960","PMID":"40368005","author":[{"dropping-particle":"","family":"Wilson","given":"Jo Ellen","non-dropping-particle":"","parse-names":false,"suffix":""},{"dropping-particle":"","family":"Oldham","given":"Mark A.","non-dropping-particle":"","parse-names":false,"suffix":""},{"dropping-particle":"","family":"Francis","given":"Andrew","non-dropping-particle":"","parse-names":false,"suffix":""},{"dropping-particle":"","family":"Perkey","given":"Dina","non-dropping-particle":"","parse-names":false,"suffix":""},{"dropping-particle":"","family":"Kramer","given":"Eric","non-dropping-particle":"","parse-names":false,"suffix":""},{"dropping-particle":"","family":"Jiang","given":"Shixie","non-dropping-particle":"","parse-names":false,"suffix":""},{"dropping-particle":"","family":"Yoon","given":"Jennifer","non-dropping-particle":"","parse-names":false,"suffix":""},{"dropping-particle":"","family":"Beach","given":"Scott","non-dropping-particle":"","parse-names":false,"suffix":""},{"dropping-particle":"","family":"Fricchione","given":"Gregory","non-dropping-particle":"","parse-names":false,"suffix":""},{"dropping-particle":"","family":"Gunther","given":"Matthew","non-dropping-particle":"","parse-names":false,"suffix":""},{"dropping-particle":"","family":"Ha","given":"Jihoon","non-dropping-particle":"","parse-names":false,"suffix":""},{"dropping-particle":"","family":"Luccarelli","given":"James","non-dropping-particle":"","parse-names":false,"suffix":""},{"dropping-particle":"","family":"Rosen","given":"Jordan","non-dropping-particle":"","parse-names":false,"suffix":""},{"dropping-particle":"","family":"Hamlin","given":"Dallas","non-dropping-particle":"","parse-names":false,"suffix":""},{"dropping-particle":"","family":"Dragonetti","given":"Joseph D.","non-dropping-particle":"","parse-names":false,"suffix":""},{"dropping-particle":"","family":"Gerstenblith","given":"Avi","non-dropping-particle":"","parse-names":false,"suffix":""},{"dropping-particle":"","family":"Stewart","given":"Anne Louise","non-dropping-particle":"","parse-names":false,"suffix":""},{"dropping-particle":"","family":"Sole","given":"Jon","non-dropping-particle":"","parse-names":false,"suffix":""},{"dropping-particle":"","family":"Bourgeois","given":"James A.","non-dropping-particle":"","parse-names":false,"suffix":""}],"container-title":"Journal of the Academy of Consultation-Liaison Psychiatry","id":"ITEM-6","issued":{"date-parts":[["2025","5"]]},"publisher":"J Acad Consult Liaison Psychiatry","title":"Catatonia: American Psychiatric Association Resource Document","type":"article-journal"},"uris":["http://www.mendeley.com/documents/?uuid=b7c7ad32-5717-372a-8e09-9fa63156a01e"]}],"mendeley":{"formattedCitation":"(2,3,26,50,56,98)","plainTextFormattedCitation":"(2,3,26,50,56,98)","previouslyFormattedCitation":"(2,3,26,50,56,98)"},"properties":{"noteIndex":0},"schema":"https://github.com/citation-style-language/schema/raw/master/csl-citation.json"}</w:instrText>
      </w:r>
      <w:r w:rsidR="00B85CE9" w:rsidRPr="00677ACC">
        <w:fldChar w:fldCharType="separate"/>
      </w:r>
      <w:r w:rsidR="00EF1C44" w:rsidRPr="00EF1C44">
        <w:rPr>
          <w:noProof/>
        </w:rPr>
        <w:t>(2,3,26,50,56,98)</w:t>
      </w:r>
      <w:r w:rsidR="00B85CE9" w:rsidRPr="00677ACC">
        <w:fldChar w:fldCharType="end"/>
      </w:r>
      <w:r w:rsidR="008104FC">
        <w:t>.</w:t>
      </w:r>
    </w:p>
    <w:p w14:paraId="0C5F2BFE" w14:textId="42F11731" w:rsidR="00B85CE9" w:rsidRPr="00677ACC" w:rsidRDefault="00B85CE9" w:rsidP="00677ACC">
      <w:pPr>
        <w:pStyle w:val="NormalWeb"/>
        <w:spacing w:line="480" w:lineRule="auto"/>
      </w:pPr>
      <w:r w:rsidRPr="00677ACC">
        <w:t>Despite these challenges, a growing body of literature supports the use of “palliative ECT” for select patients. ECT’s rapid onset and effectiveness in treating catatonia, depression, and psychosis make it a compelling option in time-sensitive situations where other treatments have failed or are too slow-acting</w:t>
      </w:r>
      <w:r w:rsidR="008104FC">
        <w:t xml:space="preserve"> </w:t>
      </w:r>
      <w:r w:rsidRPr="00677ACC">
        <w:fldChar w:fldCharType="begin" w:fldLock="1"/>
      </w:r>
      <w:r w:rsidR="00EF1C44">
        <w:instrText>ADDIN CSL_CITATION {"citationItems":[{"id":"ITEM-1","itemData":{"DOI":"10.1097/YCT.0b013e3182321181","abstract":"Electroconvulsive therapy (ECT) is seldom used in a palliative setting. Although literature on the application of ECT in terminally ill patients is sparse, ECT may be useful to rapidly improve the quality of life in these patients. We present the case of a 71-year-old man with metastasized pancreas carcinoma complicated by severe depression. After 3 ECT sessions, the communication between the patient and his family in the last moments of his life improved. We conclude that ECT should be considered to treat mood disorders in terminally ill patients when every day of improvement counts.","author":[{"dropping-particle":"","family":"Mulder","given":"Marlies E","non-dropping-particle":"","parse-names":false,"suffix":""},{"dropping-particle":"","family":"Verwey","given":"Bastiaan","non-dropping-particle":"","parse-names":false,"suffix":""},{"dropping-particle":"","family":"Waarde","given":"Jeroen A","non-dropping-particle":"van","parse-names":false,"suffix":""}],"container-title":"J ECT","id":"ITEM-1","issue":"1","issued":{"date-parts":[["2012"]]},"page":"52-53","publisher-place":"Department of Psychiatry, Rijnstate Hospital, Arnhem, The Netherlands. marlies.e.mulder@gmail.com","title":"Electroconvulsive therapy in a terminally ill patient: when every day of improvement counts","type":"article-journal","volume":"28"},"uris":["http://www.mendeley.com/documents/?uuid=eacfaa43-cbba-4dd1-81e9-6c544590cb15"]},{"id":"ITEM-2","itemData":{"DOI":"10.1016/J.JACLP.2024.12.001","ISSN":"2667-2960","PMID":"39662871","abstract":"Background: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Psychiatry","id":"ITEM-2","issued":{"date-parts":[["2024"]]},"publisher":"J Acad Consult Liaison Psychiatry","title":"Palliative Electroconvulsive Therapy: A Descriptive Cohort Study","type":"article-journal"},"uris":["http://www.mendeley.com/documents/?uuid=c1d075d1-af8f-3f1a-91a6-64564dd40c94"]}],"mendeley":{"formattedCitation":"(26,99)","plainTextFormattedCitation":"(26,99)","previouslyFormattedCitation":"(26,99)"},"properties":{"noteIndex":0},"schema":"https://github.com/citation-style-language/schema/raw/master/csl-citation.json"}</w:instrText>
      </w:r>
      <w:r w:rsidRPr="00677ACC">
        <w:fldChar w:fldCharType="separate"/>
      </w:r>
      <w:r w:rsidR="00EF1C44" w:rsidRPr="00EF1C44">
        <w:rPr>
          <w:noProof/>
        </w:rPr>
        <w:t>(26,99)</w:t>
      </w:r>
      <w:r w:rsidRPr="00677ACC">
        <w:fldChar w:fldCharType="end"/>
      </w:r>
      <w:r w:rsidR="008104FC">
        <w:t>.</w:t>
      </w:r>
      <w:r w:rsidRPr="00677ACC">
        <w:t xml:space="preserve"> One recent cohort study examined patients referred to both PC and ECT services for this indication. Most were treated for catatonia and had significant comorbidities, including cancer, advanced organ disease, and dementia. </w:t>
      </w:r>
      <w:r w:rsidR="004F2BF7" w:rsidRPr="00677ACC">
        <w:t>Among those who received ECT, outcomes included reduced mortality, reversal of life-threatening weight loss, correction of in</w:t>
      </w:r>
      <w:r w:rsidR="00DA5651" w:rsidRPr="00677ACC">
        <w:t xml:space="preserve">appropriate </w:t>
      </w:r>
      <w:r w:rsidR="004F2BF7" w:rsidRPr="00677ACC">
        <w:t xml:space="preserve">dementia diagnoses later attributed to catatonia, cognitive improvement even in patients with coexisting dementia, and improved quality of life, including near the </w:t>
      </w:r>
      <w:r w:rsidR="00EA16CA" w:rsidRPr="00677ACC">
        <w:t>EOL</w:t>
      </w:r>
      <w:r w:rsidR="008104FC">
        <w:t xml:space="preserve"> </w:t>
      </w:r>
      <w:r w:rsidRPr="00677ACC">
        <w:fldChar w:fldCharType="begin" w:fldLock="1"/>
      </w:r>
      <w:r w:rsidR="00EF1C44">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id":"ITEM-2","itemData":{"DOI":"10.1016/j.jaclp.2024.01.005","author":[{"dropping-particle":"","family":"Mahajan","given":"Arushi","non-dropping-particle":"","parse-names":false,"suffix":""},{"dropping-particle":"","family":"Vatti","given":"Thanvi","non-dropping-particle":"","parse-names":false,"suffix":""},{"dropping-particle":"","family":"Coulter","given":"Andrew","non-dropping-particle":"","parse-names":false,"suffix":""},{"dropping-particle":"","family":"Khawam","given":"Elias","non-dropping-particle":"","parse-names":false,"suffix":""},{"dropping-particle":"","family":"Howland","given":"Molly","non-dropping-particle":"","parse-names":false,"suffix":""}],"container-title":"J Acad Consult Liaison Psychiatry","id":"ITEM-2","issued":{"date-parts":[["2024"]]},"publisher-place":"Department of Psychiatry, Cleveland Clinic Foundation, Cleveland, OH.","title":"Palliative ECT for Catatonia in a Terminal Cancer Patient: A Case Report","type":"article-journal"},"uris":["http://www.mendeley.com/documents/?uuid=34e01e3e-e4d2-3f0b-82fb-5686dd82b0bd"]}],"mendeley":{"formattedCitation":"(26,98)","plainTextFormattedCitation":"(26,98)","previouslyFormattedCitation":"(26,98)"},"properties":{"noteIndex":0},"schema":"https://github.com/citation-style-language/schema/raw/master/csl-citation.json"}</w:instrText>
      </w:r>
      <w:r w:rsidRPr="00677ACC">
        <w:fldChar w:fldCharType="separate"/>
      </w:r>
      <w:r w:rsidR="00EF1C44" w:rsidRPr="00EF1C44">
        <w:rPr>
          <w:noProof/>
        </w:rPr>
        <w:t>(26,98)</w:t>
      </w:r>
      <w:r w:rsidRPr="00677ACC">
        <w:fldChar w:fldCharType="end"/>
      </w:r>
      <w:r w:rsidR="008104FC">
        <w:t>.</w:t>
      </w:r>
    </w:p>
    <w:p w14:paraId="3A275E8E" w14:textId="233FBC80" w:rsidR="00B85CE9" w:rsidRPr="00677ACC" w:rsidRDefault="00B85CE9" w:rsidP="00677ACC">
      <w:pPr>
        <w:pStyle w:val="NormalWeb"/>
        <w:spacing w:line="480" w:lineRule="auto"/>
      </w:pPr>
      <w:r w:rsidRPr="00677ACC">
        <w:t>Given that some forms of catatonia respond only to ECT, we suggest that in select cases, a time-limited treatment trial—an “ECT challenge” akin to a diagnostic lorazepam challenge—may help clarify both diagnosis and prognosis, particularly before considering hospice enrollment</w:t>
      </w:r>
      <w:r w:rsidR="008104FC">
        <w:t xml:space="preserve"> </w:t>
      </w:r>
      <w:r w:rsidRPr="00677ACC">
        <w:fldChar w:fldCharType="begin" w:fldLock="1"/>
      </w:r>
      <w:r w:rsidR="00EF1C44">
        <w:instrText>ADDIN CSL_CITATION {"citationItems":[{"id":"ITEM-1","itemData":{"DOI":"10.2147/NDT.S231573","ISSN":"1176-6328","PMID":"33061390","abstract":"Catatonia is a serious, common syndrome of motoric and behavioral dysfunction, which carries high morbidity and mortality. Electroconvulsive therapy (ECT) is the definitive treatment for catatonia, but access to ECT for the treatment of catatonia remains inappropriately limited. Catatonia is observable, detectable, and relevant to various medical specialties, but underdiagnosis impedes the delivery of appropriate treatment and heightens risk of serious complications including iatrogenesis. Current understanding of catatonia’s pathophysiology links it to the current understanding of ECT’s mechanism of action. Definitive catatonia care requires recognition of the syndrome, workup to identify and treat the underlying cause, and effective management including appropriate referral for ECT. Even when all of these conditions are met, and despite well-established data on the safety and efficacy of ECT, stigma surrounding ECT and legal restrictions for its use in catatonia are additional critical barriers. Addressing the underdiagnosis of catatonia and barriers to its treatment with ECT is vital to improving outcomes for patients. While no standardized protocols for treatment of catatonia with ECT exist, a large body of research guides evidence-based care and reveals where additional research is warranted. The authors conducted a review of the literature on ECT as a treatment for catatonia. Based on the review, the authors offer strategies and future directions for improving access to ECT for patients with catatonia, and propose an algorithm for the treatment of catatonia with ECT.","author":[{"dropping-particle":"","family":"Lloyd","given":"Jenifer R.","non-dropping-particle":"","parse-names":false,"suffix":""},{"dropping-particle":"","family":"Silverman","given":"Eric R.","non-dropping-particle":"","parse-names":false,"suffix":""},{"dropping-particle":"","family":"Kugler","given":"Joseph L.","non-dropping-particle":"","parse-names":false,"suffix":""},{"dropping-particle":"","family":"Cooper","given":"Joseph J.","non-dropping-particle":"","parse-names":false,"suffix":""}],"container-title":"Neuropsychiatric disease and treatment","id":"ITEM-1","issued":{"date-parts":[["2020"]]},"page":"2191-2208","publisher":"Neuropsychiatr Dis Treat","title":"Electroconvulsive Therapy for Patients with Catatonia: Current Perspectives","type":"article-journal","volume":"16"},"uris":["http://www.mendeley.com/documents/?uuid=a039968a-7ece-39b0-9390-ab5aeee43f35"]}],"mendeley":{"formattedCitation":"(60)","plainTextFormattedCitation":"(60)","previouslyFormattedCitation":"(60)"},"properties":{"noteIndex":0},"schema":"https://github.com/citation-style-language/schema/raw/master/csl-citation.json"}</w:instrText>
      </w:r>
      <w:r w:rsidRPr="00677ACC">
        <w:fldChar w:fldCharType="separate"/>
      </w:r>
      <w:r w:rsidR="006F585C" w:rsidRPr="006F585C">
        <w:rPr>
          <w:noProof/>
        </w:rPr>
        <w:t>(60)</w:t>
      </w:r>
      <w:r w:rsidRPr="00677ACC">
        <w:fldChar w:fldCharType="end"/>
      </w:r>
      <w:r w:rsidR="008104FC">
        <w:t>.</w:t>
      </w:r>
      <w:r w:rsidRPr="00677ACC">
        <w:t xml:space="preserve"> If ECT is not available locally, referral to a center where it is available should be considered. Transcranial magnetic stimulation (TMS), a less invasive neuromodulation technique </w:t>
      </w:r>
      <w:r w:rsidRPr="00677ACC">
        <w:lastRenderedPageBreak/>
        <w:t>used primarily for mood disorders, is being explored as a potential alternative. However, evidence for its use in catatonia remains limited, and its role in the PC population is not yet well defined</w:t>
      </w:r>
      <w:r w:rsidR="008104FC">
        <w:t xml:space="preserve"> </w:t>
      </w:r>
      <w:r w:rsidRPr="00677ACC">
        <w:fldChar w:fldCharType="begin" w:fldLock="1"/>
      </w:r>
      <w:r w:rsidR="00EF1C44">
        <w:instrText>ADDIN CSL_CITATION {"citationItems":[{"id":"ITEM-1","itemData":{"DOI":"10.1016/J.SCHRES.2020.05.028","ISSN":"1573-2509","PMID":"32600779","abstract":"Background: Catatonia is a potentially life threatening syndrome in various psychiatric disorders. As first line treatment, benzodiazepines and electroconvulsive therapy (ECT) are recommended. In some cases, benzodiazepines are ineffective and ECT is not available or contraindicated. Therefore, the search for new and alternative treatment strategies is of great importance. Objective: To review the evidence for alternative neurostimulation treatment strategies (rTMS and tDCS) for catatonia according to the Preferred Reporting Items for Systematic reviews and Meta-Analyses (PRISMA) guidelines. Method: We performed a systematic literature search in several electronic databases. We also searched the WHO International Clinical Trials Registry Platform (ICTRP) and the ClinicalTrials.gov database to detect registered studies. Results: We identified nine publications on rTMS treatment and four publications on tDCS in catatonia. Most of the publications reported clinically relevant improvement of catatonic symptoms. Only two publications reported insufficient improvement. The available Bush-Francis Catatonia Rating Scale scores showed statistical significant improvement following rTMS and tDCS. We could not identify any finished clinical studies or case series, dedicated to this topic. We also could not identify any publications that compared first line treatment options with rTMS or tDCS. Conclusions: Based on the case report literature, rTMS and tDCS might be promising alternative treatment strategies for patients who do not respond to benzodiazepines or in case ECT is not available or contraindicated. There are even hints that rTMS or tDCS might be an option in patients who respond to ECT but need long-term treatment to control catatonic symptoms. Further clinical trials are needed to allow for an evidence-based evaluation of potential risks and benefits of rTMS and tDCS for catatonia.","author":[{"dropping-particle":"","family":"Hansbauer","given":"Maximilian","non-dropping-particle":"","parse-names":false,"suffix":""},{"dropping-particle":"","family":"Wagner","given":"Elias","non-dropping-particle":"","parse-names":false,"suffix":""},{"dropping-particle":"","family":"Strube","given":"Wolfgang","non-dropping-particle":"","parse-names":false,"suffix":""},{"dropping-particle":"","family":"Röh","given":"Astrid","non-dropping-particle":"","parse-names":false,"suffix":""},{"dropping-particle":"","family":"Padberg","given":"Frank","non-dropping-particle":"","parse-names":false,"suffix":""},{"dropping-particle":"","family":"Keeser","given":"Daniel","non-dropping-particle":"","parse-names":false,"suffix":""},{"dropping-particle":"","family":"Falkai","given":"Peter","non-dropping-particle":"","parse-names":false,"suffix":""},{"dropping-particle":"","family":"Hasan","given":"Alkomiet","non-dropping-particle":"","parse-names":false,"suffix":""}],"container-title":"Schizophrenia research","id":"ITEM-1","issued":{"date-parts":[["2020","8","1"]]},"page":"73-78","publisher":"Schizophr Res","title":"rTMS and tDCS for the treatment of catatonia: A systematic review","type":"article-journal","volume":"222"},"uris":["http://www.mendeley.com/documents/?uuid=8ed985fe-c2b9-37f3-9c5c-76a7174cfec8"]}],"mendeley":{"formattedCitation":"(100)","plainTextFormattedCitation":"(100)","previouslyFormattedCitation":"(100)"},"properties":{"noteIndex":0},"schema":"https://github.com/citation-style-language/schema/raw/master/csl-citation.json"}</w:instrText>
      </w:r>
      <w:r w:rsidRPr="00677ACC">
        <w:fldChar w:fldCharType="separate"/>
      </w:r>
      <w:r w:rsidR="00EF1C44" w:rsidRPr="00EF1C44">
        <w:rPr>
          <w:noProof/>
        </w:rPr>
        <w:t>(100)</w:t>
      </w:r>
      <w:r w:rsidRPr="00677ACC">
        <w:fldChar w:fldCharType="end"/>
      </w:r>
      <w:r w:rsidR="008104FC">
        <w:t>.</w:t>
      </w:r>
    </w:p>
    <w:p w14:paraId="60B775F3" w14:textId="25225E4D" w:rsidR="004A6623" w:rsidRPr="00677ACC" w:rsidRDefault="004A6623" w:rsidP="00677ACC">
      <w:pPr>
        <w:spacing w:after="240" w:line="480" w:lineRule="auto"/>
      </w:pPr>
    </w:p>
    <w:p w14:paraId="6B47B38C" w14:textId="07E9C2B9" w:rsidR="00BA031B" w:rsidRPr="00677ACC" w:rsidRDefault="00BA031B" w:rsidP="00677ACC">
      <w:pPr>
        <w:spacing w:line="480" w:lineRule="auto"/>
        <w:rPr>
          <w:b/>
          <w:bCs/>
        </w:rPr>
      </w:pPr>
      <w:r w:rsidRPr="00677ACC">
        <w:rPr>
          <w:b/>
          <w:bCs/>
        </w:rPr>
        <w:t>EOL and Hospice Considerations</w:t>
      </w:r>
    </w:p>
    <w:p w14:paraId="43ABDCDB" w14:textId="21FA584D" w:rsidR="00DA5651" w:rsidRPr="00677ACC" w:rsidRDefault="00DA5651" w:rsidP="00677ACC">
      <w:pPr>
        <w:pStyle w:val="NormalWeb"/>
        <w:spacing w:before="240" w:beforeAutospacing="0" w:after="240" w:afterAutospacing="0" w:line="480" w:lineRule="auto"/>
        <w:rPr>
          <w:color w:val="000000"/>
        </w:rPr>
      </w:pPr>
      <w:r w:rsidRPr="00677ACC">
        <w:rPr>
          <w:color w:val="000000"/>
        </w:rPr>
        <w:t xml:space="preserve">Catatonia at the EOL is under-recognized and poorly studied </w:t>
      </w:r>
      <w:r w:rsidRPr="00677ACC">
        <w:fldChar w:fldCharType="begin" w:fldLock="1"/>
      </w:r>
      <w:r w:rsidR="00EF1C44">
        <w:instrText>ADDIN CSL_CITATION {"citationItems":[{"id":"ITEM-1","itemData":{"DOI":"10.1097/YCT.0b013e3182321181","abstract":"Electroconvulsive therapy (ECT) is seldom used in a palliative setting. Although literature on the application of ECT in terminally ill patients is sparse, ECT may be useful to rapidly improve the quality of life in these patients. We present the case of a 71-year-old man with metastasized pancreas carcinoma complicated by severe depression. After 3 ECT sessions, the communication between the patient and his family in the last moments of his life improved. We conclude that ECT should be considered to treat mood disorders in terminally ill patients when every day of improvement counts.","author":[{"dropping-particle":"","family":"Mulder","given":"Marlies E","non-dropping-particle":"","parse-names":false,"suffix":""},{"dropping-particle":"","family":"Verwey","given":"Bastiaan","non-dropping-particle":"","parse-names":false,"suffix":""},{"dropping-particle":"","family":"Waarde","given":"Jeroen A","non-dropping-particle":"van","parse-names":false,"suffix":""}],"container-title":"J ECT","id":"ITEM-1","issue":"1","issued":{"date-parts":[["2012"]]},"page":"52-53","publisher-place":"Department of Psychiatry, Rijnstate Hospital, Arnhem, The Netherlands. marlies.e.mulder@gmail.com","title":"Electroconvulsive therapy in a terminally ill patient: when every day of improvement counts","type":"article-journal","volume":"28"},"uris":["http://www.mendeley.com/documents/?uuid=eacfaa43-cbba-4dd1-81e9-6c544590cb15"]},{"id":"ITEM-2","itemData":{"DOI":"10.1016/j.jaclp.2024.01.005","author":[{"dropping-particle":"","family":"Mahajan","given":"Arushi","non-dropping-particle":"","parse-names":false,"suffix":""},{"dropping-particle":"","family":"Vatti","given":"Thanvi","non-dropping-particle":"","parse-names":false,"suffix":""},{"dropping-particle":"","family":"Coulter","given":"Andrew","non-dropping-particle":"","parse-names":false,"suffix":""},{"dropping-particle":"","family":"Khawam","given":"Elias","non-dropping-particle":"","parse-names":false,"suffix":""},{"dropping-particle":"","family":"Howland","given":"Molly","non-dropping-particle":"","parse-names":false,"suffix":""}],"container-title":"J Acad Consult Liaison Psychiatry","id":"ITEM-2","issued":{"date-parts":[["2024"]]},"publisher-place":"Department of Psychiatry, Cleveland Clinic Foundation, Cleveland, OH.","title":"Palliative ECT for Catatonia in a Terminal Cancer Patient: A Case Report","type":"article-journal"},"uris":["http://www.mendeley.com/documents/?uuid=34e01e3e-e4d2-3f0b-82fb-5686dd82b0bd"]},{"id":"ITEM-3","itemData":{"DOI":"10.1016/J.JACLP.2024.12.001","ISSN":"2667-2960","PMID":"39662871","abstract":"Background: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Psychiatry","id":"ITEM-3","issued":{"date-parts":[["2024"]]},"publisher":"J Acad Consult Liaison Psychiatry","title":"Palliative Electroconvulsive Therapy: A Descriptive Cohort Study","type":"article-journal"},"uris":["http://www.mendeley.com/documents/?uuid=c1d075d1-af8f-3f1a-91a6-64564dd40c94"]}],"mendeley":{"formattedCitation":"(26,98,99)","plainTextFormattedCitation":"(26,98,99)","previouslyFormattedCitation":"(26,98,99)"},"properties":{"noteIndex":0},"schema":"https://github.com/citation-style-language/schema/raw/master/csl-citation.json"}</w:instrText>
      </w:r>
      <w:r w:rsidRPr="00677ACC">
        <w:fldChar w:fldCharType="separate"/>
      </w:r>
      <w:r w:rsidR="00EF1C44" w:rsidRPr="00EF1C44">
        <w:rPr>
          <w:noProof/>
        </w:rPr>
        <w:t>(26,98,99)</w:t>
      </w:r>
      <w:r w:rsidRPr="00677ACC">
        <w:fldChar w:fldCharType="end"/>
      </w:r>
      <w:r w:rsidR="008104FC">
        <w:t>.</w:t>
      </w:r>
      <w:r w:rsidRPr="00677ACC">
        <w:t xml:space="preserve"> </w:t>
      </w:r>
      <w:r w:rsidRPr="00677ACC">
        <w:rPr>
          <w:color w:val="000000"/>
        </w:rPr>
        <w:t>Given that terminal delirium affects nearly 90% of dying patients, we contend that catatonia—at a minimum, as a co-occurring condition—is likely far more common than currently recognized</w:t>
      </w:r>
      <w:r w:rsidRPr="00677ACC">
        <w:t xml:space="preserve"> </w:t>
      </w:r>
      <w:r w:rsidRPr="00677ACC">
        <w:fldChar w:fldCharType="begin" w:fldLock="1"/>
      </w:r>
      <w:r w:rsidR="00EF1C44">
        <w:instrText>ADDIN CSL_CITATION {"citationItems":[{"id":"ITEM-1","itemData":{"DOI":"10.1001/JAMA.2010.1013","ISSN":"0098-7484","PMID":"20664045","abstract":"&lt;h3&gt;Context&lt;/h3&gt;Delirium is a common and serious complication in elderly patients. Evidence suggests that delirium is associated with long-term poor outcome but delirium often occurs in individuals with more severe underlying disease.&lt;h3&gt;Objective&lt;/h3&gt;To assess the association between delirium in elderly patients and long-term poor outcome, defined as mortality, institutionalization, or dementia, while controlling for important confounders.&lt;h3&gt;Data Sources&lt;/h3&gt;A systematic search of studies published between January 1981 and April 2010 was conducted using the databases of MEDLINE, EMBASE, PsycINFO, and CINAHL.&lt;h3&gt;Study Selection&lt;/h3&gt;Observational studies of elderly patients with delirium as a study variable and data on mortality, institutionalization, or dementia after a minimum follow-up of 3 months, and published in the English or Dutch language. Titles, abstracts, and articles were reviewed independently by 2 of the authors. Of 2939 references in the original search, 51 relevant articles were identified.&lt;h3&gt;Data Extraction&lt;/h3&gt;Information on study design, characteristics of the study population, and outcome were extracted. Quality of studies was assessed based on elements of the Strengthening the Reporting of Observational Studies in Epidemiology (STROBE) checklist for cohort studies.&lt;h3&gt;Data Synthesis&lt;/h3&gt;The primary analyses included only high-quality studies with statistical control for age, sex, comorbid illness or illness severity, and baseline dementia. Pooled-effect estimates were calculated with random-effects models. The primary analysis with adjusted hazard ratios (HRs) showed that delirium is associated with an increased risk of death compared with controls after an average follow-up of 22.7 months (7 studies; 271/714 patients [38.0%] with delirium, 616/2243 controls [27.5%]; HR, 1.95 [95% confidence interval {CI}, 1.51-2.52]; I&lt;sup&gt;2&lt;/sup&gt;, 44.0%). Moreover, patients who had experienced delirium were also at increased risk of institutionalization (7 studies; average follow-up, 14.6 months; 176/527 patients [33.4%] with delirium and 219/2052 controls [10.7%]; odds ratio [OR], 2.41 [95% CI, 1.77-3.29]; I&lt;sup&gt;2&lt;/sup&gt;, 0%) and dementia (2 studies; average follow-up, 4.1 years; 35/56 patients [62.5%] with delirium and 15/185 controls [8.1%]; OR, 12.52 [95% CI, 1.86-84.21]; I&lt;sup&gt;2&lt;/sup&gt;, 52.4%). The sensitivity, trim-and-fill, and secondary analyses with unadjusted high-quality risk estimates stratified according to the study characteristics c…","author":[{"dropping-particle":"","family":"Witlox","given":"Joost","non-dropping-particle":"","parse-names":false,"suffix":""},{"dropping-particle":"","family":"Eurelings","given":"Lisa S.M.","non-dropping-particle":"","parse-names":false,"suffix":""},{"dropping-particle":"","family":"Jonghe","given":"Jos F.M.","non-dropping-particle":"De","parse-names":false,"suffix":""},{"dropping-particle":"","family":"Kalisvaart","given":"Kees J.","non-dropping-particle":"","parse-names":false,"suffix":""},{"dropping-particle":"","family":"Eikelenboom","given":"Piet","non-dropping-particle":"","parse-names":false,"suffix":""},{"dropping-particle":"","family":"Gool","given":"Willem A.","non-dropping-particle":"Van","parse-names":false,"suffix":""}],"container-title":"JAMA","id":"ITEM-1","issue":"4","issued":{"date-parts":[["2010","7","28"]]},"page":"443-451","publisher":"American Medical Association","title":"Delirium in Elderly Patients and the Risk of Postdischarge Mortality, Institutionalization, and Dementia: A Meta-analysis","type":"article-journal","volume":"304"},"uris":["http://www.mendeley.com/documents/?uuid=ac13a2e6-3892-363a-9758-98ea1ed9795a"]},{"id":"ITEM-2","itemData":{"DOI":"10.1056/NEJMCP1605501/SUPPL_FILE/NEJMCP1605501_DISCLOSURES.PDF","ISSN":"0028-4793","PMID":"29020579","abstract":"A 75-year-old man is admitted for scheduled major abdominal surgery. He is functionally independent, with mild forgetfulness. His intraoperative course is uneventful , but on postoperative day 2, severe confusion and agitation develop. What is going on? How would you manage this patient's care? Could his condition have been pre-vented? The Clinic a l Problem A lthough delirium has been described in the medical literature for more than two millennia, the condition is still frequently not recognized , evaluated, or managed appropriately. 1,2 Delirium is also known as acute confusional state, altered mental status, and toxic metabolic encephalopathy, among more than 30 descriptive terms. 3 Delirium can be thought of as acute brain failure 4 and is the final common pathway of multiple mechanisms, similar to acute heart failure. The official definition of delirium in the Diagnostic and Statistical Manual of Mental Disorders, fifth edition (DSM-5), 5 requires a disturbance in attention and awareness that develops acutely and tends to fluctuate (Table 1). The patho-physiological mechanisms of delirium remain poorly understood; leading models include neurotransmitter imbalance and neuroinflammation. 1,2,7,8 Delirium is extremely common in hospitalized older adults. One third of general medical patients who are 70 years of age or older have delirium; the condition is present in half of these patients on admission and develops during hospitalization in the other half. 7 Delirium is the most common surgical complication among older adults, with an incidence of 15 to 25% after major elective surgery and 50% after high-risk procedures such as hip-fracture repair and cardiac surgery. 8 Among patients undergoing mechanical ventilation in the intensive care unit (ICU), the cumulative incidence of delirium, when combined with stupor and coma, exceeds 75%. 9 Delirium is present in 10 to 15% of older adults in the emergency department. 10 The prevalence of delirium at the end of life approaches 85% in palliative care settings. 1 Although many clinicians think of patients with delirium as being agitated, hyperactive delirium represents only 25% of cases, with the others having hypo-active (\"quiet\") delirium. 1,7,8 Hypoactive delirium is associated with a poorer prognosis , potentially because it is less frequently recognized. 11,12 The features of delirium range from mild to extremely severe, with greater severity associated with worse outcomes. 1,2,7,8","author":[{"dropping-particle":"","family":"Marcantonio","given":"Edward R.","non-dropping-particle":"","parse-names":false,"suffix":""}],"container-title":"New England Journal of Medicine","id":"ITEM-2","issue":"15","issued":{"date-parts":[["2017","10","12"]]},"page":"1456-1466","publisher":"Massachusetts Medical Society","title":"Delirium in Hospitalized Older Adults","type":"article-journal","volume":"377"},"uris":["http://www.mendeley.com/documents/?uuid=8925de4b-acc0-36ef-ac39-935a71f26f1e"]}],"mendeley":{"formattedCitation":"(101,102)","plainTextFormattedCitation":"(101,102)","previouslyFormattedCitation":"(101,102)"},"properties":{"noteIndex":0},"schema":"https://github.com/citation-style-language/schema/raw/master/csl-citation.json"}</w:instrText>
      </w:r>
      <w:r w:rsidRPr="00677ACC">
        <w:fldChar w:fldCharType="separate"/>
      </w:r>
      <w:r w:rsidR="00EF1C44" w:rsidRPr="00EF1C44">
        <w:rPr>
          <w:noProof/>
        </w:rPr>
        <w:t>(101,102)</w:t>
      </w:r>
      <w:r w:rsidRPr="00677ACC">
        <w:fldChar w:fldCharType="end"/>
      </w:r>
      <w:r w:rsidR="008104FC">
        <w:t xml:space="preserve">. </w:t>
      </w:r>
      <w:r w:rsidRPr="00677ACC">
        <w:rPr>
          <w:color w:val="000000"/>
        </w:rPr>
        <w:t xml:space="preserve">In our clinical experience, the dying process and terminal delirium often share </w:t>
      </w:r>
      <w:proofErr w:type="spellStart"/>
      <w:r w:rsidRPr="00677ACC">
        <w:rPr>
          <w:color w:val="000000"/>
        </w:rPr>
        <w:t>phenomenologic</w:t>
      </w:r>
      <w:proofErr w:type="spellEnd"/>
      <w:r w:rsidRPr="00677ACC">
        <w:rPr>
          <w:color w:val="000000"/>
        </w:rPr>
        <w:t xml:space="preserve"> features, and many patients exhibit signs consistent with catatonia in their final days. PC clinicians are uniquely positioned to identify catatonia in the hospice setting, differentiate potentially reversible presentations from irreversible decline, and guide appropriate hospice referrals and management </w:t>
      </w:r>
      <w:r w:rsidR="00026E2D" w:rsidRPr="00677ACC">
        <w:fldChar w:fldCharType="begin" w:fldLock="1"/>
      </w:r>
      <w:r w:rsidR="008104FC">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mendeley":{"formattedCitation":"(26)","plainTextFormattedCitation":"(26)","previouslyFormattedCitation":"(26)"},"properties":{"noteIndex":0},"schema":"https://github.com/citation-style-language/schema/raw/master/csl-citation.json"}</w:instrText>
      </w:r>
      <w:r w:rsidR="00026E2D" w:rsidRPr="00677ACC">
        <w:fldChar w:fldCharType="separate"/>
      </w:r>
      <w:r w:rsidR="008104FC" w:rsidRPr="008104FC">
        <w:rPr>
          <w:noProof/>
        </w:rPr>
        <w:t>(26)</w:t>
      </w:r>
      <w:r w:rsidR="00026E2D" w:rsidRPr="00677ACC">
        <w:fldChar w:fldCharType="end"/>
      </w:r>
      <w:r w:rsidR="008104FC">
        <w:t>.</w:t>
      </w:r>
    </w:p>
    <w:p w14:paraId="334491C7" w14:textId="03E6BF6B" w:rsidR="00DA5651" w:rsidRPr="00677ACC" w:rsidRDefault="00DA5651" w:rsidP="00677ACC">
      <w:pPr>
        <w:pStyle w:val="NormalWeb"/>
        <w:spacing w:before="240" w:beforeAutospacing="0" w:after="240" w:afterAutospacing="0" w:line="480" w:lineRule="auto"/>
        <w:rPr>
          <w:color w:val="000000"/>
        </w:rPr>
      </w:pPr>
      <w:r w:rsidRPr="00677ACC">
        <w:rPr>
          <w:color w:val="000000"/>
        </w:rPr>
        <w:t>While catatonia is often reversible, some patients experience treatment-refractory illness in which ECT and pharmacologic interventions fail to restore communication, function, or oral intake</w:t>
      </w:r>
      <w:r w:rsidR="00026E2D" w:rsidRPr="00677ACC">
        <w:t xml:space="preserve"> </w:t>
      </w:r>
      <w:r w:rsidR="00026E2D" w:rsidRPr="00677ACC">
        <w:fldChar w:fldCharType="begin" w:fldLock="1"/>
      </w:r>
      <w:r w:rsidR="008104FC">
        <w:instrText>ADDIN CSL_CITATION {"citationItems":[{"id":"ITEM-1","itemData":{"DOI":"10.1016/J.SCHRES.2023.07.031","ISSN":"1573-2509","PMID":"37580182","abstract":"Background: Catatonia, a form of acute brain dysfunction typically linked with severe affective and psychotic disorders, occurs in critical illness with delirium and coma. Delirium and coma are associated with mortality, though catatonia's relationship with mortality is unclear. We aim to describe whether catatonia, delirium, and coma are associated with mortality. Methods: We enrolled a convenience cohort of critically ill adults (N = 378) at an academic medical center. We assessed catatonia, delirium, and coma using the Bush-Francis Catatonia Rating Scale, the Confusion Assessment Method for the Intensive Care Unit and the Richmond Agitation-Sedation Scale, respectively. We tested the associations between previous day brain dysfunction state occurrence with in-hospital and one-year mortality using multivariable time-dependent risk models. Additionally, we tested the association between brain dysfunction duration and one-year mortality. Results: Catatonia was not associated with death on the day after diagnosis during hospitalization, and neither previous catatonia occurrence nor duration was associated with one-year mortality. Delirium was not associated with death on any day following diagnosis during hospitalization, and neither previous delirium occurrence nor duration was associated with one-year mortality. The occurrence of coma was associated with death on any day after diagnosis during hospitalization (HR 2.30,CI 1.19–4.44,p = 0.014), as well as through one year following hospital discharge (HR 1.68,CI 1.09–2.59,p = 0.02). Conclusions: Coma, but neither catatonia nor delirium, was associated with future day in-hospital and one-year mortality. More research is needed to understand catatonia's clinical impact. Delirium results differ from existing literature likely due to cohort demographics and size. Coma results highlight the prognostic significance of suppressed arousal while critically ill.","author":[{"dropping-particle":"","family":"Sexton","given":"Morgan T.","non-dropping-particle":"","parse-names":false,"suffix":""},{"dropping-particle":"","family":"Kim","given":"Ahra","non-dropping-particle":"","parse-names":false,"suffix":""},{"dropping-particle":"","family":"McGonigle","given":"Trey","non-dropping-particle":"","parse-names":false,"suffix":""},{"dropping-particle":"","family":"Mihalko","given":"Sarasota","non-dropping-particle":"","parse-names":false,"suffix":""},{"dropping-particle":"","family":"Vandekar","given":"Simon N.","non-dropping-particle":"","parse-names":false,"suffix":""},{"dropping-particle":"","family":"Brummel","given":"Nathan E.","non-dropping-particle":"","parse-names":false,"suffix":""},{"dropping-particle":"","family":"Patel","given":"Mayur B.","non-dropping-particle":"","parse-names":false,"suffix":""},{"dropping-particle":"","family":"Dittus","given":"Robert S.","non-dropping-particle":"","parse-names":false,"suffix":""},{"dropping-particle":"","family":"Heckers","given":"Stephan","non-dropping-particle":"","parse-names":false,"suffix":""},{"dropping-particle":"","family":"Pandharipande","given":"Pratik P.","non-dropping-particle":"","parse-names":false,"suffix":""},{"dropping-particle":"","family":"Ely","given":"E. Wesley","non-dropping-particle":"","parse-names":false,"suffix":""},{"dropping-particle":"","family":"Wilson","given":"Jo Ellen","non-dropping-particle":"","parse-names":false,"suffix":""}],"container-title":"Schizophrenia research","id":"ITEM-1","issued":{"date-parts":[["2024","1","1"]]},"page":"223-228","publisher":"Schizophr Res","title":"In-hospital catatonia, delirium, and coma and mortality: Results from the delirium and catatonia prospective cohort investigation","type":"article-journal","volume":"263"},"uris":["http://www.mendeley.com/documents/?uuid=48fbaf5d-c9e0-3e72-ac1a-5e8bea6d87b5"]},{"id":"ITEM-2","itemData":{"DOI":"10.1177/08850666221114303","ISSN":"15251489","PMID":"35861966","abstract":"Catatonia is a clinical syndrome characterized by psychomotor, neurological and behavioral changes. The clinical picture of catatonia ranges from akinetic stupor to severe motoric excitement. Catatonia can occur in the setting of a primary psychiatric condition such as bipolar disorder or secondary to a general medical illness like autoimmune encephalitis. Importantly, it can co-occur with delirium or coma. Malignant catatonia describes catatonia that presents with clinically significant autonomic abnormalities including change in temperature, blood pressure, heart rate, and respiratory rate. It is a life-threatening form of acute brain dysfunction that has several motoric manifestations and occurs secondary to a primary psychiatric condition or a medical cause. Many of the established predisposing and precipitating factors for catatonia such as exposure to neuroleptic medications or withdrawal states are common in the setting of critical illness. Catatonia typically improves with benzodiazepines and treatment of its underlying psychiatric or medical conditions, with electroconvulsive therapy reserved for catatonia refractory to benzodiazepines or for malignant catatonia. However, some forms of catatonia, such as catatonia secondary to a general medical condition or catatonia comorbid with delirium, may be less responsive to traditional treatments. Prompt recognition and treatment of catatonia are crucial because malignant catatonia may be fatal without treatment. Given the high morbidity and mortality associated with malignant catatonia, intensivists should familiarize themselves with this important and under-recognized condition.","author":[{"dropping-particle":"","family":"Connell","given":"Jennifer","non-dropping-particle":"","parse-names":false,"suffix":""},{"dropping-particle":"","family":"Oldham","given":"Mark","non-dropping-particle":"","parse-names":false,"suffix":""},{"dropping-particle":"","family":"Pandharipande","given":"Pratik","non-dropping-particle":"","parse-names":false,"suffix":""},{"dropping-particle":"","family":"Dittus","given":"Robert S.","non-dropping-particle":"","parse-names":false,"suffix":""},{"dropping-particle":"","family":"Wilson","given":"Amanda","non-dropping-particle":"","parse-names":false,"suffix":""},{"dropping-particle":"","family":"Mart","given":"Matthew","non-dropping-particle":"","parse-names":false,"suffix":""},{"dropping-particle":"","family":"Heckers","given":"Stephan","non-dropping-particle":"","parse-names":false,"suffix":""},{"dropping-particle":"","family":"Ely","given":"E. Wes","non-dropping-particle":"","parse-names":false,"suffix":""},{"dropping-particle":"","family":"Wilson","given":"Jo Ellen","non-dropping-particle":"","parse-names":false,"suffix":""}],"container-title":"Journal of Intensive Care Medicine","id":"ITEM-2","issue":"2","issued":{"date-parts":[["2023","2","1"]]},"page":"137-150","publisher":"SAGE Publications Inc.","title":"Malignant Catatonia: A Review for the Intensivist","type":"article-journal","volume":"38"},"uris":["http://www.mendeley.com/documents/?uuid=70039731-547d-3494-b614-7e3240f971ee"]},{"id":"ITEM-3","itemData":{"DOI":"10.1038/s41572-024-00534-w","ISSN":"2056676X","PMID":"39025858","abstract":"Catatonia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Primers","id":"ITEM-3","issue":"1","issued":{"date-parts":[["2024","12","1"]]},"publisher":"Nature Research","title":"Catatonia","type":"article-journal","volume":"10"},"uris":["http://www.mendeley.com/documents/?uuid=e8487146-a3a4-304c-8c0e-603ee2666288"]}],"mendeley":{"formattedCitation":"(17,20,43)","plainTextFormattedCitation":"(17,20,43)","previouslyFormattedCitation":"(17,20,43)"},"properties":{"noteIndex":0},"schema":"https://github.com/citation-style-language/schema/raw/master/csl-citation.json"}</w:instrText>
      </w:r>
      <w:r w:rsidR="00026E2D" w:rsidRPr="00677ACC">
        <w:fldChar w:fldCharType="separate"/>
      </w:r>
      <w:r w:rsidR="008104FC" w:rsidRPr="008104FC">
        <w:rPr>
          <w:noProof/>
        </w:rPr>
        <w:t>(17,20,43)</w:t>
      </w:r>
      <w:r w:rsidR="00026E2D" w:rsidRPr="00677ACC">
        <w:fldChar w:fldCharType="end"/>
      </w:r>
      <w:r w:rsidR="008104FC">
        <w:t>.</w:t>
      </w:r>
      <w:r w:rsidRPr="00677ACC">
        <w:rPr>
          <w:color w:val="000000"/>
        </w:rPr>
        <w:t xml:space="preserve"> In these cases, patients may meet hospice eligibility due to complications such as malnutrition or infection, even if catatonia itself is not the primary qualifying diagnosis. To our knowledge, no studies have examined the prevalence of catatonia at the time of hospice enrollment or the impact of treatment in hospice on patient outcomes, including the potential for hospice graduation.</w:t>
      </w:r>
    </w:p>
    <w:p w14:paraId="68995F6C" w14:textId="3806D46F" w:rsidR="00DA5651" w:rsidRPr="00677ACC" w:rsidRDefault="00DA5651" w:rsidP="00677ACC">
      <w:pPr>
        <w:pStyle w:val="NormalWeb"/>
        <w:spacing w:before="240" w:beforeAutospacing="0" w:after="240" w:afterAutospacing="0" w:line="480" w:lineRule="auto"/>
        <w:rPr>
          <w:color w:val="000000"/>
        </w:rPr>
      </w:pPr>
      <w:r w:rsidRPr="00677ACC">
        <w:rPr>
          <w:color w:val="000000"/>
        </w:rPr>
        <w:lastRenderedPageBreak/>
        <w:t xml:space="preserve">In the hospice setting </w:t>
      </w:r>
      <w:r w:rsidR="00026E2D" w:rsidRPr="00677ACC">
        <w:rPr>
          <w:color w:val="000000"/>
        </w:rPr>
        <w:t>and, in an attempt,</w:t>
      </w:r>
      <w:r w:rsidRPr="00677ACC">
        <w:rPr>
          <w:color w:val="000000"/>
        </w:rPr>
        <w:t xml:space="preserve"> to improve comfort and reduce suffering near the EOL, recognizing catatonia and trialing low-dose lorazepam is a high-yield, relatively low-risk intervention. In this setting, we recommend avoiding D2 blocking agents, which may worsen symptoms, and instead suggest considering benzodiazepines or NMDA antagonists to relieve distressing psychomotor features</w:t>
      </w:r>
      <w:r w:rsidR="00026E2D" w:rsidRPr="00677ACC">
        <w:t xml:space="preserve"> </w:t>
      </w:r>
      <w:r w:rsidR="00026E2D" w:rsidRPr="00677ACC">
        <w:fldChar w:fldCharType="begin" w:fldLock="1"/>
      </w:r>
      <w:r w:rsidR="00EF1C44">
        <w:instrText>ADDIN CSL_CITATION {"citationItems":[{"id":"ITEM-1","itemData":{"DOI":"10.1016/J.JACLP.2024.12.001","ISSN":"2667-2960","PMID":"39662871","abstract":"Background: Palliative care (PC) is the standard of care for patients with serious medical illnesses, or those conditions associated with high risk of mortality and negative impact on quality of life (QOL). Electroconvulsive therapy (ECT) is the gold standard treatment for certain psychiatric conditions, which may co-occur with serious medical illnesses. However, the use of “palliative ECT” (PECT) in this context is understudied. Methods: We conducted a descriptive retrospective cohort study reviewing the indications, outcomes, and regimens of PECT. We included patients who had an ECT consultation, in addition to either a PC consultation or a do-not-attempt-resuscitation code status between 2018 and 2023. Results: Thirty-one patients met our inclusion criteria, and 21 received ECT. The cohort was predominantly female (70%) with a mean age of 67.6 (range 25–90). Catatonia (64.5%) and treatment-resistant depressive disorder (35.5%) were the most common indications for ECT. At the time of ECT consultation, 16 patients (51.6%) had a serious medical illness, including cancer (19.4%) or end-organ disease (22.6%). Fourteen patients had major neurocognitive disorder (MNCD) (45.2%). Surrogate decision-makers consented for ECT in 64.5% of cases. All 21 patients who received ECT experienced psychiatric symptom improvement. ECT was associated with reduced mortality risk in 5 (23.8%) cases. Five patients initially misdiagnosed with MNCD experienced recovery in cognitive function after ECT, and the diagnosis was revised to depression-related cognitive dysfunction. Eight patients retained a comorbid MNCD diagnosis but experienced a mean Montreal Cognitive Assessment (MoCA) improvement of 5 points (range 0 to 17) with ECT. Discussion: This work highlights the use of ECT among patients with serious medical illnesses, identifying cases when ECT was beneficial or deemed unsuitable. Patients with serious medical illnesses who also had an indication for ECT experienced improved QOL with ECT. Misdiagnoses, such as confusing depression-related cognitive dysfunction and catatonia for MNCD, were effectively addressed through ECT. The findings underscore the importance of cross-specialty collaboration between C-L psychiatry and PC. Conclusions: Patients who receive PECT experience reduced suffering and improved QOL. PECT may be helpful in scenarios of life-threatening psychiatric illnesses, terminal medical illnesses with comorbid treatment-refractory psychiatric illnesses, and …","author":[{"dropping-particle":"","family":"Robbins-Welty","given":"Gregg","non-dropping-particle":"","parse-names":false,"suffix":""},{"dropping-particle":"","family":"Slauer","given":"Ryan D.","non-dropping-particle":"","parse-names":false,"suffix":""},{"dropping-particle":"","family":"Brown","given":"Madeline M.","non-dropping-particle":"","parse-names":false,"suffix":""},{"dropping-particle":"","family":"Nakatani","given":"Morgan M.","non-dropping-particle":"","parse-names":false,"suffix":""},{"dropping-particle":"","family":"Shalev","given":"Dan","non-dropping-particle":"","parse-names":false,"suffix":""},{"dropping-particle":"","family":"Feigal","given":"Jacob","non-dropping-particle":"","parse-names":false,"suffix":""}],"container-title":"Journal of the Academy of Consultation-Liaison Psychiatry","id":"ITEM-1","issued":{"date-parts":[["2024"]]},"publisher":"J Acad Consult Liaison Psychiatry","title":"Palliative Electroconvulsive Therapy: A Descriptive Cohort Study","type":"article-journal"},"uris":["http://www.mendeley.com/documents/?uuid=c1d075d1-af8f-3f1a-91a6-64564dd40c94"]},{"id":"ITEM-2","itemData":{"DOI":"10.1038/s41572-024-00534-w","ISSN":"2056676X","PMID":"39025858","abstract":"Catatonia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Primers","id":"ITEM-2","issue":"1","issued":{"date-parts":[["2024","12","1"]]},"publisher":"Nature Research","title":"Catatonia","type":"article-journal","volume":"10"},"uris":["http://www.mendeley.com/documents/?uuid=4326a704-62f4-3cc1-b3d9-e311e36e7fa4"]},{"id":"ITEM-3","itemData":{"DOI":"10.4103/JGMH.JGMH_6_24","ISSN":"2348-9995","author":[{"dropping-particle":"","family":"Grover","given":"Sandeep","non-dropping-particle":"","parse-names":false,"suffix":""},{"dropping-particle":"","family":"Laxmi","given":"Raj","non-dropping-particle":"","parse-names":false,"suffix":""},{"dropping-particle":"","family":"Chakrabarti","given":"Subho","non-dropping-particle":"","parse-names":false,"suffix":""}],"container-title":"Journal of Geriatric Mental Health","id":"ITEM-3","issue":"1","issued":{"date-parts":[["2024","1"]]},"page":"44-48","publisher":"Medknow","title":"Catatonia among elderly: A retrospective study from an inpatient setting of a tertiary care center","type":"article-journal","volume":"11"},"uris":["http://www.mendeley.com/documents/?uuid=4e196901-d18b-353d-8284-5345a8b8ff05"]}],"mendeley":{"formattedCitation":"(17,26,103)","plainTextFormattedCitation":"(17,26,103)","previouslyFormattedCitation":"(17,26,103)"},"properties":{"noteIndex":0},"schema":"https://github.com/citation-style-language/schema/raw/master/csl-citation.json"}</w:instrText>
      </w:r>
      <w:r w:rsidR="00026E2D" w:rsidRPr="00677ACC">
        <w:fldChar w:fldCharType="separate"/>
      </w:r>
      <w:r w:rsidR="00EF1C44" w:rsidRPr="00EF1C44">
        <w:rPr>
          <w:noProof/>
        </w:rPr>
        <w:t>(17,26,103)</w:t>
      </w:r>
      <w:r w:rsidR="00026E2D" w:rsidRPr="00677ACC">
        <w:fldChar w:fldCharType="end"/>
      </w:r>
      <w:r w:rsidR="008104FC">
        <w:t>.</w:t>
      </w:r>
    </w:p>
    <w:p w14:paraId="05EA02ED" w14:textId="23659D75" w:rsidR="00DA5651" w:rsidRPr="00677ACC" w:rsidRDefault="00DA5651" w:rsidP="00677ACC">
      <w:pPr>
        <w:spacing w:line="480" w:lineRule="auto"/>
      </w:pPr>
      <w:r w:rsidRPr="00677ACC">
        <w:rPr>
          <w:color w:val="000000"/>
        </w:rPr>
        <w:t xml:space="preserve">Hospice regulations may limit access to interventions that are both life-prolonging and palliative </w:t>
      </w:r>
      <w:r w:rsidR="00026E2D" w:rsidRPr="00677ACC">
        <w:rPr>
          <w:color w:val="000000"/>
        </w:rPr>
        <w:t xml:space="preserve">such as </w:t>
      </w:r>
      <w:r w:rsidRPr="00677ACC">
        <w:rPr>
          <w:color w:val="000000"/>
        </w:rPr>
        <w:t>dialysis, transfusions, advanced heart failure therapies</w:t>
      </w:r>
      <w:r w:rsidR="00026E2D" w:rsidRPr="00677ACC">
        <w:rPr>
          <w:color w:val="000000"/>
        </w:rPr>
        <w:t>, and ECT</w:t>
      </w:r>
      <w:r w:rsidRPr="00677ACC">
        <w:rPr>
          <w:color w:val="000000"/>
        </w:rPr>
        <w:t xml:space="preserve"> </w:t>
      </w:r>
      <w:r w:rsidR="00026E2D" w:rsidRPr="00677ACC">
        <w:fldChar w:fldCharType="begin" w:fldLock="1"/>
      </w:r>
      <w:r w:rsidR="00EF1C44">
        <w:instrText>ADDIN CSL_CITATION {"citationItems":[{"id":"ITEM-1","itemData":{"DOI":"10.1001/JAMAHEALTHFORUM.2023.2603","ISSN":"26890186","PMID":"37594744","abstract":"&lt;h3&gt;Importance&lt;/h3&gt;&lt;p&gt;Hospice care is a unique type of medical care for people near the end of life and their families, with an emphasis on providing physical and psychological symptom management, spiritual care, and family caregiver support to promote quality of life. However, many people in the US who could benefit from hospice have very short stays or do not enroll at all due to current hospice policy. Changing policy to allow for concurrent availability of disease-directed therapy and hospice care—known as concurrent care—offers an opportunity to increase hospice use and lengths of stay.&lt;/p&gt;&lt;h3&gt;Observations&lt;/h3&gt;&lt;p&gt;Under Medicare payment policy, hospices are responsible for covering all costs related to patients’ terminal conditions under a per diem rate. This payment structure has led to a de facto requirement that patients forgo costly therapies (including life-prolonging treatments or those with palliative intent) on enrollment in hospice because they are prohibitively expensive. In other countries, in Medicaid for children, and in the Veterans Health Administration in the US, there is greater flexibility in providing hospice services alongside life-prolonging care. Often paired with innovative payment models, concurrent care smooths practical, psychological, and physical care transitions when patient goals prioritize comfort. For example, allowing simultaneous receipt of hospice care and dialysis for people living with end-stage kidney disease—a group with relatively low hospice enrollment—can act as a bridge to hospice and potentially promote longer lengths of stay.&lt;/p&gt;&lt;h3&gt;Conclusions and Relevance&lt;/h3&gt;&lt;p&gt;Medicare and health care delivery systems are increasingly testing payment and care delivery models to improve hospice use via concurrent care, offering an important opportunity for innovation to better meet the needs of people living with serious illness and their families.&lt;/p&gt;","author":[{"dropping-particle":"","family":"Ernecoff","given":"Natalie C.","non-dropping-particle":"","parse-names":false,"suffix":""},{"dropping-particle":"","family":"Anhang Price","given":"Rebecca","non-dropping-particle":"","parse-names":false,"suffix":""}],"container-title":"JAMA Health Forum","id":"ITEM-1","issue":"8","issued":{"date-parts":[["2023","8","4"]]},"page":"e232603-e232603","publisher":"American Medical Association","title":"Concurrent Care as the Next Frontier in End-of-Life Care","type":"article-journal","volume":"4"},"uris":["http://www.mendeley.com/documents/?uuid=76eb304b-4e4a-3ce0-b940-c0f6ad6fc156"]}],"mendeley":{"formattedCitation":"(104)","plainTextFormattedCitation":"(104)","previouslyFormattedCitation":"(104)"},"properties":{"noteIndex":0},"schema":"https://github.com/citation-style-language/schema/raw/master/csl-citation.json"}</w:instrText>
      </w:r>
      <w:r w:rsidR="00026E2D" w:rsidRPr="00677ACC">
        <w:fldChar w:fldCharType="separate"/>
      </w:r>
      <w:r w:rsidR="00EF1C44" w:rsidRPr="00EF1C44">
        <w:rPr>
          <w:noProof/>
        </w:rPr>
        <w:t>(104)</w:t>
      </w:r>
      <w:r w:rsidR="00026E2D" w:rsidRPr="00677ACC">
        <w:fldChar w:fldCharType="end"/>
      </w:r>
      <w:r w:rsidR="008104FC">
        <w:t>.</w:t>
      </w:r>
      <w:r w:rsidRPr="00677ACC">
        <w:rPr>
          <w:color w:val="000000"/>
        </w:rPr>
        <w:t xml:space="preserve"> </w:t>
      </w:r>
      <w:r w:rsidR="00026E2D" w:rsidRPr="00677ACC">
        <w:rPr>
          <w:color w:val="000000"/>
        </w:rPr>
        <w:t>S</w:t>
      </w:r>
      <w:r w:rsidRPr="00677ACC">
        <w:rPr>
          <w:color w:val="000000"/>
        </w:rPr>
        <w:t>ome patients with chronic or relapsing catatonia require maintenance ECT on a spaced schedule (e.g., weekly), and recurrence of symptoms is often seen when treatment intervals are extended</w:t>
      </w:r>
      <w:r w:rsidR="00026E2D" w:rsidRPr="00677ACC">
        <w:rPr>
          <w:shd w:val="clear" w:color="auto" w:fill="FFFFFF"/>
        </w:rPr>
        <w:t xml:space="preserve"> </w:t>
      </w:r>
      <w:r w:rsidR="00026E2D" w:rsidRPr="00677ACC">
        <w:rPr>
          <w:shd w:val="clear" w:color="auto" w:fill="FFFFFF"/>
        </w:rPr>
        <w:fldChar w:fldCharType="begin" w:fldLock="1"/>
      </w:r>
      <w:r w:rsidR="00EF1C44">
        <w:rPr>
          <w:shd w:val="clear" w:color="auto" w:fill="FFFFFF"/>
        </w:rPr>
        <w:instrText>ADDIN CSL_CITATION {"citationItems":[{"id":"ITEM-1","itemData":{"DOI":"10.1038/s41572-024-00534-w","ISSN":"2056676X","PMID":"39025858","abstract":"Catatonia is a neuropsychiatric disorder characterized by motor, affective and cognitive–behavioural signs, which lasts from hours to days. Intensive research over the past two decades has led to catatonia being recognized as an independent diagnosis in the International Classification of Diseases, 11th Revision (ICD-11) since 2022. Catatonia is found in 5–18% of inpatients on psychiatric units and 3.3% of inpatients on medical units. However, in an unknown number of patients, catatonia remains unrecognized and these patients are at risk of life-threatening complications. Hence, recognizing the symptoms of catatonia early is crucial to initiate appropriate treatment to achieve a favourable outcome. Benzodiazepines such as lorazepam and diazepam, electroconvulsive therapy, and N-methyl-d-aspartate antagonists such as amantadine and memantine, are the cornerstones of catatonia therapy. In addition, dopamine-modulating second-generation antipsychotics (for example, clozapine and aripiprazole) are effective in some patient populations. Early and appropriate treatment combined with new screening assessments has the potential to reduce the high morbidity and mortality associated with catatonia in psychiatric and non-psychiatric settings.","author":[{"dropping-particle":"","family":"Hirjak","given":"Dusan","non-dropping-particle":"","parse-names":false,"suffix":""},{"dropping-particle":"","family":"Rogers","given":"Jonathan P.","non-dropping-particle":"","parse-names":false,"suffix":""},{"dropping-particle":"","family":"Wolf","given":"Robert Christian","non-dropping-particle":"","parse-names":false,"suffix":""},{"dropping-particle":"","family":"Kubera","given":"Katharina Maria","non-dropping-particle":"","parse-names":false,"suffix":""},{"dropping-particle":"","family":"Fritze","given":"Stefan","non-dropping-particle":"","parse-names":false,"suffix":""},{"dropping-particle":"","family":"Wilson","given":"Jo Ellen","non-dropping-particle":"","parse-names":false,"suffix":""},{"dropping-particle":"","family":"Sambataro","given":"Fabio","non-dropping-particle":"","parse-names":false,"suffix":""},{"dropping-particle":"","family":"Fricchione","given":"Gregory","non-dropping-particle":"","parse-names":false,"suffix":""},{"dropping-particle":"","family":"Meyer-Lindenberg","given":"Andreas","non-dropping-particle":"","parse-names":false,"suffix":""},{"dropping-particle":"","family":"Ungvari","given":"Gabor S.","non-dropping-particle":"","parse-names":false,"suffix":""},{"dropping-particle":"","family":"Northoff","given":"Georg","non-dropping-particle":"","parse-names":false,"suffix":""}],"container-title":"Nature Reviews Disease Primers","id":"ITEM-1","issue":"1","issued":{"date-parts":[["2024","12","1"]]},"publisher":"Nature Research","title":"Catatonia","type":"article-journal","volume":"10"},"uris":["http://www.mendeley.com/documents/?uuid=e8487146-a3a4-304c-8c0e-603ee2666288"]},{"id":"ITEM-2","itemData":{"DOI":"10.1056/NEJMRA2116304","ISSN":"0028-4793","abstract":"Catatonia, characterized by staring, immobility, mutism, and unusual postures, has diverse causes. Treatment of an underlying disorder and intravenous lorazepam, sometimes at high doses, are usuall...","author":[{"dropping-particle":"","family":"Heckers","given":"Stephan","non-dropping-particle":"","parse-names":false,"suffix":""},{"dropping-particle":"","family":"Walther","given":"Sebastian","non-dropping-particle":"","parse-names":false,"suffix":""}],"container-title":"New England Journal of Medicine","editor":[{"dropping-particle":"","family":"Ropper","given":"Allan H.","non-dropping-particle":"","parse-names":false,"suffix":""}],"id":"ITEM-2","issue":"19","issued":{"date-parts":[["2023","11","9"]]},"page":"1797-1802","publisher":"Massachusetts Medical Society","title":"Catatonia","type":"article-journal","volume":"389"},"uris":["http://www.mendeley.com/documents/?uuid=86ece16a-5695-32ea-815c-6d0809c0698a"]}],"mendeley":{"formattedCitation":"(17,59)","plainTextFormattedCitation":"(17,59)","previouslyFormattedCitation":"(17,59)"},"properties":{"noteIndex":0},"schema":"https://github.com/citation-style-language/schema/raw/master/csl-citation.json"}</w:instrText>
      </w:r>
      <w:r w:rsidR="00026E2D" w:rsidRPr="00677ACC">
        <w:rPr>
          <w:shd w:val="clear" w:color="auto" w:fill="FFFFFF"/>
        </w:rPr>
        <w:fldChar w:fldCharType="separate"/>
      </w:r>
      <w:r w:rsidR="006F585C" w:rsidRPr="006F585C">
        <w:rPr>
          <w:noProof/>
          <w:shd w:val="clear" w:color="auto" w:fill="FFFFFF"/>
        </w:rPr>
        <w:t>(17,59)</w:t>
      </w:r>
      <w:r w:rsidR="00026E2D" w:rsidRPr="00677ACC">
        <w:rPr>
          <w:shd w:val="clear" w:color="auto" w:fill="FFFFFF"/>
        </w:rPr>
        <w:fldChar w:fldCharType="end"/>
      </w:r>
      <w:r w:rsidR="008104FC">
        <w:rPr>
          <w:shd w:val="clear" w:color="auto" w:fill="FFFFFF"/>
        </w:rPr>
        <w:t>.</w:t>
      </w:r>
      <w:r w:rsidR="00026E2D" w:rsidRPr="00677ACC">
        <w:t xml:space="preserve"> </w:t>
      </w:r>
      <w:r w:rsidRPr="00677ACC">
        <w:rPr>
          <w:color w:val="000000"/>
        </w:rPr>
        <w:t xml:space="preserve">A palliative ECT approach, prioritizing function and comfort, is consistent with hospice philosophy but may be financially or logistically restricted, and there is opportunity for PC clinicians to advocate for continued access. Future research and advocacy are needed to explore how ECT and other psychiatric treatments might be incorporated into models of concurrent care in hospice </w:t>
      </w:r>
      <w:r w:rsidR="00575895" w:rsidRPr="00677ACC">
        <w:fldChar w:fldCharType="begin" w:fldLock="1"/>
      </w:r>
      <w:r w:rsidR="00EF1C44">
        <w:instrText>ADDIN CSL_CITATION {"citationItems":[{"id":"ITEM-1","itemData":{"DOI":"10.1001/JAMAHEALTHFORUM.2023.2603","ISSN":"26890186","PMID":"37594744","abstract":"&lt;h3&gt;Importance&lt;/h3&gt;&lt;p&gt;Hospice care is a unique type of medical care for people near the end of life and their families, with an emphasis on providing physical and psychological symptom management, spiritual care, and family caregiver support to promote quality of life. However, many people in the US who could benefit from hospice have very short stays or do not enroll at all due to current hospice policy. Changing policy to allow for concurrent availability of disease-directed therapy and hospice care—known as concurrent care—offers an opportunity to increase hospice use and lengths of stay.&lt;/p&gt;&lt;h3&gt;Observations&lt;/h3&gt;&lt;p&gt;Under Medicare payment policy, hospices are responsible for covering all costs related to patients’ terminal conditions under a per diem rate. This payment structure has led to a de facto requirement that patients forgo costly therapies (including life-prolonging treatments or those with palliative intent) on enrollment in hospice because they are prohibitively expensive. In other countries, in Medicaid for children, and in the Veterans Health Administration in the US, there is greater flexibility in providing hospice services alongside life-prolonging care. Often paired with innovative payment models, concurrent care smooths practical, psychological, and physical care transitions when patient goals prioritize comfort. For example, allowing simultaneous receipt of hospice care and dialysis for people living with end-stage kidney disease—a group with relatively low hospice enrollment—can act as a bridge to hospice and potentially promote longer lengths of stay.&lt;/p&gt;&lt;h3&gt;Conclusions and Relevance&lt;/h3&gt;&lt;p&gt;Medicare and health care delivery systems are increasingly testing payment and care delivery models to improve hospice use via concurrent care, offering an important opportunity for innovation to better meet the needs of people living with serious illness and their families.&lt;/p&gt;","author":[{"dropping-particle":"","family":"Ernecoff","given":"Natalie C.","non-dropping-particle":"","parse-names":false,"suffix":""},{"dropping-particle":"","family":"Anhang Price","given":"Rebecca","non-dropping-particle":"","parse-names":false,"suffix":""}],"container-title":"JAMA Health Forum","id":"ITEM-1","issue":"8","issued":{"date-parts":[["2023","8","4"]]},"page":"e232603-e232603","publisher":"American Medical Association","title":"Concurrent Care as the Next Frontier in End-of-Life Care","type":"article-journal","volume":"4"},"uris":["http://www.mendeley.com/documents/?uuid=76eb304b-4e4a-3ce0-b940-c0f6ad6fc156"]}],"mendeley":{"formattedCitation":"(104)","plainTextFormattedCitation":"(104)","previouslyFormattedCitation":"(104)"},"properties":{"noteIndex":0},"schema":"https://github.com/citation-style-language/schema/raw/master/csl-citation.json"}</w:instrText>
      </w:r>
      <w:r w:rsidR="00575895" w:rsidRPr="00677ACC">
        <w:fldChar w:fldCharType="separate"/>
      </w:r>
      <w:r w:rsidR="00EF1C44" w:rsidRPr="00EF1C44">
        <w:rPr>
          <w:noProof/>
        </w:rPr>
        <w:t>(104)</w:t>
      </w:r>
      <w:r w:rsidR="00575895" w:rsidRPr="00677ACC">
        <w:fldChar w:fldCharType="end"/>
      </w:r>
      <w:r w:rsidR="008104FC">
        <w:t>.</w:t>
      </w:r>
    </w:p>
    <w:p w14:paraId="199F31B5" w14:textId="77777777" w:rsidR="005E19E9" w:rsidRPr="00677ACC" w:rsidRDefault="005E19E9" w:rsidP="00677ACC">
      <w:pPr>
        <w:spacing w:before="100" w:beforeAutospacing="1" w:after="100" w:afterAutospacing="1" w:line="480" w:lineRule="auto"/>
        <w:outlineLvl w:val="1"/>
        <w:rPr>
          <w:b/>
          <w:bCs/>
        </w:rPr>
      </w:pPr>
      <w:r w:rsidRPr="00677ACC">
        <w:rPr>
          <w:b/>
          <w:bCs/>
        </w:rPr>
        <w:t>Future Directions</w:t>
      </w:r>
    </w:p>
    <w:p w14:paraId="0B42A9C0" w14:textId="3E768638" w:rsidR="005E19E9" w:rsidRPr="00677ACC" w:rsidRDefault="005E19E9" w:rsidP="00677ACC">
      <w:pPr>
        <w:spacing w:before="100" w:beforeAutospacing="1" w:after="100" w:afterAutospacing="1" w:line="480" w:lineRule="auto"/>
      </w:pPr>
      <w:r w:rsidRPr="00677ACC">
        <w:t xml:space="preserve">Despite growing awareness of catatonia in </w:t>
      </w:r>
      <w:r w:rsidR="00575895" w:rsidRPr="00677ACC">
        <w:t>patients with serious illness</w:t>
      </w:r>
      <w:r w:rsidRPr="00677ACC">
        <w:t>, critical gaps remain in how best to assess and manage this condition in PC settings. Future work must aim to clarify the true prevalence and impact of catatonia among patients with serious illness. Prospective epidemiologic studies across care settings, including outpatient clinics, inpatient units, and long-term care facilities, are needed to capture the full scope of catatonia's presentation and burden.</w:t>
      </w:r>
    </w:p>
    <w:p w14:paraId="1776D8AF" w14:textId="3471BEAF" w:rsidR="005E19E9" w:rsidRPr="00677ACC" w:rsidRDefault="00FE3EDC" w:rsidP="00677ACC">
      <w:pPr>
        <w:spacing w:before="100" w:beforeAutospacing="1" w:after="100" w:afterAutospacing="1" w:line="480" w:lineRule="auto"/>
      </w:pPr>
      <w:r w:rsidRPr="00677ACC">
        <w:t>Further</w:t>
      </w:r>
      <w:r w:rsidR="005E19E9" w:rsidRPr="00677ACC">
        <w:t xml:space="preserve"> studies are needed to examine how catatonia affects QOL, caregiver burden, communication, decision-making, and overall clinical trajectory. Just as importantly, education </w:t>
      </w:r>
      <w:r w:rsidR="005E19E9" w:rsidRPr="00677ACC">
        <w:lastRenderedPageBreak/>
        <w:t xml:space="preserve">and training for non-psychiatric clinicians could improve recognition and reduce diagnostic delays. Brief bedside tools that account for diagnostic uncertainty and overlap with delirium may support earlier identification and treatment. Decision aids developed with patients, caregivers, and clinicians could further </w:t>
      </w:r>
      <w:r w:rsidRPr="00677ACC">
        <w:t>guide conversations about interventions like ECT, especially when balancing symptom relief, prognosis, and treatment burden in the setting of serious illness</w:t>
      </w:r>
      <w:r w:rsidR="005E19E9" w:rsidRPr="00677ACC">
        <w:t>.</w:t>
      </w:r>
    </w:p>
    <w:p w14:paraId="45637250" w14:textId="77777777" w:rsidR="005E19E9" w:rsidRPr="00677ACC" w:rsidRDefault="005E19E9" w:rsidP="00677ACC">
      <w:pPr>
        <w:spacing w:before="100" w:beforeAutospacing="1" w:after="100" w:afterAutospacing="1" w:line="480" w:lineRule="auto"/>
      </w:pPr>
      <w:r w:rsidRPr="00677ACC">
        <w:t>Finally, further study is needed at the EOL. The experience and prevalence of catatonia in hospice settings remain almost entirely unexamined. Future work should focus on defining treatment approaches such as oral lorazepam protocols, expanding access to ECT where feasible, and developing outcomes focused on comfort, clarity, and dignity.</w:t>
      </w:r>
      <w:r w:rsidRPr="00677ACC">
        <w:rPr>
          <w:rStyle w:val="apple-converted-space"/>
          <w:rFonts w:eastAsiaTheme="majorEastAsia"/>
        </w:rPr>
        <w:t> </w:t>
      </w:r>
      <w:r w:rsidRPr="00677ACC">
        <w:t>Coordinated efforts in research, education, and advocacy are essential to improve care for catatonia across the spectrum of serious illness.</w:t>
      </w:r>
    </w:p>
    <w:p w14:paraId="058AD0BF" w14:textId="125AEC0D" w:rsidR="005E19E9" w:rsidRPr="00677ACC" w:rsidRDefault="005E19E9" w:rsidP="00677ACC">
      <w:pPr>
        <w:spacing w:before="100" w:beforeAutospacing="1" w:after="100" w:afterAutospacing="1" w:line="480" w:lineRule="auto"/>
        <w:outlineLvl w:val="1"/>
        <w:rPr>
          <w:b/>
          <w:bCs/>
        </w:rPr>
      </w:pPr>
      <w:r w:rsidRPr="00677ACC">
        <w:rPr>
          <w:b/>
          <w:bCs/>
        </w:rPr>
        <w:t>Conclusion</w:t>
      </w:r>
      <w:r w:rsidR="002E03EF">
        <w:rPr>
          <w:b/>
          <w:bCs/>
        </w:rPr>
        <w:t>s</w:t>
      </w:r>
    </w:p>
    <w:p w14:paraId="3976F1A0" w14:textId="5F192CD5" w:rsidR="005E19E9" w:rsidRPr="00677ACC" w:rsidRDefault="005E19E9" w:rsidP="00677ACC">
      <w:pPr>
        <w:pStyle w:val="NormalWeb"/>
        <w:spacing w:line="480" w:lineRule="auto"/>
      </w:pPr>
      <w:r w:rsidRPr="00677ACC">
        <w:t xml:space="preserve">Catatonia is a severe but often reversible neuropsychiatric syndrome that can profoundly shape the course of serious illness. Though historically associated with psychiatric conditions, it is increasingly recognized in medically complex patients, where it may </w:t>
      </w:r>
      <w:proofErr w:type="gramStart"/>
      <w:r w:rsidR="00FE3EDC" w:rsidRPr="00677ACC">
        <w:t>misconstrued</w:t>
      </w:r>
      <w:proofErr w:type="gramEnd"/>
      <w:r w:rsidR="00FE3EDC" w:rsidRPr="00677ACC">
        <w:t xml:space="preserve"> as other neuropsychiatric conditions</w:t>
      </w:r>
      <w:r w:rsidRPr="00677ACC">
        <w:t>, obscure prognosis, and disrupt communication and decision-making.</w:t>
      </w:r>
    </w:p>
    <w:p w14:paraId="0A5D0F31" w14:textId="10D8C693" w:rsidR="006021E2" w:rsidRPr="00677ACC" w:rsidRDefault="005E19E9" w:rsidP="00847639">
      <w:pPr>
        <w:pStyle w:val="NormalWeb"/>
        <w:spacing w:line="480" w:lineRule="auto"/>
      </w:pPr>
      <w:r w:rsidRPr="00677ACC">
        <w:t xml:space="preserve">In PC, where symptom relief, communication, and aligning treatment with patient goals are central, the timely recognition and treatment of catatonia can meaningfully improve QOL. For PC clinicians, it must become a routine diagnostic consideration. Integrating catatonia into daily </w:t>
      </w:r>
      <w:r w:rsidRPr="00677ACC">
        <w:lastRenderedPageBreak/>
        <w:t>practice allows clinicians to navigate complexity with greater confidence and ensure care remains focused on what matters most to patients and families.</w:t>
      </w:r>
    </w:p>
    <w:p w14:paraId="6B3B004C" w14:textId="77777777" w:rsidR="00C4762B" w:rsidRDefault="00C4762B" w:rsidP="00677ACC">
      <w:pPr>
        <w:spacing w:after="240" w:line="480" w:lineRule="auto"/>
      </w:pPr>
    </w:p>
    <w:p w14:paraId="265471BB" w14:textId="77777777" w:rsidR="002E03EF" w:rsidRDefault="002E03EF" w:rsidP="00677ACC">
      <w:pPr>
        <w:spacing w:after="240" w:line="480" w:lineRule="auto"/>
      </w:pPr>
    </w:p>
    <w:p w14:paraId="795768F5" w14:textId="77777777" w:rsidR="002E03EF" w:rsidRPr="00677ACC" w:rsidRDefault="002E03EF" w:rsidP="002E03EF">
      <w:pPr>
        <w:spacing w:line="480" w:lineRule="auto"/>
      </w:pPr>
    </w:p>
    <w:p w14:paraId="42524A74" w14:textId="589C48D1" w:rsidR="002E03EF" w:rsidRPr="00677ACC" w:rsidRDefault="002E03EF" w:rsidP="00EF1C44">
      <w:pPr>
        <w:pStyle w:val="NormalWeb"/>
        <w:spacing w:before="0" w:beforeAutospacing="0" w:after="0" w:afterAutospacing="0" w:line="480" w:lineRule="auto"/>
      </w:pPr>
      <w:r w:rsidRPr="00677ACC">
        <w:t>Acknowledgements:</w:t>
      </w:r>
      <w:r w:rsidR="00EF1C44">
        <w:t xml:space="preserve"> None</w:t>
      </w:r>
    </w:p>
    <w:p w14:paraId="5058F4AC" w14:textId="77777777" w:rsidR="002E03EF" w:rsidRDefault="002E03EF" w:rsidP="00677ACC">
      <w:pPr>
        <w:spacing w:after="240" w:line="480" w:lineRule="auto"/>
      </w:pPr>
    </w:p>
    <w:p w14:paraId="307D8877" w14:textId="77777777" w:rsidR="00213F06" w:rsidRPr="00213F06" w:rsidRDefault="00213F06" w:rsidP="00213F06">
      <w:pPr>
        <w:spacing w:after="240" w:line="480" w:lineRule="auto"/>
        <w:rPr>
          <w:b/>
          <w:bCs/>
          <w:lang w:val="en-GB"/>
        </w:rPr>
      </w:pPr>
      <w:r w:rsidRPr="00213F06">
        <w:rPr>
          <w:b/>
          <w:bCs/>
          <w:lang w:val="en-GB"/>
        </w:rPr>
        <w:t xml:space="preserve">Footnote </w:t>
      </w:r>
    </w:p>
    <w:p w14:paraId="5AE90396" w14:textId="0B7C6F3F" w:rsidR="00213F06" w:rsidRPr="00213F06" w:rsidRDefault="00213F06" w:rsidP="00213F06">
      <w:pPr>
        <w:spacing w:after="240" w:line="480" w:lineRule="auto"/>
        <w:rPr>
          <w:color w:val="FF0000"/>
          <w:lang w:val="en-GB"/>
        </w:rPr>
      </w:pPr>
      <w:r w:rsidRPr="00213F06">
        <w:rPr>
          <w:i/>
          <w:iCs/>
          <w:color w:val="FF0000"/>
          <w:lang w:val="en-GB"/>
        </w:rPr>
        <w:t xml:space="preserve">Provenance and Peer Review: </w:t>
      </w:r>
      <w:r w:rsidRPr="00213F06">
        <w:rPr>
          <w:color w:val="FF0000"/>
          <w:lang w:val="en-GB"/>
        </w:rPr>
        <w:t>This article was commissioned by the Guest Editor (</w:t>
      </w:r>
      <w:r w:rsidRPr="006C0089">
        <w:rPr>
          <w:color w:val="FF0000"/>
          <w:lang w:val="en-GB"/>
        </w:rPr>
        <w:t>Alexander Gamble</w:t>
      </w:r>
      <w:r w:rsidRPr="00213F06">
        <w:rPr>
          <w:color w:val="FF0000"/>
          <w:lang w:val="en-GB"/>
        </w:rPr>
        <w:t xml:space="preserve">) for the </w:t>
      </w:r>
      <w:proofErr w:type="spellStart"/>
      <w:r w:rsidRPr="00213F06">
        <w:rPr>
          <w:color w:val="FF0000"/>
          <w:lang w:val="en-GB"/>
        </w:rPr>
        <w:t>series</w:t>
      </w:r>
      <w:proofErr w:type="spellEnd"/>
      <w:r w:rsidRPr="00213F06">
        <w:rPr>
          <w:color w:val="FF0000"/>
          <w:lang w:val="en-GB"/>
        </w:rPr>
        <w:t xml:space="preserve"> “</w:t>
      </w:r>
      <w:r w:rsidRPr="006C0089">
        <w:rPr>
          <w:color w:val="FF0000"/>
        </w:rPr>
        <w:t>Integration of Palliative Care and Mental Health Services</w:t>
      </w:r>
      <w:r w:rsidRPr="00213F06">
        <w:rPr>
          <w:color w:val="FF0000"/>
          <w:lang w:val="en-GB"/>
        </w:rPr>
        <w:t>” published in</w:t>
      </w:r>
      <w:r w:rsidRPr="00213F06">
        <w:rPr>
          <w:i/>
          <w:iCs/>
          <w:color w:val="FF0000"/>
          <w:lang w:val="en-GB"/>
        </w:rPr>
        <w:t xml:space="preserve"> Annals of Palliative Medicine</w:t>
      </w:r>
      <w:r w:rsidRPr="00213F06">
        <w:rPr>
          <w:color w:val="FF0000"/>
          <w:lang w:val="en-GB"/>
        </w:rPr>
        <w:t>. The article has undergone external peer review.</w:t>
      </w:r>
    </w:p>
    <w:p w14:paraId="383B80D6" w14:textId="5ABC5EF7" w:rsidR="00213F06" w:rsidRPr="00213F06" w:rsidRDefault="00213F06" w:rsidP="00213F06">
      <w:pPr>
        <w:spacing w:after="240" w:line="480" w:lineRule="auto"/>
        <w:rPr>
          <w:lang w:val="en-GB"/>
        </w:rPr>
      </w:pPr>
      <w:r w:rsidRPr="00213F06">
        <w:rPr>
          <w:i/>
          <w:iCs/>
          <w:lang w:val="en-GB"/>
        </w:rPr>
        <w:t>Peer Review File:</w:t>
      </w:r>
      <w:r w:rsidRPr="00213F06">
        <w:rPr>
          <w:lang w:val="en-GB"/>
        </w:rPr>
        <w:t xml:space="preserve"> Available at https://apm.amegroups.com/article/view/10.21037/apm-25-</w:t>
      </w:r>
      <w:r>
        <w:rPr>
          <w:rFonts w:hint="eastAsia"/>
          <w:lang w:val="en-GB" w:eastAsia="zh-CN"/>
        </w:rPr>
        <w:t>7</w:t>
      </w:r>
      <w:r w:rsidRPr="00213F06">
        <w:rPr>
          <w:lang w:val="en-GB"/>
        </w:rPr>
        <w:t>6/prf</w:t>
      </w:r>
    </w:p>
    <w:p w14:paraId="5DCA686F" w14:textId="475D3E0C" w:rsidR="00213F06" w:rsidRPr="00213F06" w:rsidRDefault="00213F06" w:rsidP="00213F06">
      <w:pPr>
        <w:pStyle w:val="NormalWeb"/>
        <w:spacing w:before="0" w:beforeAutospacing="0" w:after="0" w:afterAutospacing="0" w:line="480" w:lineRule="auto"/>
        <w:rPr>
          <w:color w:val="FF0000"/>
        </w:rPr>
      </w:pPr>
      <w:r w:rsidRPr="00213F06">
        <w:rPr>
          <w:i/>
          <w:iCs/>
          <w:color w:val="FF0000"/>
          <w:lang w:val="en-GB"/>
        </w:rPr>
        <w:t>Funding:</w:t>
      </w:r>
      <w:r w:rsidRPr="00213F06">
        <w:rPr>
          <w:color w:val="FF0000"/>
        </w:rPr>
        <w:t xml:space="preserve"> </w:t>
      </w:r>
      <w:r w:rsidRPr="00213F06">
        <w:rPr>
          <w:rFonts w:hint="eastAsia"/>
          <w:color w:val="FF0000"/>
          <w:lang w:eastAsia="zh-CN"/>
        </w:rPr>
        <w:t xml:space="preserve">This study was supported by the </w:t>
      </w:r>
      <w:r w:rsidRPr="00213F06">
        <w:rPr>
          <w:color w:val="FF0000"/>
        </w:rPr>
        <w:t>Eunice Kennedy Shriver National Institute of Child Health and Human Development (</w:t>
      </w:r>
      <w:r w:rsidRPr="00213F06">
        <w:rPr>
          <w:rFonts w:hint="eastAsia"/>
          <w:color w:val="FF0000"/>
          <w:lang w:eastAsia="zh-CN"/>
        </w:rPr>
        <w:t>No</w:t>
      </w:r>
      <w:r w:rsidRPr="00213F06">
        <w:rPr>
          <w:color w:val="FF0000"/>
          <w:lang w:eastAsia="zh-CN"/>
        </w:rPr>
        <w:t xml:space="preserve">.: </w:t>
      </w:r>
      <w:r w:rsidRPr="00213F06">
        <w:rPr>
          <w:color w:val="FF0000"/>
        </w:rPr>
        <w:t>1P50-HD103537; to JRS) and National Institute of Mental Health (</w:t>
      </w:r>
      <w:r w:rsidRPr="00213F06">
        <w:rPr>
          <w:rFonts w:hint="eastAsia"/>
          <w:color w:val="FF0000"/>
          <w:lang w:eastAsia="zh-CN"/>
        </w:rPr>
        <w:t>No</w:t>
      </w:r>
      <w:r w:rsidRPr="00213F06">
        <w:rPr>
          <w:color w:val="FF0000"/>
          <w:lang w:eastAsia="zh-CN"/>
        </w:rPr>
        <w:t xml:space="preserve">.: </w:t>
      </w:r>
      <w:r w:rsidRPr="00213F06">
        <w:rPr>
          <w:color w:val="FF0000"/>
        </w:rPr>
        <w:t xml:space="preserve">R01-MH135028; to JRS). </w:t>
      </w:r>
    </w:p>
    <w:p w14:paraId="39154A3C" w14:textId="52D548DB" w:rsidR="00213F06" w:rsidRPr="00213F06" w:rsidRDefault="00213F06" w:rsidP="00213F06">
      <w:pPr>
        <w:spacing w:after="240" w:line="480" w:lineRule="auto"/>
      </w:pPr>
      <w:r w:rsidRPr="00213F06">
        <w:rPr>
          <w:i/>
          <w:iCs/>
          <w:lang w:val="en-GB"/>
        </w:rPr>
        <w:t xml:space="preserve">Conflicts of Interest: </w:t>
      </w:r>
      <w:r w:rsidRPr="00213F06">
        <w:rPr>
          <w:rFonts w:hint="eastAsia"/>
          <w:lang w:val="en-GB" w:eastAsia="zh-CN"/>
        </w:rPr>
        <w:t>All</w:t>
      </w:r>
      <w:r>
        <w:rPr>
          <w:rFonts w:hint="eastAsia"/>
          <w:i/>
          <w:iCs/>
          <w:lang w:val="en-GB" w:eastAsia="zh-CN"/>
        </w:rPr>
        <w:t xml:space="preserve"> </w:t>
      </w:r>
      <w:r w:rsidRPr="00213F06">
        <w:rPr>
          <w:lang w:val="en-GB"/>
        </w:rPr>
        <w:t>authors have completed the ICMJE uniform disclosure form (available at https://apm.amegroups.com/article/view/10.21037/apm-25-</w:t>
      </w:r>
      <w:r>
        <w:rPr>
          <w:rFonts w:hint="eastAsia"/>
          <w:lang w:val="en-GB" w:eastAsia="zh-CN"/>
        </w:rPr>
        <w:t>7</w:t>
      </w:r>
      <w:r w:rsidRPr="00213F06">
        <w:rPr>
          <w:lang w:val="en-GB"/>
        </w:rPr>
        <w:t xml:space="preserve">6/coif). </w:t>
      </w:r>
      <w:r w:rsidRPr="00213F06">
        <w:rPr>
          <w:color w:val="FF0000"/>
          <w:lang w:val="en-GB"/>
        </w:rPr>
        <w:t>The series “</w:t>
      </w:r>
      <w:r w:rsidRPr="006C0089">
        <w:rPr>
          <w:color w:val="FF0000"/>
        </w:rPr>
        <w:t>Integration of Palliative Care and Mental Health Services</w:t>
      </w:r>
      <w:r w:rsidRPr="00213F06">
        <w:rPr>
          <w:color w:val="FF0000"/>
          <w:lang w:val="en-GB"/>
        </w:rPr>
        <w:t>” was commissioned by the editorial office without any funding sponsorship.</w:t>
      </w:r>
      <w:r w:rsidRPr="006C0089">
        <w:rPr>
          <w:color w:val="FF0000"/>
        </w:rPr>
        <w:t xml:space="preserve"> JRS reporting receiving funding from the Eunice Kennedy Shriver National Institute of Child Health and Human Development</w:t>
      </w:r>
      <w:r w:rsidR="006C0089" w:rsidRPr="006C0089">
        <w:rPr>
          <w:rFonts w:hint="eastAsia"/>
          <w:color w:val="FF0000"/>
          <w:lang w:eastAsia="zh-CN"/>
        </w:rPr>
        <w:t xml:space="preserve"> </w:t>
      </w:r>
      <w:r w:rsidR="006C0089" w:rsidRPr="006C0089">
        <w:rPr>
          <w:color w:val="FF0000"/>
          <w:lang w:eastAsia="zh-CN"/>
        </w:rPr>
        <w:t>(No.: 1P50-HD103537)</w:t>
      </w:r>
      <w:r w:rsidRPr="006C0089">
        <w:rPr>
          <w:color w:val="FF0000"/>
        </w:rPr>
        <w:t xml:space="preserve">, National </w:t>
      </w:r>
      <w:r w:rsidRPr="006C0089">
        <w:rPr>
          <w:color w:val="FF0000"/>
        </w:rPr>
        <w:lastRenderedPageBreak/>
        <w:t>Institute of Mental Health</w:t>
      </w:r>
      <w:r w:rsidR="006C0089" w:rsidRPr="006C0089">
        <w:rPr>
          <w:rFonts w:hint="eastAsia"/>
          <w:color w:val="FF0000"/>
          <w:lang w:eastAsia="zh-CN"/>
        </w:rPr>
        <w:t xml:space="preserve"> </w:t>
      </w:r>
      <w:r w:rsidR="006C0089" w:rsidRPr="006C0089">
        <w:rPr>
          <w:color w:val="FF0000"/>
          <w:lang w:eastAsia="zh-CN"/>
        </w:rPr>
        <w:t>(No.: R01-MH135028)</w:t>
      </w:r>
      <w:r w:rsidRPr="006C0089">
        <w:rPr>
          <w:color w:val="FF0000"/>
        </w:rPr>
        <w:t>, Axial Therapeutics, and Roche.</w:t>
      </w:r>
      <w:r w:rsidRPr="00213F06">
        <w:rPr>
          <w:color w:val="FF0000"/>
          <w:lang w:val="en-GB"/>
        </w:rPr>
        <w:t xml:space="preserve"> The authors have no other conflicts of interest to declare.</w:t>
      </w:r>
    </w:p>
    <w:p w14:paraId="00CDA675" w14:textId="77777777" w:rsidR="00213F06" w:rsidRPr="00213F06" w:rsidRDefault="00213F06" w:rsidP="00213F06">
      <w:pPr>
        <w:spacing w:after="240" w:line="480" w:lineRule="auto"/>
        <w:rPr>
          <w:lang w:val="en-GB"/>
        </w:rPr>
      </w:pPr>
      <w:r w:rsidRPr="00213F06">
        <w:rPr>
          <w:i/>
          <w:iCs/>
          <w:lang w:val="en-GB"/>
        </w:rPr>
        <w:t xml:space="preserve">Ethical Statement: </w:t>
      </w:r>
      <w:r w:rsidRPr="00213F06">
        <w:rPr>
          <w:lang w:val="en-GB"/>
        </w:rPr>
        <w:t>The authors are accountable for all aspects of the work in ensuring that questions related to the accuracy or integrity of any part of the work are appropriately investigated and resolved.</w:t>
      </w:r>
    </w:p>
    <w:p w14:paraId="3928FE44" w14:textId="77777777" w:rsidR="00B5411D" w:rsidRDefault="00B5411D" w:rsidP="00677ACC">
      <w:pPr>
        <w:spacing w:after="240" w:line="480" w:lineRule="auto"/>
      </w:pPr>
    </w:p>
    <w:p w14:paraId="1D700584" w14:textId="77777777" w:rsidR="00B5411D" w:rsidRPr="00677ACC" w:rsidRDefault="00B5411D" w:rsidP="00677ACC">
      <w:pPr>
        <w:spacing w:after="240" w:line="480" w:lineRule="auto"/>
      </w:pPr>
    </w:p>
    <w:p w14:paraId="22CBEB63" w14:textId="77777777" w:rsidR="00C4762B" w:rsidRPr="00677ACC" w:rsidRDefault="00C4762B" w:rsidP="00677ACC">
      <w:pPr>
        <w:pStyle w:val="NormalWeb"/>
        <w:spacing w:before="0" w:beforeAutospacing="0" w:after="160" w:afterAutospacing="0" w:line="480" w:lineRule="auto"/>
        <w:rPr>
          <w:b/>
          <w:bCs/>
        </w:rPr>
      </w:pPr>
      <w:r w:rsidRPr="00677ACC">
        <w:rPr>
          <w:b/>
          <w:bCs/>
        </w:rPr>
        <w:t xml:space="preserve">Figure 1: Medical Workup of Catatonia: A Risk-Benefit Approach to Diagnostic Testing </w:t>
      </w:r>
    </w:p>
    <w:p w14:paraId="0411EA3E" w14:textId="5E105112" w:rsidR="00C4762B" w:rsidRDefault="004E06C7" w:rsidP="00677ACC">
      <w:pPr>
        <w:pStyle w:val="NormalWeb"/>
        <w:spacing w:before="0" w:beforeAutospacing="0" w:after="0" w:afterAutospacing="0" w:line="480" w:lineRule="auto"/>
        <w:rPr>
          <w:lang w:eastAsia="zh-CN"/>
        </w:rPr>
      </w:pPr>
      <w:r w:rsidRPr="004E06C7">
        <w:rPr>
          <w:noProof/>
        </w:rPr>
        <w:drawing>
          <wp:inline distT="0" distB="0" distL="0" distR="0" wp14:anchorId="33031999" wp14:editId="02F27194">
            <wp:extent cx="5943600" cy="3317240"/>
            <wp:effectExtent l="0" t="0" r="0" b="0"/>
            <wp:docPr id="655323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2382" name=""/>
                    <pic:cNvPicPr/>
                  </pic:nvPicPr>
                  <pic:blipFill>
                    <a:blip r:embed="rId8"/>
                    <a:stretch>
                      <a:fillRect/>
                    </a:stretch>
                  </pic:blipFill>
                  <pic:spPr>
                    <a:xfrm>
                      <a:off x="0" y="0"/>
                      <a:ext cx="5943600" cy="3317240"/>
                    </a:xfrm>
                    <a:prstGeom prst="rect">
                      <a:avLst/>
                    </a:prstGeom>
                  </pic:spPr>
                </pic:pic>
              </a:graphicData>
            </a:graphic>
          </wp:inline>
        </w:drawing>
      </w:r>
    </w:p>
    <w:p w14:paraId="1184093A" w14:textId="77777777" w:rsidR="004E06C7" w:rsidRPr="00677ACC" w:rsidRDefault="004E06C7" w:rsidP="00677ACC">
      <w:pPr>
        <w:pStyle w:val="NormalWeb"/>
        <w:spacing w:before="0" w:beforeAutospacing="0" w:after="0" w:afterAutospacing="0" w:line="480" w:lineRule="auto"/>
        <w:rPr>
          <w:lang w:eastAsia="zh-CN"/>
        </w:rPr>
      </w:pPr>
    </w:p>
    <w:p w14:paraId="3469A6F5" w14:textId="77777777" w:rsidR="00C4762B" w:rsidRPr="00677ACC" w:rsidRDefault="00C4762B" w:rsidP="00677ACC">
      <w:pPr>
        <w:spacing w:before="240" w:after="240" w:line="480" w:lineRule="auto"/>
        <w:jc w:val="both"/>
        <w:rPr>
          <w:b/>
          <w:bCs/>
        </w:rPr>
      </w:pPr>
      <w:r w:rsidRPr="00677ACC">
        <w:rPr>
          <w:b/>
          <w:bCs/>
        </w:rPr>
        <w:t>Figure 2: Role of the PC Clinician in the Evaluation and Management of Catatonia in Serious Illness</w:t>
      </w:r>
    </w:p>
    <w:p w14:paraId="79AEA2C6" w14:textId="03BE6E6D" w:rsidR="00442BC8" w:rsidRPr="00677ACC" w:rsidRDefault="004E06C7" w:rsidP="00677ACC">
      <w:pPr>
        <w:spacing w:before="240" w:after="240" w:line="480" w:lineRule="auto"/>
        <w:jc w:val="both"/>
        <w:rPr>
          <w:b/>
          <w:bCs/>
          <w:lang w:eastAsia="zh-CN"/>
        </w:rPr>
      </w:pPr>
      <w:r>
        <w:rPr>
          <w:rFonts w:hint="eastAsia"/>
          <w:b/>
          <w:bCs/>
          <w:lang w:eastAsia="zh-CN"/>
        </w:rPr>
        <w:lastRenderedPageBreak/>
        <w:t xml:space="preserve"> </w:t>
      </w:r>
      <w:r w:rsidRPr="004E06C7">
        <w:rPr>
          <w:b/>
          <w:bCs/>
          <w:noProof/>
          <w:lang w:eastAsia="zh-CN"/>
        </w:rPr>
        <w:drawing>
          <wp:inline distT="0" distB="0" distL="0" distR="0" wp14:anchorId="3B9F091D" wp14:editId="6A51130E">
            <wp:extent cx="5943600" cy="3340100"/>
            <wp:effectExtent l="0" t="0" r="0" b="0"/>
            <wp:docPr id="5214559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55957" name=""/>
                    <pic:cNvPicPr/>
                  </pic:nvPicPr>
                  <pic:blipFill>
                    <a:blip r:embed="rId9"/>
                    <a:stretch>
                      <a:fillRect/>
                    </a:stretch>
                  </pic:blipFill>
                  <pic:spPr>
                    <a:xfrm>
                      <a:off x="0" y="0"/>
                      <a:ext cx="5943600" cy="3340100"/>
                    </a:xfrm>
                    <a:prstGeom prst="rect">
                      <a:avLst/>
                    </a:prstGeom>
                  </pic:spPr>
                </pic:pic>
              </a:graphicData>
            </a:graphic>
          </wp:inline>
        </w:drawing>
      </w:r>
    </w:p>
    <w:p w14:paraId="34415D2E" w14:textId="51874FA8" w:rsidR="008D7789" w:rsidRPr="00677ACC" w:rsidRDefault="008D7789" w:rsidP="00677ACC">
      <w:pPr>
        <w:spacing w:before="240" w:after="240" w:line="480" w:lineRule="auto"/>
      </w:pPr>
    </w:p>
    <w:p w14:paraId="5A31BD2A" w14:textId="77777777" w:rsidR="008D7789" w:rsidRDefault="008D7789" w:rsidP="00677ACC">
      <w:pPr>
        <w:pStyle w:val="NormalWeb"/>
        <w:spacing w:line="480" w:lineRule="auto"/>
      </w:pPr>
    </w:p>
    <w:p w14:paraId="3958EAAE" w14:textId="77777777" w:rsidR="004E06C7" w:rsidRPr="00677ACC" w:rsidRDefault="004E06C7" w:rsidP="004E06C7">
      <w:pPr>
        <w:spacing w:line="480" w:lineRule="auto"/>
        <w:rPr>
          <w:b/>
          <w:bCs/>
          <w:u w:val="single"/>
        </w:rPr>
      </w:pPr>
      <w:r w:rsidRPr="00677ACC">
        <w:rPr>
          <w:b/>
          <w:bCs/>
          <w:u w:val="single"/>
        </w:rPr>
        <w:t xml:space="preserve">Table 1: Case Studies Exploring the Interface Between PC and Catatonia </w:t>
      </w:r>
    </w:p>
    <w:tbl>
      <w:tblPr>
        <w:tblStyle w:val="TableGrid"/>
        <w:tblW w:w="0" w:type="auto"/>
        <w:tblLook w:val="04A0" w:firstRow="1" w:lastRow="0" w:firstColumn="1" w:lastColumn="0" w:noHBand="0" w:noVBand="1"/>
      </w:tblPr>
      <w:tblGrid>
        <w:gridCol w:w="1723"/>
        <w:gridCol w:w="6839"/>
      </w:tblGrid>
      <w:tr w:rsidR="004E06C7" w:rsidRPr="00677ACC" w14:paraId="2B30F0BB" w14:textId="77777777" w:rsidTr="0079248B">
        <w:tc>
          <w:tcPr>
            <w:tcW w:w="1346" w:type="dxa"/>
          </w:tcPr>
          <w:p w14:paraId="232FE037" w14:textId="77777777" w:rsidR="004E06C7" w:rsidRPr="00677ACC" w:rsidRDefault="004E06C7" w:rsidP="0079248B">
            <w:pPr>
              <w:spacing w:line="480" w:lineRule="auto"/>
              <w:rPr>
                <w:b/>
                <w:bCs/>
              </w:rPr>
            </w:pPr>
            <w:r w:rsidRPr="00677ACC">
              <w:rPr>
                <w:b/>
                <w:bCs/>
              </w:rPr>
              <w:t>Case Number, Summary</w:t>
            </w:r>
          </w:p>
        </w:tc>
        <w:tc>
          <w:tcPr>
            <w:tcW w:w="6839" w:type="dxa"/>
          </w:tcPr>
          <w:p w14:paraId="7EB970FF" w14:textId="77777777" w:rsidR="004E06C7" w:rsidRPr="00677ACC" w:rsidRDefault="004E06C7" w:rsidP="0079248B">
            <w:pPr>
              <w:spacing w:line="480" w:lineRule="auto"/>
              <w:rPr>
                <w:b/>
                <w:bCs/>
              </w:rPr>
            </w:pPr>
            <w:r w:rsidRPr="00677ACC">
              <w:rPr>
                <w:b/>
                <w:bCs/>
              </w:rPr>
              <w:t>Full Case Description</w:t>
            </w:r>
          </w:p>
        </w:tc>
      </w:tr>
      <w:tr w:rsidR="004E06C7" w:rsidRPr="00677ACC" w14:paraId="5B4E7A74" w14:textId="77777777" w:rsidTr="0079248B">
        <w:tc>
          <w:tcPr>
            <w:tcW w:w="1346" w:type="dxa"/>
          </w:tcPr>
          <w:p w14:paraId="0F9006C9" w14:textId="77777777" w:rsidR="004E06C7" w:rsidRPr="00677ACC" w:rsidRDefault="004E06C7" w:rsidP="0079248B">
            <w:pPr>
              <w:spacing w:line="480" w:lineRule="auto"/>
            </w:pPr>
            <w:r w:rsidRPr="00677ACC">
              <w:rPr>
                <w:b/>
                <w:bCs/>
              </w:rPr>
              <w:t>Case 1</w:t>
            </w:r>
            <w:r w:rsidRPr="00677ACC">
              <w:t xml:space="preserve"> - Catatonia Mistaken for Progression of Dementia</w:t>
            </w:r>
          </w:p>
        </w:tc>
        <w:tc>
          <w:tcPr>
            <w:tcW w:w="6839" w:type="dxa"/>
          </w:tcPr>
          <w:p w14:paraId="2361001F" w14:textId="77777777" w:rsidR="004E06C7" w:rsidRPr="00677ACC" w:rsidRDefault="004E06C7" w:rsidP="0079248B">
            <w:pPr>
              <w:spacing w:line="480" w:lineRule="auto"/>
            </w:pPr>
            <w:r w:rsidRPr="00677ACC">
              <w:t xml:space="preserve">Ms. A is an 85-year-old female with a past medical history of moderate major neurocognitive disorder (dementia) without behavioral disturbances. At baseline, she requires some assistance from family members for ADLs. She is brought to the emergency department by her family due to a rapid decline in functional status, </w:t>
            </w:r>
            <w:r w:rsidRPr="00677ACC">
              <w:lastRenderedPageBreak/>
              <w:t>characterized by new-onset posturing, agitation, social withdrawal, and decreased oral intake. Although there is initial concern for a rapid progression of her dementia, the consulted PC provider identifies features concerning for catatonia and collaborates with mental health professionals to address it. With appropriate treatment, Ms. A’s catatonic symptoms resolve, and she returns to her baseline cognitive and functional status resulting in both improved QOL and life prolongation.</w:t>
            </w:r>
          </w:p>
        </w:tc>
      </w:tr>
      <w:tr w:rsidR="004E06C7" w:rsidRPr="00677ACC" w14:paraId="1FF49A9D" w14:textId="77777777" w:rsidTr="0079248B">
        <w:tc>
          <w:tcPr>
            <w:tcW w:w="1346" w:type="dxa"/>
          </w:tcPr>
          <w:p w14:paraId="6CBCA222" w14:textId="77777777" w:rsidR="004E06C7" w:rsidRPr="00677ACC" w:rsidRDefault="004E06C7" w:rsidP="0079248B">
            <w:pPr>
              <w:spacing w:line="480" w:lineRule="auto"/>
            </w:pPr>
            <w:r w:rsidRPr="00677ACC">
              <w:rPr>
                <w:b/>
                <w:bCs/>
              </w:rPr>
              <w:lastRenderedPageBreak/>
              <w:t>Case 2</w:t>
            </w:r>
            <w:r w:rsidRPr="00677ACC">
              <w:t xml:space="preserve"> - Catatonia Mistaken for Permanent Neurological Damage</w:t>
            </w:r>
          </w:p>
        </w:tc>
        <w:tc>
          <w:tcPr>
            <w:tcW w:w="6839" w:type="dxa"/>
          </w:tcPr>
          <w:p w14:paraId="1BA4E512" w14:textId="77777777" w:rsidR="004E06C7" w:rsidRPr="00677ACC" w:rsidRDefault="004E06C7" w:rsidP="0079248B">
            <w:pPr>
              <w:spacing w:line="480" w:lineRule="auto"/>
            </w:pPr>
            <w:r w:rsidRPr="00677ACC">
              <w:t>Mr. B is a 19-year-old male with a past psychiatric history of MDD. He is currently admitted to the ICU following a suicide attempt by opioid overdose, complicated by an ischemic cerebrovascular event. After stabilization of his acute respiratory failure, he is extubated but remains with a persistent AMS. The ICU and neurology teams express concern that his cognitive impairment may represent permanent damage from the stroke and consult PC to discuss GOC and treatment preferences. During the initial PC evaluation, the provider identifies a constellation of symptoms concerning for catatonia, including posturing, negativism, mutism, and echopraxia. With the involvement of psychiatry, treatment for catatonia is initiated, resulting in the resolution of symptoms and a significant impact on the patient’s overall illness trajectory.</w:t>
            </w:r>
          </w:p>
        </w:tc>
      </w:tr>
      <w:tr w:rsidR="004E06C7" w:rsidRPr="00677ACC" w14:paraId="528A5869" w14:textId="77777777" w:rsidTr="0079248B">
        <w:tc>
          <w:tcPr>
            <w:tcW w:w="1346" w:type="dxa"/>
          </w:tcPr>
          <w:p w14:paraId="05DC3FEC" w14:textId="77777777" w:rsidR="004E06C7" w:rsidRPr="00677ACC" w:rsidRDefault="004E06C7" w:rsidP="0079248B">
            <w:pPr>
              <w:spacing w:line="480" w:lineRule="auto"/>
            </w:pPr>
            <w:r w:rsidRPr="00677ACC">
              <w:rPr>
                <w:b/>
                <w:bCs/>
              </w:rPr>
              <w:t>Case 3</w:t>
            </w:r>
            <w:r w:rsidRPr="00677ACC">
              <w:t xml:space="preserve"> - Catatonia with </w:t>
            </w:r>
            <w:r w:rsidRPr="00677ACC">
              <w:lastRenderedPageBreak/>
              <w:t>Comorbid Delirium</w:t>
            </w:r>
          </w:p>
        </w:tc>
        <w:tc>
          <w:tcPr>
            <w:tcW w:w="6839" w:type="dxa"/>
          </w:tcPr>
          <w:p w14:paraId="6D8CEDC4" w14:textId="77777777" w:rsidR="004E06C7" w:rsidRPr="00677ACC" w:rsidRDefault="004E06C7" w:rsidP="0079248B">
            <w:pPr>
              <w:spacing w:line="480" w:lineRule="auto"/>
            </w:pPr>
            <w:r w:rsidRPr="00677ACC">
              <w:lastRenderedPageBreak/>
              <w:t xml:space="preserve">Mr. C is a 55-year-old male with a past medical history of lung adenocarcinoma. He is currently admitted following a chemotherapy </w:t>
            </w:r>
            <w:r w:rsidRPr="00677ACC">
              <w:lastRenderedPageBreak/>
              <w:t>session, presenting with neutropenic fever and sepsis. During his ICU stay, he develops altered mental status accompanied by severe agitation that interferes with his medical care. The ICU team diagnoses delirium and initiates antipsychotic treatment for hyperactive symptoms, but there is no clinical improvement. PC is consulted for support with GOC discussions and delirium management. Upon assessment, the PC interdisciplinary team identifies a fluctuating level of attention and awareness consistent with delirium, but they also observe additional symptoms such as purposeless agitation, grimacing, and rigidity that are atypical of delirium and appear to worsen with antipsychotic use. Concerned for a dual diagnosis of delirium and catatonia, the PC team collaborates with the primary team to initiate appropriate treatment for both conditions. This also leads to the investigation of underlying causes of catatonia with a new finding of brain metastases.</w:t>
            </w:r>
          </w:p>
        </w:tc>
      </w:tr>
      <w:tr w:rsidR="004E06C7" w:rsidRPr="00677ACC" w14:paraId="3E610F0D" w14:textId="77777777" w:rsidTr="0079248B">
        <w:tc>
          <w:tcPr>
            <w:tcW w:w="1346" w:type="dxa"/>
          </w:tcPr>
          <w:p w14:paraId="206E96AD" w14:textId="77777777" w:rsidR="004E06C7" w:rsidRPr="00677ACC" w:rsidRDefault="004E06C7" w:rsidP="0079248B">
            <w:pPr>
              <w:spacing w:line="480" w:lineRule="auto"/>
            </w:pPr>
            <w:r w:rsidRPr="00677ACC">
              <w:rPr>
                <w:b/>
                <w:bCs/>
              </w:rPr>
              <w:lastRenderedPageBreak/>
              <w:t>Case 4</w:t>
            </w:r>
            <w:r w:rsidRPr="00677ACC">
              <w:t xml:space="preserve"> - Catatonia in the Hospice Setting</w:t>
            </w:r>
          </w:p>
        </w:tc>
        <w:tc>
          <w:tcPr>
            <w:tcW w:w="6839" w:type="dxa"/>
          </w:tcPr>
          <w:p w14:paraId="4D973F37" w14:textId="77777777" w:rsidR="004E06C7" w:rsidRPr="00677ACC" w:rsidRDefault="004E06C7" w:rsidP="0079248B">
            <w:pPr>
              <w:spacing w:line="480" w:lineRule="auto"/>
            </w:pPr>
            <w:r w:rsidRPr="00677ACC">
              <w:t xml:space="preserve">Ms. D is a 90-year-old female receiving hospice care at home for stage IV colon cancer. Her GOC, established with her and her family, focus solely on comfort, with no plans for further medical interventions. She has expressed a strong wish to remain conscious and spend meaningful time with her family at the EOL. Her prognosis is limited—likely days to weeks. Under hospice care, she acutely develops mutism, social withdrawal, staring, verbigeration, </w:t>
            </w:r>
            <w:r w:rsidRPr="00677ACC">
              <w:lastRenderedPageBreak/>
              <w:t>and echolalia. Her family is distressed, as the symptoms appear to cause discomfort and conflict with her wishes. Initially presumed to be terminal delirium, the hospice provider raises concern for catatonia and initiates benzodiazepine treatment, leading to symptom improvement. This allows Ms. D to spend quality time with her family before passing away peacefully.</w:t>
            </w:r>
          </w:p>
        </w:tc>
      </w:tr>
      <w:tr w:rsidR="004E06C7" w:rsidRPr="00677ACC" w14:paraId="5F98C872" w14:textId="77777777" w:rsidTr="0079248B">
        <w:tc>
          <w:tcPr>
            <w:tcW w:w="1346" w:type="dxa"/>
          </w:tcPr>
          <w:p w14:paraId="2C8B390B" w14:textId="77777777" w:rsidR="004E06C7" w:rsidRPr="00677ACC" w:rsidRDefault="004E06C7" w:rsidP="0079248B">
            <w:pPr>
              <w:spacing w:line="480" w:lineRule="auto"/>
            </w:pPr>
            <w:r w:rsidRPr="00677ACC">
              <w:rPr>
                <w:b/>
                <w:bCs/>
              </w:rPr>
              <w:lastRenderedPageBreak/>
              <w:t>Case 5</w:t>
            </w:r>
            <w:r w:rsidRPr="00677ACC">
              <w:t xml:space="preserve"> - Prognostication and medical decision-making challenges due to catatonia associated with another mental disorder</w:t>
            </w:r>
          </w:p>
        </w:tc>
        <w:tc>
          <w:tcPr>
            <w:tcW w:w="6839" w:type="dxa"/>
          </w:tcPr>
          <w:p w14:paraId="7418343C" w14:textId="77777777" w:rsidR="004E06C7" w:rsidRPr="00677ACC" w:rsidRDefault="004E06C7" w:rsidP="0079248B">
            <w:pPr>
              <w:spacing w:line="480" w:lineRule="auto"/>
            </w:pPr>
            <w:r w:rsidRPr="00677ACC">
              <w:t>Mr. E is a 65-year-old male with a history of bipolar disorder and multiple prior psychiatric hospital admissions for severe mania. He is currently admitted to the inpatient psychiatry unit for a severe depressive episode with catatonia. During his admission, he develops aspiration pneumonia and acute hypoxic respiratory failure, requiring ICU transfer and intubation. While the psychiatry team recommends ECT for catatonia, the ICU team expresses concern about his overall prognosis. PC is consulted to support complex decision-making and facilitate communication to ensure patient-centered care. After a family meeting led by the palliative care team, with expert communication about the disease and treatment options, the family elects not to pursue ECT. Care is redirected toward comfort-focused, EOL symptom management in alignment with the patient’s values.</w:t>
            </w:r>
          </w:p>
        </w:tc>
      </w:tr>
    </w:tbl>
    <w:p w14:paraId="034EB7C7" w14:textId="77777777" w:rsidR="004E06C7" w:rsidRPr="00677ACC" w:rsidRDefault="004E06C7" w:rsidP="004E06C7">
      <w:pPr>
        <w:spacing w:line="480" w:lineRule="auto"/>
      </w:pPr>
      <w:r w:rsidRPr="00677ACC">
        <w:t>PC = palliative care; ADLs = activities of daily living; QOL = quality of life; MDD = major depressive disorder; AMS = altered mental status; GOC = goals of care; ICU = intensive care unit(s); ECT = electroconvulsive therapy; EOL = end of life</w:t>
      </w:r>
    </w:p>
    <w:p w14:paraId="7DECF227" w14:textId="77777777" w:rsidR="004E06C7" w:rsidRPr="00677ACC" w:rsidRDefault="004E06C7" w:rsidP="004E06C7">
      <w:pPr>
        <w:spacing w:line="480" w:lineRule="auto"/>
        <w:rPr>
          <w:b/>
          <w:bCs/>
          <w:u w:val="single"/>
        </w:rPr>
      </w:pPr>
    </w:p>
    <w:p w14:paraId="0612D077" w14:textId="77777777" w:rsidR="004E06C7" w:rsidRDefault="004E06C7" w:rsidP="004E06C7"/>
    <w:p w14:paraId="51D75DD2" w14:textId="77777777" w:rsidR="004E06C7" w:rsidRPr="00677ACC" w:rsidRDefault="004E06C7" w:rsidP="004E06C7">
      <w:pPr>
        <w:spacing w:before="240" w:after="240" w:line="480" w:lineRule="auto"/>
        <w:rPr>
          <w:b/>
          <w:bCs/>
        </w:rPr>
      </w:pPr>
      <w:r w:rsidRPr="00677ACC">
        <w:rPr>
          <w:b/>
          <w:bCs/>
        </w:rPr>
        <w:t xml:space="preserve">Table 2: Catatonia Subtypes and Associated Symptoms </w:t>
      </w:r>
    </w:p>
    <w:tbl>
      <w:tblPr>
        <w:tblW w:w="0" w:type="auto"/>
        <w:tblCellMar>
          <w:top w:w="15" w:type="dxa"/>
          <w:left w:w="15" w:type="dxa"/>
          <w:bottom w:w="15" w:type="dxa"/>
          <w:right w:w="15" w:type="dxa"/>
        </w:tblCellMar>
        <w:tblLook w:val="04A0" w:firstRow="1" w:lastRow="0" w:firstColumn="1" w:lastColumn="0" w:noHBand="0" w:noVBand="1"/>
      </w:tblPr>
      <w:tblGrid>
        <w:gridCol w:w="1453"/>
        <w:gridCol w:w="3348"/>
        <w:gridCol w:w="4539"/>
      </w:tblGrid>
      <w:tr w:rsidR="004E06C7" w:rsidRPr="00677ACC" w14:paraId="34001030" w14:textId="77777777" w:rsidTr="0079248B">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37349A" w14:textId="77777777" w:rsidR="004E06C7" w:rsidRPr="00677ACC" w:rsidRDefault="004E06C7" w:rsidP="0079248B">
            <w:pPr>
              <w:spacing w:before="240" w:line="480" w:lineRule="auto"/>
            </w:pPr>
            <w:r w:rsidRPr="00677ACC">
              <w:t>Subtype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E9E6B1" w14:textId="77777777" w:rsidR="004E06C7" w:rsidRPr="00677ACC" w:rsidRDefault="004E06C7" w:rsidP="0079248B">
            <w:pPr>
              <w:spacing w:before="240" w:line="480" w:lineRule="auto"/>
            </w:pPr>
            <w:r w:rsidRPr="00677ACC">
              <w:t>Description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43D99C" w14:textId="77777777" w:rsidR="004E06C7" w:rsidRPr="00677ACC" w:rsidRDefault="004E06C7" w:rsidP="0079248B">
            <w:pPr>
              <w:spacing w:before="240" w:line="480" w:lineRule="auto"/>
            </w:pPr>
            <w:r w:rsidRPr="00677ACC">
              <w:t>Associated Symptoms</w:t>
            </w:r>
          </w:p>
        </w:tc>
      </w:tr>
      <w:tr w:rsidR="004E06C7" w:rsidRPr="00677ACC" w14:paraId="410CA60D" w14:textId="77777777" w:rsidTr="0079248B">
        <w:trPr>
          <w:trHeight w:val="33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79C51A" w14:textId="77777777" w:rsidR="004E06C7" w:rsidRPr="00677ACC" w:rsidRDefault="004E06C7" w:rsidP="0079248B">
            <w:pPr>
              <w:spacing w:before="240" w:line="480" w:lineRule="auto"/>
            </w:pPr>
            <w:r w:rsidRPr="00677ACC">
              <w:t>Hypokinetic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8B2ABF" w14:textId="77777777" w:rsidR="004E06C7" w:rsidRPr="00677ACC" w:rsidRDefault="004E06C7" w:rsidP="0079248B">
            <w:pPr>
              <w:spacing w:before="240" w:line="480" w:lineRule="auto"/>
            </w:pPr>
            <w:r w:rsidRPr="00677ACC">
              <w:t>Decreased interaction with external stimuli, rigidity, and withdrawal.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F3B2FB" w14:textId="77777777" w:rsidR="004E06C7" w:rsidRPr="00677ACC" w:rsidRDefault="004E06C7" w:rsidP="0079248B">
            <w:pPr>
              <w:spacing w:before="240" w:line="480" w:lineRule="auto"/>
            </w:pPr>
            <w:r w:rsidRPr="00677ACC">
              <w:t>·       Immobility/Stupor</w:t>
            </w:r>
          </w:p>
          <w:p w14:paraId="50264B6E" w14:textId="77777777" w:rsidR="004E06C7" w:rsidRPr="00677ACC" w:rsidRDefault="004E06C7" w:rsidP="0079248B">
            <w:pPr>
              <w:spacing w:before="240" w:line="480" w:lineRule="auto"/>
            </w:pPr>
            <w:r w:rsidRPr="00677ACC">
              <w:t>·       Mutism</w:t>
            </w:r>
          </w:p>
          <w:p w14:paraId="6828ABBA" w14:textId="77777777" w:rsidR="004E06C7" w:rsidRPr="00677ACC" w:rsidRDefault="004E06C7" w:rsidP="0079248B">
            <w:pPr>
              <w:spacing w:before="240" w:line="480" w:lineRule="auto"/>
            </w:pPr>
            <w:r w:rsidRPr="00677ACC">
              <w:t>·       Staring</w:t>
            </w:r>
          </w:p>
          <w:p w14:paraId="7B50E691" w14:textId="77777777" w:rsidR="004E06C7" w:rsidRPr="00677ACC" w:rsidRDefault="004E06C7" w:rsidP="0079248B">
            <w:pPr>
              <w:spacing w:before="240" w:line="480" w:lineRule="auto"/>
            </w:pPr>
            <w:r w:rsidRPr="00677ACC">
              <w:t>·       Maintenance of Posture</w:t>
            </w:r>
          </w:p>
          <w:p w14:paraId="69AA4D5F" w14:textId="77777777" w:rsidR="004E06C7" w:rsidRPr="00677ACC" w:rsidRDefault="004E06C7" w:rsidP="0079248B">
            <w:pPr>
              <w:spacing w:before="240" w:line="480" w:lineRule="auto"/>
            </w:pPr>
            <w:r w:rsidRPr="00677ACC">
              <w:t>·       Decreased oral intake</w:t>
            </w:r>
          </w:p>
          <w:p w14:paraId="456729BA" w14:textId="77777777" w:rsidR="004E06C7" w:rsidRPr="00677ACC" w:rsidRDefault="004E06C7" w:rsidP="0079248B">
            <w:pPr>
              <w:spacing w:before="240" w:line="480" w:lineRule="auto"/>
            </w:pPr>
            <w:r w:rsidRPr="00677ACC">
              <w:t>·       Resistance to passive range of motion</w:t>
            </w:r>
          </w:p>
          <w:p w14:paraId="21B893D9" w14:textId="77777777" w:rsidR="004E06C7" w:rsidRPr="00677ACC" w:rsidRDefault="004E06C7" w:rsidP="0079248B">
            <w:pPr>
              <w:spacing w:before="240" w:line="480" w:lineRule="auto"/>
            </w:pPr>
            <w:r w:rsidRPr="00677ACC">
              <w:t>·       Being stuck in motor movements</w:t>
            </w:r>
          </w:p>
        </w:tc>
      </w:tr>
      <w:tr w:rsidR="004E06C7" w:rsidRPr="00677ACC" w14:paraId="44D554DD" w14:textId="77777777" w:rsidTr="0079248B">
        <w:trPr>
          <w:trHeight w:val="19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4B1FBC" w14:textId="77777777" w:rsidR="004E06C7" w:rsidRPr="00677ACC" w:rsidRDefault="004E06C7" w:rsidP="0079248B">
            <w:pPr>
              <w:spacing w:before="240" w:line="480" w:lineRule="auto"/>
            </w:pPr>
            <w:r w:rsidRPr="00677ACC">
              <w:t>Hyperkinetic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0D2F0F" w14:textId="77777777" w:rsidR="004E06C7" w:rsidRPr="00677ACC" w:rsidRDefault="004E06C7" w:rsidP="0079248B">
            <w:pPr>
              <w:spacing w:before="240" w:line="480" w:lineRule="auto"/>
            </w:pPr>
            <w:r w:rsidRPr="00677ACC">
              <w:t>Increased motor activity, but often without clear intent or purpose.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D34265" w14:textId="77777777" w:rsidR="004E06C7" w:rsidRPr="00677ACC" w:rsidRDefault="004E06C7" w:rsidP="0079248B">
            <w:pPr>
              <w:spacing w:before="240" w:line="480" w:lineRule="auto"/>
            </w:pPr>
            <w:r w:rsidRPr="00677ACC">
              <w:t>·       Excessive movement</w:t>
            </w:r>
          </w:p>
          <w:p w14:paraId="1DA6DE68" w14:textId="77777777" w:rsidR="004E06C7" w:rsidRPr="00677ACC" w:rsidRDefault="004E06C7" w:rsidP="0079248B">
            <w:pPr>
              <w:spacing w:before="240" w:line="480" w:lineRule="auto"/>
            </w:pPr>
            <w:r w:rsidRPr="00677ACC">
              <w:t>·       Sudden inappropriate behavior</w:t>
            </w:r>
          </w:p>
          <w:p w14:paraId="25AEFAB9" w14:textId="77777777" w:rsidR="004E06C7" w:rsidRPr="00677ACC" w:rsidRDefault="004E06C7" w:rsidP="0079248B">
            <w:pPr>
              <w:spacing w:before="240" w:line="480" w:lineRule="auto"/>
            </w:pPr>
            <w:r w:rsidRPr="00677ACC">
              <w:t>·       Sudden aggression or combativeness</w:t>
            </w:r>
          </w:p>
        </w:tc>
      </w:tr>
      <w:tr w:rsidR="004E06C7" w:rsidRPr="00677ACC" w14:paraId="55CE1081" w14:textId="77777777" w:rsidTr="0079248B">
        <w:trPr>
          <w:trHeight w:val="57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256AF7" w14:textId="77777777" w:rsidR="004E06C7" w:rsidRPr="00677ACC" w:rsidRDefault="004E06C7" w:rsidP="0079248B">
            <w:pPr>
              <w:spacing w:before="240" w:line="480" w:lineRule="auto"/>
            </w:pPr>
            <w:proofErr w:type="spellStart"/>
            <w:r w:rsidRPr="00677ACC">
              <w:lastRenderedPageBreak/>
              <w:t>Parakinetic</w:t>
            </w:r>
            <w:proofErr w:type="spellEnd"/>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8566EB" w14:textId="77777777" w:rsidR="004E06C7" w:rsidRPr="00677ACC" w:rsidRDefault="004E06C7" w:rsidP="0079248B">
            <w:pPr>
              <w:spacing w:before="240" w:line="480" w:lineRule="auto"/>
            </w:pPr>
            <w:r w:rsidRPr="00677ACC">
              <w:t>Abnormal motor movements, but the amount of motor activity can be normal, high, or low.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C9E909" w14:textId="77777777" w:rsidR="004E06C7" w:rsidRPr="00677ACC" w:rsidRDefault="004E06C7" w:rsidP="0079248B">
            <w:pPr>
              <w:spacing w:before="240" w:line="480" w:lineRule="auto"/>
            </w:pPr>
            <w:r w:rsidRPr="00677ACC">
              <w:t>·       Grimacing</w:t>
            </w:r>
          </w:p>
          <w:p w14:paraId="5DFDE9CB" w14:textId="77777777" w:rsidR="004E06C7" w:rsidRPr="00677ACC" w:rsidRDefault="004E06C7" w:rsidP="0079248B">
            <w:pPr>
              <w:spacing w:before="240" w:line="480" w:lineRule="auto"/>
            </w:pPr>
            <w:r w:rsidRPr="00677ACC">
              <w:t>·       Echopraxia</w:t>
            </w:r>
          </w:p>
          <w:p w14:paraId="70FEE8C9" w14:textId="77777777" w:rsidR="004E06C7" w:rsidRPr="00677ACC" w:rsidRDefault="004E06C7" w:rsidP="0079248B">
            <w:pPr>
              <w:spacing w:before="240" w:line="480" w:lineRule="auto"/>
            </w:pPr>
            <w:r w:rsidRPr="00677ACC">
              <w:t>·       Echolalia</w:t>
            </w:r>
          </w:p>
          <w:p w14:paraId="7E355144" w14:textId="77777777" w:rsidR="004E06C7" w:rsidRPr="00677ACC" w:rsidRDefault="004E06C7" w:rsidP="0079248B">
            <w:pPr>
              <w:spacing w:before="240" w:line="480" w:lineRule="auto"/>
            </w:pPr>
            <w:r w:rsidRPr="00677ACC">
              <w:t>·       Repetitive non-goal directed motor activity</w:t>
            </w:r>
          </w:p>
          <w:p w14:paraId="5E7B8D45" w14:textId="77777777" w:rsidR="004E06C7" w:rsidRPr="00677ACC" w:rsidRDefault="004E06C7" w:rsidP="0079248B">
            <w:pPr>
              <w:spacing w:before="240" w:line="480" w:lineRule="auto"/>
            </w:pPr>
            <w:r w:rsidRPr="00677ACC">
              <w:t>·       Repetitive goal directed motor activity that is unusual in context and or/persistence</w:t>
            </w:r>
          </w:p>
          <w:p w14:paraId="44E77BBD" w14:textId="77777777" w:rsidR="004E06C7" w:rsidRPr="00677ACC" w:rsidRDefault="004E06C7" w:rsidP="0079248B">
            <w:pPr>
              <w:spacing w:before="240" w:line="480" w:lineRule="auto"/>
            </w:pPr>
            <w:r w:rsidRPr="00677ACC">
              <w:t>·       Repetition of words or phrases</w:t>
            </w:r>
          </w:p>
          <w:p w14:paraId="7F82DC2C" w14:textId="77777777" w:rsidR="004E06C7" w:rsidRPr="00677ACC" w:rsidRDefault="004E06C7" w:rsidP="0079248B">
            <w:pPr>
              <w:spacing w:before="240" w:line="480" w:lineRule="auto"/>
            </w:pPr>
            <w:r w:rsidRPr="00677ACC">
              <w:t>·       Waxy Flexibility</w:t>
            </w:r>
          </w:p>
          <w:p w14:paraId="5A456E02" w14:textId="77777777" w:rsidR="004E06C7" w:rsidRPr="00677ACC" w:rsidRDefault="004E06C7" w:rsidP="0079248B">
            <w:pPr>
              <w:spacing w:before="240" w:line="480" w:lineRule="auto"/>
            </w:pPr>
            <w:r w:rsidRPr="00677ACC">
              <w:t>·       Exaggerated cooperation with exam</w:t>
            </w:r>
          </w:p>
          <w:p w14:paraId="349A1D77" w14:textId="77777777" w:rsidR="004E06C7" w:rsidRPr="00677ACC" w:rsidRDefault="004E06C7" w:rsidP="0079248B">
            <w:pPr>
              <w:spacing w:before="240" w:line="480" w:lineRule="auto"/>
            </w:pPr>
            <w:r w:rsidRPr="00677ACC">
              <w:t>·       Automatic Obedience (exaggerated compliance with request)</w:t>
            </w:r>
          </w:p>
          <w:p w14:paraId="176936CC" w14:textId="77777777" w:rsidR="004E06C7" w:rsidRPr="00677ACC" w:rsidRDefault="004E06C7" w:rsidP="0079248B">
            <w:pPr>
              <w:spacing w:before="240" w:line="480" w:lineRule="auto"/>
            </w:pPr>
            <w:r w:rsidRPr="00677ACC">
              <w:t>·       Passive Obedience (raises arm to light finger pressure)</w:t>
            </w:r>
          </w:p>
          <w:p w14:paraId="3A67FE69" w14:textId="77777777" w:rsidR="004E06C7" w:rsidRPr="00677ACC" w:rsidRDefault="004E06C7" w:rsidP="0079248B">
            <w:pPr>
              <w:spacing w:before="240" w:line="480" w:lineRule="auto"/>
            </w:pPr>
            <w:r w:rsidRPr="00677ACC">
              <w:t>·       Grasp reflex</w:t>
            </w:r>
          </w:p>
          <w:p w14:paraId="4297D4DE" w14:textId="77777777" w:rsidR="004E06C7" w:rsidRPr="00677ACC" w:rsidRDefault="004E06C7" w:rsidP="0079248B">
            <w:pPr>
              <w:spacing w:before="240" w:line="480" w:lineRule="auto"/>
            </w:pPr>
            <w:r w:rsidRPr="00677ACC">
              <w:t>·     Oppositional behavior</w:t>
            </w:r>
          </w:p>
        </w:tc>
      </w:tr>
      <w:tr w:rsidR="004E06C7" w:rsidRPr="00677ACC" w14:paraId="654B7730" w14:textId="77777777" w:rsidTr="0079248B">
        <w:trPr>
          <w:trHeight w:val="19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5C061E" w14:textId="77777777" w:rsidR="004E06C7" w:rsidRPr="00677ACC" w:rsidRDefault="004E06C7" w:rsidP="0079248B">
            <w:pPr>
              <w:spacing w:before="240" w:line="480" w:lineRule="auto"/>
            </w:pPr>
            <w:r w:rsidRPr="00677ACC">
              <w:lastRenderedPageBreak/>
              <w:t>Malignant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63A443" w14:textId="77777777" w:rsidR="004E06C7" w:rsidRPr="00677ACC" w:rsidRDefault="004E06C7" w:rsidP="0079248B">
            <w:pPr>
              <w:spacing w:before="240" w:line="480" w:lineRule="auto"/>
            </w:pPr>
            <w:r w:rsidRPr="00677ACC">
              <w:t>Any subtype with autonomic instability.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A15F61" w14:textId="77777777" w:rsidR="004E06C7" w:rsidRPr="00677ACC" w:rsidRDefault="004E06C7" w:rsidP="0079248B">
            <w:pPr>
              <w:spacing w:before="240" w:line="480" w:lineRule="auto"/>
            </w:pPr>
            <w:r w:rsidRPr="00677ACC">
              <w:t>·       Hyper/Hypothermia</w:t>
            </w:r>
          </w:p>
          <w:p w14:paraId="2CD4D931" w14:textId="77777777" w:rsidR="004E06C7" w:rsidRPr="00677ACC" w:rsidRDefault="004E06C7" w:rsidP="0079248B">
            <w:pPr>
              <w:spacing w:before="240" w:line="480" w:lineRule="auto"/>
            </w:pPr>
            <w:r w:rsidRPr="00677ACC">
              <w:t>·       Tachycardia/bradycardia</w:t>
            </w:r>
          </w:p>
          <w:p w14:paraId="7C9CF52E" w14:textId="77777777" w:rsidR="004E06C7" w:rsidRPr="00677ACC" w:rsidRDefault="004E06C7" w:rsidP="0079248B">
            <w:pPr>
              <w:spacing w:before="240" w:line="480" w:lineRule="auto"/>
            </w:pPr>
            <w:r w:rsidRPr="00677ACC">
              <w:t>·       Hyper/Hypotension</w:t>
            </w:r>
          </w:p>
          <w:p w14:paraId="2C76D162" w14:textId="77777777" w:rsidR="004E06C7" w:rsidRPr="00677ACC" w:rsidRDefault="004E06C7" w:rsidP="0079248B">
            <w:pPr>
              <w:spacing w:before="240" w:line="480" w:lineRule="auto"/>
            </w:pPr>
            <w:r w:rsidRPr="00677ACC">
              <w:t>·       Diaphoresis</w:t>
            </w:r>
          </w:p>
        </w:tc>
      </w:tr>
    </w:tbl>
    <w:p w14:paraId="1B285D6F" w14:textId="77777777" w:rsidR="004E06C7" w:rsidRPr="00677ACC" w:rsidRDefault="004E06C7" w:rsidP="004E06C7">
      <w:pPr>
        <w:pStyle w:val="NormalWeb"/>
        <w:spacing w:line="480" w:lineRule="auto"/>
      </w:pPr>
      <w:r w:rsidRPr="00677ACC">
        <w:t xml:space="preserve"> </w:t>
      </w:r>
    </w:p>
    <w:p w14:paraId="76951B80" w14:textId="77777777" w:rsidR="004E06C7" w:rsidRDefault="004E06C7" w:rsidP="004E06C7"/>
    <w:p w14:paraId="01B6F1ED" w14:textId="64549594" w:rsidR="004E06C7" w:rsidRPr="00677ACC" w:rsidRDefault="004E06C7" w:rsidP="004E06C7">
      <w:pPr>
        <w:spacing w:line="480" w:lineRule="auto"/>
        <w:jc w:val="both"/>
      </w:pPr>
      <w:r w:rsidRPr="00677ACC">
        <w:rPr>
          <w:b/>
          <w:bCs/>
        </w:rPr>
        <w:t>Table 3</w:t>
      </w:r>
      <w:r w:rsidRPr="00677ACC">
        <w:t>: Symptoms of Catatonia Assessed by the Bush Francis Catatonia Rating Scale (BFCRS)</w:t>
      </w:r>
      <w:r w:rsidRPr="00677ACC">
        <w:fldChar w:fldCharType="begin" w:fldLock="1"/>
      </w:r>
      <w:r w:rsidR="00EF1C44">
        <w:instrText>ADDIN CSL_CITATION {"citationItems":[{"id":"ITEM-1","itemData":{"DOI":"10.1111/j.1600-0447.1996.tb09814.x","abstract":"To facilitate the systematic description of catatonic signs, we developed a catatonia rating examination, rating scale and screening instrument. We constructed a 23-item rating scale and a truncated 14-item screening instrument using operationalized definitions of signs ascribed to catatonia in published sources. Inter-rater reliability was tested in 44 simultaneous ratings of 28 cases defined by the presence of &gt; or = 2 signs on the 14-item screen. Inter-rater reliability for total score on the rating scale was 0.93, and mean agreement of items was 88.2% (SD 9.9). Inter-rater reliability for total score on the screening instrument was 0.95, and mean agreement of items was 92.7% (SD 4.9). Diagnostic agreement was high based on criteria for catatonia put forth by other authors. Seven per cent (15/215) of consecutively admitted patients to an academic psychiatric in-patient facility met criteria for catatonia. It is concluded that catatonia is a distinct, moderately prevalent neuropsychiatric syndrome. The rating scale and screening instrument are reliable and valid. Their use facilitates diagnosis, treatment protocols, and cross-study comparisons.","author":[{"dropping-particle":"","family":"Bush","given":"G","non-dropping-particle":"","parse-names":false,"suffix":""},{"dropping-particle":"","family":"Fink","given":"M","non-dropping-particle":"","parse-names":false,"suffix":""},{"dropping-particle":"","family":"Petrides","given":"G","non-dropping-particle":"","parse-names":false,"suffix":""},{"dropping-particle":"","family":"Dowling","given":"F","non-dropping-particle":"","parse-names":false,"suffix":""},{"dropping-particle":"","family":"Francis","given":"A","non-dropping-particle":"","parse-names":false,"suffix":""}],"container-title":"Acta Psychiatr Scand","id":"ITEM-1","issue":"2","issued":{"date-parts":[["1996"]]},"page":"129-136","publisher-place":"Department of Psychiatry and Behavioral Sciences, SUNY Stony Brook, USA.","title":"Catatonia. I. Rating scale and standardized examination","type":"article-journal","volume":"93"},"uris":["http://www.mendeley.com/documents/?uuid=2a60cb60-fbf1-48f2-b9c3-1c28a9b9e364"]}],"mendeley":{"formattedCitation":"(51)","plainTextFormattedCitation":"(51)","previouslyFormattedCitation":"(51)"},"properties":{"noteIndex":0},"schema":"https://github.com/citation-style-language/schema/raw/master/csl-citation.json"}</w:instrText>
      </w:r>
      <w:r w:rsidRPr="00677ACC">
        <w:fldChar w:fldCharType="separate"/>
      </w:r>
      <w:r w:rsidR="006F585C" w:rsidRPr="006F585C">
        <w:rPr>
          <w:noProof/>
        </w:rPr>
        <w:t>(51)</w:t>
      </w:r>
      <w:r w:rsidRPr="00677ACC">
        <w:fldChar w:fldCharType="end"/>
      </w:r>
      <w:r w:rsidRPr="00677ACC">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815"/>
        <w:gridCol w:w="6525"/>
      </w:tblGrid>
      <w:tr w:rsidR="004E06C7" w:rsidRPr="00677ACC" w14:paraId="79E19F58" w14:textId="77777777" w:rsidTr="0079248B">
        <w:trPr>
          <w:trHeight w:val="2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6BD02F" w14:textId="77777777" w:rsidR="004E06C7" w:rsidRPr="00677ACC" w:rsidRDefault="004E06C7" w:rsidP="0079248B">
            <w:pPr>
              <w:pStyle w:val="NormalWeb"/>
              <w:spacing w:before="0" w:beforeAutospacing="0" w:after="0" w:afterAutospacing="0" w:line="480" w:lineRule="auto"/>
              <w:jc w:val="both"/>
            </w:pPr>
            <w:r w:rsidRPr="00677ACC">
              <w:rPr>
                <w:b/>
                <w:bCs/>
                <w:color w:val="000000"/>
              </w:rPr>
              <w:t>Item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1E9908" w14:textId="77777777" w:rsidR="004E06C7" w:rsidRPr="00677ACC" w:rsidRDefault="004E06C7" w:rsidP="0079248B">
            <w:pPr>
              <w:pStyle w:val="NormalWeb"/>
              <w:spacing w:before="0" w:beforeAutospacing="0" w:after="0" w:afterAutospacing="0" w:line="480" w:lineRule="auto"/>
              <w:jc w:val="both"/>
            </w:pPr>
            <w:r w:rsidRPr="00677ACC">
              <w:rPr>
                <w:b/>
                <w:bCs/>
                <w:color w:val="000000"/>
              </w:rPr>
              <w:t>Clinical Description</w:t>
            </w:r>
          </w:p>
        </w:tc>
      </w:tr>
      <w:tr w:rsidR="004E06C7" w:rsidRPr="00677ACC" w14:paraId="58D595D7"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AAF232" w14:textId="77777777" w:rsidR="004E06C7" w:rsidRPr="00677ACC" w:rsidRDefault="004E06C7" w:rsidP="0079248B">
            <w:pPr>
              <w:pStyle w:val="NormalWeb"/>
              <w:spacing w:before="0" w:beforeAutospacing="0" w:after="0" w:afterAutospacing="0" w:line="480" w:lineRule="auto"/>
              <w:jc w:val="both"/>
            </w:pPr>
            <w:r w:rsidRPr="00677ACC">
              <w:rPr>
                <w:color w:val="000000"/>
              </w:rPr>
              <w:t>Immobility/Stupor**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1A5257" w14:textId="77777777" w:rsidR="004E06C7" w:rsidRPr="00677ACC" w:rsidRDefault="004E06C7" w:rsidP="0079248B">
            <w:pPr>
              <w:pStyle w:val="NormalWeb"/>
              <w:spacing w:before="0" w:beforeAutospacing="0" w:after="0" w:afterAutospacing="0" w:line="480" w:lineRule="auto"/>
              <w:jc w:val="both"/>
            </w:pPr>
            <w:r w:rsidRPr="00677ACC">
              <w:rPr>
                <w:color w:val="000000"/>
              </w:rPr>
              <w:t>Marked reduction or absence of responsiveness to the environment; the individual appears disconnected or disengaged.</w:t>
            </w:r>
          </w:p>
        </w:tc>
      </w:tr>
      <w:tr w:rsidR="004E06C7" w:rsidRPr="00677ACC" w14:paraId="3FE9FEF5"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E248D4" w14:textId="77777777" w:rsidR="004E06C7" w:rsidRPr="00677ACC" w:rsidRDefault="004E06C7" w:rsidP="0079248B">
            <w:pPr>
              <w:pStyle w:val="NormalWeb"/>
              <w:spacing w:before="0" w:beforeAutospacing="0" w:after="0" w:afterAutospacing="0" w:line="480" w:lineRule="auto"/>
              <w:jc w:val="both"/>
            </w:pPr>
            <w:r w:rsidRPr="00677ACC">
              <w:rPr>
                <w:color w:val="000000"/>
              </w:rPr>
              <w:t>Catalepsy/ Posturing**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1099D3" w14:textId="77777777" w:rsidR="004E06C7" w:rsidRPr="00677ACC" w:rsidRDefault="004E06C7" w:rsidP="0079248B">
            <w:pPr>
              <w:pStyle w:val="NormalWeb"/>
              <w:spacing w:before="0" w:beforeAutospacing="0" w:after="0" w:afterAutospacing="0" w:line="480" w:lineRule="auto"/>
              <w:jc w:val="both"/>
            </w:pPr>
            <w:r w:rsidRPr="00677ACC">
              <w:rPr>
                <w:color w:val="000000"/>
              </w:rPr>
              <w:t>Maintains fixed, often uncomfortable positions for extended periods, including when placed into position by others (catalepsy).</w:t>
            </w:r>
          </w:p>
        </w:tc>
      </w:tr>
      <w:tr w:rsidR="004E06C7" w:rsidRPr="00677ACC" w14:paraId="774F27B9"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E6C58A" w14:textId="77777777" w:rsidR="004E06C7" w:rsidRPr="00677ACC" w:rsidRDefault="004E06C7" w:rsidP="0079248B">
            <w:pPr>
              <w:pStyle w:val="NormalWeb"/>
              <w:spacing w:before="0" w:beforeAutospacing="0" w:after="0" w:afterAutospacing="0" w:line="480" w:lineRule="auto"/>
              <w:jc w:val="both"/>
            </w:pPr>
            <w:r w:rsidRPr="00677ACC">
              <w:rPr>
                <w:color w:val="000000"/>
              </w:rPr>
              <w:t>Mutism**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34EC04" w14:textId="77777777" w:rsidR="004E06C7" w:rsidRPr="00677ACC" w:rsidRDefault="004E06C7" w:rsidP="0079248B">
            <w:pPr>
              <w:pStyle w:val="NormalWeb"/>
              <w:spacing w:before="0" w:beforeAutospacing="0" w:after="0" w:afterAutospacing="0" w:line="480" w:lineRule="auto"/>
              <w:jc w:val="both"/>
            </w:pPr>
            <w:r w:rsidRPr="00677ACC">
              <w:rPr>
                <w:color w:val="000000"/>
              </w:rPr>
              <w:t>Verbal output is severely limited or absent, not due to a language or motor speech disorder.</w:t>
            </w:r>
          </w:p>
        </w:tc>
      </w:tr>
      <w:tr w:rsidR="004E06C7" w:rsidRPr="00677ACC" w14:paraId="3963FB75"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B3CEFB" w14:textId="77777777" w:rsidR="004E06C7" w:rsidRPr="00677ACC" w:rsidRDefault="004E06C7" w:rsidP="0079248B">
            <w:pPr>
              <w:pStyle w:val="NormalWeb"/>
              <w:spacing w:before="0" w:beforeAutospacing="0" w:after="0" w:afterAutospacing="0" w:line="480" w:lineRule="auto"/>
              <w:jc w:val="both"/>
            </w:pPr>
            <w:r w:rsidRPr="00677ACC">
              <w:rPr>
                <w:color w:val="000000"/>
              </w:rPr>
              <w:t>Negativism**</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1846E1" w14:textId="77777777" w:rsidR="004E06C7" w:rsidRPr="00677ACC" w:rsidRDefault="004E06C7" w:rsidP="0079248B">
            <w:pPr>
              <w:pStyle w:val="NormalWeb"/>
              <w:spacing w:before="0" w:beforeAutospacing="0" w:after="0" w:afterAutospacing="0" w:line="480" w:lineRule="auto"/>
              <w:jc w:val="both"/>
            </w:pPr>
            <w:r w:rsidRPr="00677ACC">
              <w:rPr>
                <w:color w:val="000000"/>
              </w:rPr>
              <w:t>Displays opposition to instructions or external attempts to interact, including doing the opposite of what is requested or failing to react altogether.</w:t>
            </w:r>
          </w:p>
        </w:tc>
      </w:tr>
      <w:tr w:rsidR="004E06C7" w:rsidRPr="00677ACC" w14:paraId="76639E56"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B2898D" w14:textId="77777777" w:rsidR="004E06C7" w:rsidRPr="00677ACC" w:rsidRDefault="004E06C7" w:rsidP="0079248B">
            <w:pPr>
              <w:pStyle w:val="NormalWeb"/>
              <w:spacing w:before="0" w:beforeAutospacing="0" w:after="0" w:afterAutospacing="0" w:line="480" w:lineRule="auto"/>
              <w:jc w:val="both"/>
            </w:pPr>
            <w:r w:rsidRPr="00677ACC">
              <w:rPr>
                <w:color w:val="000000"/>
              </w:rPr>
              <w:t>Mannerisms**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53BC18" w14:textId="77777777" w:rsidR="004E06C7" w:rsidRPr="00677ACC" w:rsidRDefault="004E06C7" w:rsidP="0079248B">
            <w:pPr>
              <w:pStyle w:val="NormalWeb"/>
              <w:spacing w:before="0" w:beforeAutospacing="0" w:after="0" w:afterAutospacing="0" w:line="480" w:lineRule="auto"/>
              <w:jc w:val="both"/>
            </w:pPr>
            <w:r w:rsidRPr="00677ACC">
              <w:rPr>
                <w:color w:val="000000"/>
              </w:rPr>
              <w:t>Shows peculiar, stylized movements or gestures that appear exaggerated or situationally inappropriate.</w:t>
            </w:r>
          </w:p>
        </w:tc>
      </w:tr>
      <w:tr w:rsidR="004E06C7" w:rsidRPr="00677ACC" w14:paraId="4CADF534"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6BE3D3B" w14:textId="77777777" w:rsidR="004E06C7" w:rsidRPr="00677ACC" w:rsidRDefault="004E06C7" w:rsidP="0079248B">
            <w:pPr>
              <w:pStyle w:val="NormalWeb"/>
              <w:spacing w:before="0" w:beforeAutospacing="0" w:after="0" w:afterAutospacing="0" w:line="480" w:lineRule="auto"/>
              <w:jc w:val="both"/>
            </w:pPr>
            <w:r w:rsidRPr="00677ACC">
              <w:rPr>
                <w:color w:val="000000"/>
              </w:rPr>
              <w:lastRenderedPageBreak/>
              <w:t>Stereotypy**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3FE12B" w14:textId="77777777" w:rsidR="004E06C7" w:rsidRPr="00677ACC" w:rsidRDefault="004E06C7" w:rsidP="0079248B">
            <w:pPr>
              <w:pStyle w:val="NormalWeb"/>
              <w:spacing w:before="0" w:beforeAutospacing="0" w:after="0" w:afterAutospacing="0" w:line="480" w:lineRule="auto"/>
              <w:jc w:val="both"/>
            </w:pPr>
            <w:r w:rsidRPr="00677ACC">
              <w:rPr>
                <w:color w:val="000000"/>
              </w:rPr>
              <w:t>Engages in repeated, non-goal-directed motor behaviors such as pacing, rocking, or hand motions.</w:t>
            </w:r>
          </w:p>
        </w:tc>
      </w:tr>
      <w:tr w:rsidR="004E06C7" w:rsidRPr="00677ACC" w14:paraId="7DD511CA"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A4A9C7" w14:textId="77777777" w:rsidR="004E06C7" w:rsidRPr="00677ACC" w:rsidRDefault="004E06C7" w:rsidP="0079248B">
            <w:pPr>
              <w:pStyle w:val="NormalWeb"/>
              <w:spacing w:before="0" w:beforeAutospacing="0" w:after="0" w:afterAutospacing="0" w:line="480" w:lineRule="auto"/>
              <w:jc w:val="both"/>
            </w:pPr>
            <w:r w:rsidRPr="00677ACC">
              <w:rPr>
                <w:color w:val="000000"/>
              </w:rPr>
              <w:t>Grimacing**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12019F" w14:textId="77777777" w:rsidR="004E06C7" w:rsidRPr="00677ACC" w:rsidRDefault="004E06C7" w:rsidP="0079248B">
            <w:pPr>
              <w:pStyle w:val="NormalWeb"/>
              <w:spacing w:before="0" w:beforeAutospacing="0" w:after="0" w:afterAutospacing="0" w:line="480" w:lineRule="auto"/>
              <w:jc w:val="both"/>
            </w:pPr>
            <w:r w:rsidRPr="00677ACC">
              <w:rPr>
                <w:color w:val="000000"/>
              </w:rPr>
              <w:t>Exhibits unusual or distorted facial movements or expressions without clear provocation.</w:t>
            </w:r>
          </w:p>
        </w:tc>
      </w:tr>
      <w:tr w:rsidR="004E06C7" w:rsidRPr="00677ACC" w14:paraId="5B741DE9" w14:textId="77777777" w:rsidTr="0079248B">
        <w:trPr>
          <w:trHeight w:val="24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187B46" w14:textId="77777777" w:rsidR="004E06C7" w:rsidRPr="00677ACC" w:rsidRDefault="004E06C7" w:rsidP="0079248B">
            <w:pPr>
              <w:pStyle w:val="NormalWeb"/>
              <w:spacing w:before="0" w:beforeAutospacing="0" w:after="0" w:afterAutospacing="0" w:line="480" w:lineRule="auto"/>
              <w:jc w:val="both"/>
            </w:pPr>
            <w:r w:rsidRPr="00677ACC">
              <w:rPr>
                <w:color w:val="000000"/>
              </w:rPr>
              <w:t>Echolalia and Echopraxia**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3E273D" w14:textId="77777777" w:rsidR="004E06C7" w:rsidRPr="00677ACC" w:rsidRDefault="004E06C7" w:rsidP="0079248B">
            <w:pPr>
              <w:pStyle w:val="NormalWeb"/>
              <w:spacing w:before="0" w:beforeAutospacing="0" w:after="0" w:afterAutospacing="0" w:line="480" w:lineRule="auto"/>
              <w:jc w:val="both"/>
            </w:pPr>
            <w:r w:rsidRPr="00677ACC">
              <w:rPr>
                <w:color w:val="000000"/>
              </w:rPr>
              <w:t>Involuntary repetition or imitation of another person’s words (echolalia) or movements (echopraxia), often without conscious intent or awareness.</w:t>
            </w:r>
          </w:p>
        </w:tc>
      </w:tr>
      <w:tr w:rsidR="004E06C7" w:rsidRPr="00677ACC" w14:paraId="425BAA97"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AC49D1" w14:textId="77777777" w:rsidR="004E06C7" w:rsidRPr="00677ACC" w:rsidRDefault="004E06C7" w:rsidP="0079248B">
            <w:pPr>
              <w:pStyle w:val="NormalWeb"/>
              <w:spacing w:before="0" w:beforeAutospacing="0" w:after="0" w:afterAutospacing="0" w:line="480" w:lineRule="auto"/>
              <w:jc w:val="both"/>
            </w:pPr>
            <w:r w:rsidRPr="00677ACC">
              <w:rPr>
                <w:color w:val="000000"/>
              </w:rPr>
              <w:t>Withdrawal**</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98860E" w14:textId="77777777" w:rsidR="004E06C7" w:rsidRPr="00677ACC" w:rsidRDefault="004E06C7" w:rsidP="0079248B">
            <w:pPr>
              <w:pStyle w:val="NormalWeb"/>
              <w:spacing w:before="0" w:beforeAutospacing="0" w:after="0" w:afterAutospacing="0" w:line="480" w:lineRule="auto"/>
              <w:jc w:val="both"/>
            </w:pPr>
            <w:r w:rsidRPr="00677ACC">
              <w:rPr>
                <w:color w:val="000000"/>
              </w:rPr>
              <w:t>Avoids social or physical engagement, including eye contact, communication, or eating.</w:t>
            </w:r>
          </w:p>
        </w:tc>
      </w:tr>
      <w:tr w:rsidR="004E06C7" w:rsidRPr="00677ACC" w14:paraId="207BF263"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AC4516" w14:textId="77777777" w:rsidR="004E06C7" w:rsidRPr="00677ACC" w:rsidRDefault="004E06C7" w:rsidP="0079248B">
            <w:pPr>
              <w:pStyle w:val="NormalWeb"/>
              <w:spacing w:before="0" w:beforeAutospacing="0" w:after="0" w:afterAutospacing="0" w:line="480" w:lineRule="auto"/>
              <w:jc w:val="both"/>
            </w:pPr>
            <w:r w:rsidRPr="00677ACC">
              <w:rPr>
                <w:color w:val="000000"/>
              </w:rPr>
              <w:t>Verbigeration**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E33BDA" w14:textId="77777777" w:rsidR="004E06C7" w:rsidRPr="00677ACC" w:rsidRDefault="004E06C7" w:rsidP="0079248B">
            <w:pPr>
              <w:pStyle w:val="NormalWeb"/>
              <w:spacing w:before="0" w:beforeAutospacing="0" w:after="0" w:afterAutospacing="0" w:line="480" w:lineRule="auto"/>
              <w:jc w:val="both"/>
            </w:pPr>
            <w:r w:rsidRPr="00677ACC">
              <w:rPr>
                <w:color w:val="000000"/>
              </w:rPr>
              <w:t>Recites the same word or phrase repeatedly in a loop, often without relevance to the context.</w:t>
            </w:r>
          </w:p>
        </w:tc>
      </w:tr>
      <w:tr w:rsidR="004E06C7" w:rsidRPr="00677ACC" w14:paraId="161C2351"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0E91C9" w14:textId="77777777" w:rsidR="004E06C7" w:rsidRPr="00677ACC" w:rsidRDefault="004E06C7" w:rsidP="0079248B">
            <w:pPr>
              <w:pStyle w:val="NormalWeb"/>
              <w:spacing w:before="0" w:beforeAutospacing="0" w:after="0" w:afterAutospacing="0" w:line="480" w:lineRule="auto"/>
              <w:jc w:val="both"/>
            </w:pPr>
            <w:r w:rsidRPr="00677ACC">
              <w:rPr>
                <w:color w:val="000000"/>
              </w:rPr>
              <w:t>Rigidity**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FBB359" w14:textId="77777777" w:rsidR="004E06C7" w:rsidRPr="00677ACC" w:rsidRDefault="004E06C7" w:rsidP="0079248B">
            <w:pPr>
              <w:pStyle w:val="NormalWeb"/>
              <w:spacing w:before="0" w:beforeAutospacing="0" w:after="0" w:afterAutospacing="0" w:line="480" w:lineRule="auto"/>
              <w:jc w:val="both"/>
            </w:pPr>
            <w:r w:rsidRPr="00677ACC">
              <w:rPr>
                <w:color w:val="000000"/>
              </w:rPr>
              <w:t>Shows sustained muscle tension that resists movement, often felt uniformly throughout a limb.</w:t>
            </w:r>
          </w:p>
        </w:tc>
      </w:tr>
      <w:tr w:rsidR="004E06C7" w:rsidRPr="00677ACC" w14:paraId="6F19A9B9"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83A6ED" w14:textId="77777777" w:rsidR="004E06C7" w:rsidRPr="00677ACC" w:rsidRDefault="004E06C7" w:rsidP="0079248B">
            <w:pPr>
              <w:pStyle w:val="NormalWeb"/>
              <w:spacing w:before="0" w:beforeAutospacing="0" w:after="0" w:afterAutospacing="0" w:line="480" w:lineRule="auto"/>
              <w:jc w:val="both"/>
            </w:pPr>
            <w:r w:rsidRPr="00677ACC">
              <w:rPr>
                <w:color w:val="000000"/>
              </w:rPr>
              <w:t>Excitement**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A7BD65" w14:textId="77777777" w:rsidR="004E06C7" w:rsidRPr="00677ACC" w:rsidRDefault="004E06C7" w:rsidP="0079248B">
            <w:pPr>
              <w:pStyle w:val="NormalWeb"/>
              <w:spacing w:before="0" w:beforeAutospacing="0" w:after="0" w:afterAutospacing="0" w:line="480" w:lineRule="auto"/>
              <w:jc w:val="both"/>
            </w:pPr>
            <w:r w:rsidRPr="00677ACC">
              <w:rPr>
                <w:color w:val="000000"/>
              </w:rPr>
              <w:t>Displays excessive, disorganized motor activity that is difficult to redirect or control.</w:t>
            </w:r>
          </w:p>
        </w:tc>
      </w:tr>
      <w:tr w:rsidR="004E06C7" w:rsidRPr="00677ACC" w14:paraId="12C9429D"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911CD6" w14:textId="77777777" w:rsidR="004E06C7" w:rsidRPr="00677ACC" w:rsidRDefault="004E06C7" w:rsidP="0079248B">
            <w:pPr>
              <w:pStyle w:val="NormalWeb"/>
              <w:spacing w:before="0" w:beforeAutospacing="0" w:after="0" w:afterAutospacing="0" w:line="480" w:lineRule="auto"/>
              <w:jc w:val="both"/>
            </w:pPr>
            <w:r w:rsidRPr="00677ACC">
              <w:rPr>
                <w:color w:val="000000"/>
              </w:rPr>
              <w:t>Staring**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0C1688" w14:textId="77777777" w:rsidR="004E06C7" w:rsidRPr="00677ACC" w:rsidRDefault="004E06C7" w:rsidP="0079248B">
            <w:pPr>
              <w:pStyle w:val="NormalWeb"/>
              <w:spacing w:before="0" w:beforeAutospacing="0" w:after="0" w:afterAutospacing="0" w:line="480" w:lineRule="auto"/>
              <w:jc w:val="both"/>
            </w:pPr>
            <w:r w:rsidRPr="00677ACC">
              <w:rPr>
                <w:color w:val="000000"/>
              </w:rPr>
              <w:t>Maintains a fixed gaze with minimal blinking, often prolonged and unresponsive.</w:t>
            </w:r>
          </w:p>
        </w:tc>
      </w:tr>
      <w:tr w:rsidR="004E06C7" w:rsidRPr="00677ACC" w14:paraId="2804BB2E"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0D4764" w14:textId="77777777" w:rsidR="004E06C7" w:rsidRPr="00677ACC" w:rsidRDefault="004E06C7" w:rsidP="0079248B">
            <w:pPr>
              <w:pStyle w:val="NormalWeb"/>
              <w:spacing w:before="0" w:beforeAutospacing="0" w:after="0" w:afterAutospacing="0" w:line="480" w:lineRule="auto"/>
              <w:jc w:val="both"/>
            </w:pPr>
            <w:r w:rsidRPr="00677ACC">
              <w:rPr>
                <w:color w:val="000000"/>
              </w:rPr>
              <w:t>Waxy Flexibility**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78B6AB" w14:textId="77777777" w:rsidR="004E06C7" w:rsidRPr="00677ACC" w:rsidRDefault="004E06C7" w:rsidP="0079248B">
            <w:pPr>
              <w:pStyle w:val="NormalWeb"/>
              <w:spacing w:before="0" w:beforeAutospacing="0" w:after="0" w:afterAutospacing="0" w:line="480" w:lineRule="auto"/>
              <w:jc w:val="both"/>
            </w:pPr>
            <w:r w:rsidRPr="00677ACC">
              <w:rPr>
                <w:color w:val="000000"/>
              </w:rPr>
              <w:t>Limbs offer initial resistance to repositioning that then lessens in response to continued efforts.</w:t>
            </w:r>
          </w:p>
        </w:tc>
      </w:tr>
      <w:tr w:rsidR="004E06C7" w:rsidRPr="00677ACC" w14:paraId="79200C98"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8D8D54" w14:textId="77777777" w:rsidR="004E06C7" w:rsidRPr="00677ACC" w:rsidRDefault="004E06C7" w:rsidP="0079248B">
            <w:pPr>
              <w:pStyle w:val="NormalWeb"/>
              <w:spacing w:before="0" w:beforeAutospacing="0" w:after="0" w:afterAutospacing="0" w:line="480" w:lineRule="auto"/>
              <w:jc w:val="both"/>
            </w:pPr>
            <w:r w:rsidRPr="00677ACC">
              <w:rPr>
                <w:color w:val="000000"/>
              </w:rPr>
              <w:t>Combativeness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73C381" w14:textId="77777777" w:rsidR="004E06C7" w:rsidRPr="00677ACC" w:rsidRDefault="004E06C7" w:rsidP="0079248B">
            <w:pPr>
              <w:pStyle w:val="NormalWeb"/>
              <w:spacing w:before="0" w:beforeAutospacing="0" w:after="0" w:afterAutospacing="0" w:line="480" w:lineRule="auto"/>
              <w:jc w:val="both"/>
            </w:pPr>
            <w:r w:rsidRPr="00677ACC">
              <w:rPr>
                <w:color w:val="000000"/>
              </w:rPr>
              <w:t>Acts with sudden aggression or hostility, often disproportionate or seemingly without external cause.</w:t>
            </w:r>
          </w:p>
        </w:tc>
      </w:tr>
      <w:tr w:rsidR="004E06C7" w:rsidRPr="00677ACC" w14:paraId="0B0ACAC6"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D90102A" w14:textId="77777777" w:rsidR="004E06C7" w:rsidRPr="00677ACC" w:rsidRDefault="004E06C7" w:rsidP="0079248B">
            <w:pPr>
              <w:pStyle w:val="NormalWeb"/>
              <w:spacing w:before="0" w:beforeAutospacing="0" w:after="0" w:afterAutospacing="0" w:line="480" w:lineRule="auto"/>
              <w:jc w:val="both"/>
            </w:pPr>
            <w:r w:rsidRPr="00677ACC">
              <w:rPr>
                <w:color w:val="000000"/>
              </w:rPr>
              <w:t>Impulsivity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C8F924" w14:textId="77777777" w:rsidR="004E06C7" w:rsidRPr="00677ACC" w:rsidRDefault="004E06C7" w:rsidP="0079248B">
            <w:pPr>
              <w:pStyle w:val="NormalWeb"/>
              <w:spacing w:before="0" w:beforeAutospacing="0" w:after="0" w:afterAutospacing="0" w:line="480" w:lineRule="auto"/>
              <w:jc w:val="both"/>
            </w:pPr>
            <w:r w:rsidRPr="00677ACC">
              <w:rPr>
                <w:color w:val="000000"/>
              </w:rPr>
              <w:t>Performs abrupt actions without forethought, which may be risky, inappropriate, or unprovoked.</w:t>
            </w:r>
          </w:p>
        </w:tc>
      </w:tr>
      <w:tr w:rsidR="004E06C7" w:rsidRPr="00677ACC" w14:paraId="268EE509"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11C899" w14:textId="77777777" w:rsidR="004E06C7" w:rsidRPr="00677ACC" w:rsidRDefault="004E06C7" w:rsidP="0079248B">
            <w:pPr>
              <w:pStyle w:val="NormalWeb"/>
              <w:spacing w:before="0" w:beforeAutospacing="0" w:after="0" w:afterAutospacing="0" w:line="480" w:lineRule="auto"/>
              <w:jc w:val="both"/>
            </w:pPr>
            <w:r w:rsidRPr="00677ACC">
              <w:rPr>
                <w:color w:val="000000"/>
              </w:rPr>
              <w:lastRenderedPageBreak/>
              <w:t>Autonomic Dysfunction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49780A" w14:textId="77777777" w:rsidR="004E06C7" w:rsidRPr="00677ACC" w:rsidRDefault="004E06C7" w:rsidP="0079248B">
            <w:pPr>
              <w:pStyle w:val="NormalWeb"/>
              <w:spacing w:before="0" w:beforeAutospacing="0" w:after="0" w:afterAutospacing="0" w:line="480" w:lineRule="auto"/>
              <w:jc w:val="both"/>
            </w:pPr>
            <w:r w:rsidRPr="00677ACC">
              <w:rPr>
                <w:color w:val="000000"/>
              </w:rPr>
              <w:t>Exhibits instability in vital signs or body regulation, including fluctuations in heart rate, temperature, blood pressure, or respiration.</w:t>
            </w:r>
          </w:p>
        </w:tc>
      </w:tr>
      <w:tr w:rsidR="004E06C7" w:rsidRPr="00677ACC" w14:paraId="52DD794E"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F55619" w14:textId="77777777" w:rsidR="004E06C7" w:rsidRPr="00677ACC" w:rsidRDefault="004E06C7" w:rsidP="0079248B">
            <w:pPr>
              <w:pStyle w:val="NormalWeb"/>
              <w:spacing w:before="0" w:beforeAutospacing="0" w:after="0" w:afterAutospacing="0" w:line="480" w:lineRule="auto"/>
              <w:jc w:val="both"/>
            </w:pPr>
            <w:r w:rsidRPr="00677ACC">
              <w:rPr>
                <w:color w:val="000000"/>
              </w:rPr>
              <w:t>Perseveration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F4D008" w14:textId="77777777" w:rsidR="004E06C7" w:rsidRPr="00677ACC" w:rsidRDefault="004E06C7" w:rsidP="0079248B">
            <w:pPr>
              <w:pStyle w:val="NormalWeb"/>
              <w:spacing w:before="0" w:beforeAutospacing="0" w:after="0" w:afterAutospacing="0" w:line="480" w:lineRule="auto"/>
              <w:jc w:val="both"/>
            </w:pPr>
            <w:r w:rsidRPr="00677ACC">
              <w:rPr>
                <w:color w:val="000000"/>
              </w:rPr>
              <w:t>Repeats a thought, word, or movement beyond its relevance or appropriateness, with difficulty shifting focus.</w:t>
            </w:r>
          </w:p>
        </w:tc>
      </w:tr>
      <w:tr w:rsidR="004E06C7" w:rsidRPr="00677ACC" w14:paraId="2463536D"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837A3C" w14:textId="77777777" w:rsidR="004E06C7" w:rsidRPr="00677ACC" w:rsidRDefault="004E06C7" w:rsidP="0079248B">
            <w:pPr>
              <w:pStyle w:val="NormalWeb"/>
              <w:spacing w:before="0" w:beforeAutospacing="0" w:after="0" w:afterAutospacing="0" w:line="480" w:lineRule="auto"/>
              <w:jc w:val="both"/>
            </w:pPr>
            <w:r w:rsidRPr="00677ACC">
              <w:rPr>
                <w:color w:val="000000"/>
              </w:rPr>
              <w:t>Automatic Obedience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F4FB8D" w14:textId="77777777" w:rsidR="004E06C7" w:rsidRPr="00677ACC" w:rsidRDefault="004E06C7" w:rsidP="0079248B">
            <w:pPr>
              <w:pStyle w:val="NormalWeb"/>
              <w:spacing w:before="0" w:beforeAutospacing="0" w:after="0" w:afterAutospacing="0" w:line="480" w:lineRule="auto"/>
              <w:jc w:val="both"/>
            </w:pPr>
            <w:r w:rsidRPr="00677ACC">
              <w:rPr>
                <w:color w:val="000000"/>
              </w:rPr>
              <w:t>Follows commands automatically and rigidly, regardless of how illogical or harmful they may be.</w:t>
            </w:r>
          </w:p>
        </w:tc>
      </w:tr>
      <w:tr w:rsidR="004E06C7" w:rsidRPr="00677ACC" w14:paraId="7AFCE7BA"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84322D" w14:textId="77777777" w:rsidR="004E06C7" w:rsidRPr="00677ACC" w:rsidRDefault="004E06C7" w:rsidP="0079248B">
            <w:pPr>
              <w:pStyle w:val="NormalWeb"/>
              <w:spacing w:before="0" w:beforeAutospacing="0" w:after="0" w:afterAutospacing="0" w:line="480" w:lineRule="auto"/>
              <w:jc w:val="both"/>
            </w:pPr>
            <w:proofErr w:type="spellStart"/>
            <w:r w:rsidRPr="00677ACC">
              <w:rPr>
                <w:color w:val="000000"/>
              </w:rPr>
              <w:t>Gegenhalten</w:t>
            </w:r>
            <w:proofErr w:type="spellEnd"/>
            <w:r w:rsidRPr="00677ACC">
              <w:rPr>
                <w:color w:val="000000"/>
              </w:rPr>
              <w:t xml:space="preserve"> (Paratonia)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8596F5" w14:textId="77777777" w:rsidR="004E06C7" w:rsidRPr="00677ACC" w:rsidRDefault="004E06C7" w:rsidP="0079248B">
            <w:pPr>
              <w:pStyle w:val="NormalWeb"/>
              <w:spacing w:before="0" w:beforeAutospacing="0" w:after="0" w:afterAutospacing="0" w:line="480" w:lineRule="auto"/>
              <w:jc w:val="both"/>
            </w:pPr>
            <w:r w:rsidRPr="00677ACC">
              <w:rPr>
                <w:color w:val="000000"/>
              </w:rPr>
              <w:t>Passive resistance to movement that increases proportionally with the force applied by the examiner.</w:t>
            </w:r>
          </w:p>
        </w:tc>
      </w:tr>
      <w:tr w:rsidR="004E06C7" w:rsidRPr="00677ACC" w14:paraId="1323BBFA"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352C9A6" w14:textId="77777777" w:rsidR="004E06C7" w:rsidRPr="00677ACC" w:rsidRDefault="004E06C7" w:rsidP="0079248B">
            <w:pPr>
              <w:pStyle w:val="NormalWeb"/>
              <w:spacing w:before="0" w:beforeAutospacing="0" w:after="0" w:afterAutospacing="0" w:line="480" w:lineRule="auto"/>
              <w:jc w:val="both"/>
            </w:pPr>
            <w:proofErr w:type="spellStart"/>
            <w:r w:rsidRPr="00677ACC">
              <w:rPr>
                <w:color w:val="000000"/>
              </w:rPr>
              <w:t>Mitgehen</w:t>
            </w:r>
            <w:proofErr w:type="spellEnd"/>
            <w:r w:rsidRPr="00677ACC">
              <w:rPr>
                <w:color w:val="000000"/>
              </w:rPr>
              <w:t xml:space="preserve"> (“Anglepoise Lamp Sign”)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0EC18B" w14:textId="77777777" w:rsidR="004E06C7" w:rsidRPr="00677ACC" w:rsidRDefault="004E06C7" w:rsidP="0079248B">
            <w:pPr>
              <w:pStyle w:val="NormalWeb"/>
              <w:spacing w:before="0" w:beforeAutospacing="0" w:after="0" w:afterAutospacing="0" w:line="480" w:lineRule="auto"/>
              <w:jc w:val="both"/>
            </w:pPr>
            <w:r w:rsidRPr="00677ACC">
              <w:rPr>
                <w:color w:val="000000"/>
              </w:rPr>
              <w:t>Allows limbs to be moved by even slight pressure, despite instructions to resist or hold steady.</w:t>
            </w:r>
          </w:p>
        </w:tc>
      </w:tr>
      <w:tr w:rsidR="004E06C7" w:rsidRPr="00677ACC" w14:paraId="28812AB7"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EF2E6D" w14:textId="77777777" w:rsidR="004E06C7" w:rsidRPr="00677ACC" w:rsidRDefault="004E06C7" w:rsidP="0079248B">
            <w:pPr>
              <w:pStyle w:val="NormalWeb"/>
              <w:spacing w:before="0" w:beforeAutospacing="0" w:after="0" w:afterAutospacing="0" w:line="480" w:lineRule="auto"/>
              <w:jc w:val="both"/>
            </w:pPr>
            <w:r w:rsidRPr="00677ACC">
              <w:rPr>
                <w:color w:val="000000"/>
              </w:rPr>
              <w:t>Grasp Reflex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D4E5CF" w14:textId="77777777" w:rsidR="004E06C7" w:rsidRPr="00677ACC" w:rsidRDefault="004E06C7" w:rsidP="0079248B">
            <w:pPr>
              <w:pStyle w:val="NormalWeb"/>
              <w:spacing w:before="0" w:beforeAutospacing="0" w:after="0" w:afterAutospacing="0" w:line="480" w:lineRule="auto"/>
              <w:jc w:val="both"/>
            </w:pPr>
            <w:r w:rsidRPr="00677ACC">
              <w:rPr>
                <w:color w:val="000000"/>
              </w:rPr>
              <w:t>Involuntarily grips objects placed in the palm and is unable to release without assistance.</w:t>
            </w:r>
          </w:p>
        </w:tc>
      </w:tr>
      <w:tr w:rsidR="004E06C7" w:rsidRPr="00677ACC" w14:paraId="3B97E40E" w14:textId="77777777" w:rsidTr="0079248B">
        <w:trPr>
          <w:trHeight w:val="4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507343" w14:textId="77777777" w:rsidR="004E06C7" w:rsidRPr="00677ACC" w:rsidRDefault="004E06C7" w:rsidP="0079248B">
            <w:pPr>
              <w:pStyle w:val="NormalWeb"/>
              <w:spacing w:before="0" w:beforeAutospacing="0" w:after="0" w:afterAutospacing="0" w:line="480" w:lineRule="auto"/>
              <w:jc w:val="both"/>
            </w:pPr>
            <w:r w:rsidRPr="00677ACC">
              <w:rPr>
                <w:color w:val="000000"/>
              </w:rPr>
              <w:t>Ambitendency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62C7CD" w14:textId="77777777" w:rsidR="004E06C7" w:rsidRPr="00677ACC" w:rsidRDefault="004E06C7" w:rsidP="0079248B">
            <w:pPr>
              <w:pStyle w:val="NormalWeb"/>
              <w:spacing w:before="0" w:beforeAutospacing="0" w:after="0" w:afterAutospacing="0" w:line="480" w:lineRule="auto"/>
              <w:jc w:val="both"/>
            </w:pPr>
            <w:r w:rsidRPr="00677ACC">
              <w:rPr>
                <w:color w:val="000000"/>
              </w:rPr>
              <w:t>Appears hesitant or motorically stuck between two movements</w:t>
            </w:r>
          </w:p>
        </w:tc>
      </w:tr>
    </w:tbl>
    <w:p w14:paraId="4D14CC2B" w14:textId="77777777" w:rsidR="004E06C7" w:rsidRPr="00677ACC" w:rsidRDefault="004E06C7" w:rsidP="004E06C7">
      <w:pPr>
        <w:pStyle w:val="NormalWeb"/>
        <w:spacing w:before="0" w:beforeAutospacing="0" w:after="0" w:afterAutospacing="0" w:line="480" w:lineRule="auto"/>
        <w:jc w:val="both"/>
        <w:rPr>
          <w:color w:val="000000"/>
        </w:rPr>
      </w:pPr>
      <w:r w:rsidRPr="00677ACC">
        <w:rPr>
          <w:color w:val="000000"/>
        </w:rPr>
        <w:t>** Bush Francis Catatonia Rating Scale 14-Item Screening Tool</w:t>
      </w:r>
    </w:p>
    <w:p w14:paraId="31E97AB8" w14:textId="77777777" w:rsidR="004E06C7" w:rsidRDefault="004E06C7" w:rsidP="004E06C7"/>
    <w:p w14:paraId="025DB4F6" w14:textId="77777777" w:rsidR="00B5411D" w:rsidRDefault="00B5411D" w:rsidP="00677ACC">
      <w:pPr>
        <w:pStyle w:val="NormalWeb"/>
        <w:spacing w:line="480" w:lineRule="auto"/>
      </w:pPr>
    </w:p>
    <w:p w14:paraId="49DB5B21" w14:textId="77777777" w:rsidR="00B5411D" w:rsidRDefault="00B5411D" w:rsidP="00677ACC">
      <w:pPr>
        <w:pStyle w:val="NormalWeb"/>
        <w:spacing w:line="480" w:lineRule="auto"/>
      </w:pPr>
    </w:p>
    <w:p w14:paraId="54CA0DDD" w14:textId="77777777" w:rsidR="00B5411D" w:rsidRDefault="00B5411D" w:rsidP="00677ACC">
      <w:pPr>
        <w:pStyle w:val="NormalWeb"/>
        <w:spacing w:line="480" w:lineRule="auto"/>
      </w:pPr>
    </w:p>
    <w:p w14:paraId="4D0F2C26" w14:textId="77777777" w:rsidR="00B5411D" w:rsidRDefault="00B5411D" w:rsidP="00677ACC">
      <w:pPr>
        <w:pStyle w:val="NormalWeb"/>
        <w:spacing w:line="480" w:lineRule="auto"/>
      </w:pPr>
    </w:p>
    <w:p w14:paraId="04ABCA82" w14:textId="77777777" w:rsidR="00B5411D" w:rsidRPr="00677ACC" w:rsidRDefault="00B5411D" w:rsidP="00677ACC">
      <w:pPr>
        <w:pStyle w:val="NormalWeb"/>
        <w:spacing w:line="480" w:lineRule="auto"/>
        <w:rPr>
          <w:lang w:eastAsia="zh-CN"/>
        </w:rPr>
      </w:pPr>
    </w:p>
    <w:p w14:paraId="09D69A9E" w14:textId="257D7F88" w:rsidR="0016432B" w:rsidRPr="00677ACC" w:rsidRDefault="0016432B" w:rsidP="00677ACC">
      <w:pPr>
        <w:spacing w:after="240" w:line="480" w:lineRule="auto"/>
        <w:rPr>
          <w:b/>
          <w:bCs/>
        </w:rPr>
      </w:pPr>
      <w:r w:rsidRPr="00677ACC">
        <w:rPr>
          <w:b/>
          <w:bCs/>
        </w:rPr>
        <w:lastRenderedPageBreak/>
        <w:t>References:</w:t>
      </w:r>
    </w:p>
    <w:p w14:paraId="05B55C22" w14:textId="04C0CB6E" w:rsidR="00EF1C44" w:rsidRPr="00EF1C44" w:rsidRDefault="0016432B" w:rsidP="00EF1C44">
      <w:pPr>
        <w:widowControl w:val="0"/>
        <w:autoSpaceDE w:val="0"/>
        <w:autoSpaceDN w:val="0"/>
        <w:adjustRightInd w:val="0"/>
        <w:spacing w:after="240" w:line="480" w:lineRule="auto"/>
        <w:ind w:left="640" w:hanging="640"/>
        <w:rPr>
          <w:noProof/>
        </w:rPr>
      </w:pPr>
      <w:r w:rsidRPr="00677ACC">
        <w:fldChar w:fldCharType="begin" w:fldLock="1"/>
      </w:r>
      <w:r w:rsidRPr="00677ACC">
        <w:instrText xml:space="preserve">ADDIN Mendeley Bibliography CSL_BIBLIOGRAPHY </w:instrText>
      </w:r>
      <w:r w:rsidRPr="00677ACC">
        <w:fldChar w:fldCharType="separate"/>
      </w:r>
      <w:r w:rsidR="00EF1C44" w:rsidRPr="00EF1C44">
        <w:rPr>
          <w:noProof/>
        </w:rPr>
        <w:t xml:space="preserve">1. </w:t>
      </w:r>
      <w:r w:rsidR="00EF1C44" w:rsidRPr="00EF1C44">
        <w:rPr>
          <w:noProof/>
        </w:rPr>
        <w:tab/>
        <w:t xml:space="preserve">Association AP. Diagnostic and Statistical Manual of Mental Disorders, Text Revision Dsm-5-tr 5th Edition. Am Psychiatr Press Inc. 2022; </w:t>
      </w:r>
    </w:p>
    <w:p w14:paraId="199C2E2A"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 </w:t>
      </w:r>
      <w:r w:rsidRPr="00EF1C44">
        <w:rPr>
          <w:noProof/>
        </w:rPr>
        <w:tab/>
        <w:t>Denysenko L, Sica N, Penders T, Philbrick KL, Walker A, Shaffer S, et al. Catatonia in the medically ill: Etiology, diagnosis, and treatment. The Academy of Consultation-Liaison Psychiatry Evidence-Based Medicine Subcommittee Monograph - PubMed. Ann Clin Psychiatry [Internet]. 2018 [cited 2025 Mar 15];30(2):140–55. Available from: https://pubmed.ncbi.nlm.nih.gov/29697715/</w:t>
      </w:r>
    </w:p>
    <w:p w14:paraId="17A3C260"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 </w:t>
      </w:r>
      <w:r w:rsidRPr="00EF1C44">
        <w:rPr>
          <w:noProof/>
        </w:rPr>
        <w:tab/>
        <w:t xml:space="preserve">Denysenko L, Freudenreich O, Philbrick K, Penders T, Zimbrean P, Nejad S, et al. Catatonia in Medically Ill Patients An Evidence-Based Medicine (EBM) Monograph for Psychosomatic Medicine Practice Published jointly by The Guidelines and Evidence-Based Medicine Subcommittee of the Academy of Psychosomatic Medicine (APM) and The European Association of Psychosomatic Medicine (EAPM) CATATONIA IN THE MEDICALLY ILL-EBM SUMMARY. 2015;(2). </w:t>
      </w:r>
    </w:p>
    <w:p w14:paraId="00648A70"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 </w:t>
      </w:r>
      <w:r w:rsidRPr="00EF1C44">
        <w:rPr>
          <w:noProof/>
        </w:rPr>
        <w:tab/>
        <w:t>Oldham MA. The Probability That Catatonia in the Hospital has a Medical Cause and the Relative Proportions of Its Causes: A Systematic Review. Psychosomatics [Internet]. 2018 Jul 1 [cited 2025 Mar 15];59(4):333–40. Available from: https://pubmed.ncbi.nlm.nih.gov/29776679/</w:t>
      </w:r>
    </w:p>
    <w:p w14:paraId="2C1F8896"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 </w:t>
      </w:r>
      <w:r w:rsidRPr="00EF1C44">
        <w:rPr>
          <w:noProof/>
        </w:rPr>
        <w:tab/>
        <w:t>Mission, Vision, Values | AAHPM [Internet]. [cited 2025 Jun 21]. Available from: https://aahpm.org/about-aahpm/mission-vision-values/</w:t>
      </w:r>
    </w:p>
    <w:p w14:paraId="50C7A82D"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 </w:t>
      </w:r>
      <w:r w:rsidRPr="00EF1C44">
        <w:rPr>
          <w:noProof/>
        </w:rPr>
        <w:tab/>
        <w:t xml:space="preserve">Walker AM, Sullivan DR, Nguyen P, Holland AE, Smallwood N. Early, integrated </w:t>
      </w:r>
      <w:r w:rsidRPr="00EF1C44">
        <w:rPr>
          <w:noProof/>
        </w:rPr>
        <w:lastRenderedPageBreak/>
        <w:t>palliative care for people with chronic respiratory disease: lessons learnt from lung cancer. Ther Adv Respir Dis [Internet]. 2025 Jan 1 [cited 2025 Jun 21];19. Available from: https://pubmed.ncbi.nlm.nih.gov/39921545/</w:t>
      </w:r>
    </w:p>
    <w:p w14:paraId="168BABBA"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 </w:t>
      </w:r>
      <w:r w:rsidRPr="00EF1C44">
        <w:rPr>
          <w:noProof/>
        </w:rPr>
        <w:tab/>
        <w:t>Temel JS, Greer JA, Muzikansky A, Gallagher ER, Admane S, Jackson VA, et al. Early Palliative Care for Patients with Metastatic Non–Small-Cell Lung Cancer. N Engl J Med [Internet]. 2010 Aug;363(8):733–42. Available from: http://dx.doi.org/10.1056/NEJMoa1000678</w:t>
      </w:r>
    </w:p>
    <w:p w14:paraId="0747CF32"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 </w:t>
      </w:r>
      <w:r w:rsidRPr="00EF1C44">
        <w:rPr>
          <w:noProof/>
        </w:rPr>
        <w:tab/>
        <w:t>Trachsel M, Irwin SA, Biller-Andorno N, Hoff P, Riese F. Palliative psychiatry for severe and persistent mental illness. The lancet Psychiatry [Internet]. 2016 Mar 1 [cited 2025 Oct 14];3(3):200. Available from: https://pubmed.ncbi.nlm.nih.gov/26946387/</w:t>
      </w:r>
    </w:p>
    <w:p w14:paraId="68E475B9"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 </w:t>
      </w:r>
      <w:r w:rsidRPr="00EF1C44">
        <w:rPr>
          <w:noProof/>
        </w:rPr>
        <w:tab/>
        <w:t>Shalev D, Brenner K, Carlson RL, Chammas D, Levitt S, Noufi PE, et al. Palliative Care Psychiatry: Building Synergy Across the Spectrum. Curr Psychiatry Rep [Internet]. 2024;(0123456789). Available from: https://doi.org/10.1007/s11920-024-01485-5</w:t>
      </w:r>
    </w:p>
    <w:p w14:paraId="1F851BC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10. </w:t>
      </w:r>
      <w:r w:rsidRPr="00EF1C44">
        <w:rPr>
          <w:noProof/>
        </w:rPr>
        <w:tab/>
        <w:t xml:space="preserve">Clinebell K, Azzam PN, Gopalan P, Haskett R. Guidelines for preventing common medical complications of catatonia: Case report and literature review. J Clin Psychiatry. 2014;75(6):644–51. </w:t>
      </w:r>
    </w:p>
    <w:p w14:paraId="5086F4B6"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11. </w:t>
      </w:r>
      <w:r w:rsidRPr="00EF1C44">
        <w:rPr>
          <w:noProof/>
        </w:rPr>
        <w:tab/>
        <w:t>Zingela Z, Stroud L, Cronje J, Fink M, van Wyk S. The psychological and subjective experience of catatonia: a qualitative study. BMC Psychol [Internet]. 2022 Dec 1 [cited 2025 Jun 21];10(1). Available from: https://pubmed.ncbi.nlm.nih.gov/35841077/</w:t>
      </w:r>
    </w:p>
    <w:p w14:paraId="6466C108"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12. </w:t>
      </w:r>
      <w:r w:rsidRPr="00EF1C44">
        <w:rPr>
          <w:noProof/>
        </w:rPr>
        <w:tab/>
        <w:t xml:space="preserve">Dutt A, Grover S, Chakrabarti S, Avasthi A, Kumar S. Phenomenology and treatment of Catatonia: A descriptive study from north India. Indian J Psychiatry. 2011;53(1):36–40. </w:t>
      </w:r>
    </w:p>
    <w:p w14:paraId="550844B8"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lastRenderedPageBreak/>
        <w:t xml:space="preserve">13. </w:t>
      </w:r>
      <w:r w:rsidRPr="00EF1C44">
        <w:rPr>
          <w:noProof/>
        </w:rPr>
        <w:tab/>
        <w:t>Dawkins E, Cruden-Smith L, Carter B, Amad A, Zandi MS, Lewis G, et al. Catatonia Psychopathology and Phenomenology in a Large Dataset. Front psychiatry [Internet]. 2022 May 23 [cited 2025 Apr 19];13. Available from: https://pubmed.ncbi.nlm.nih.gov/35677876/</w:t>
      </w:r>
    </w:p>
    <w:p w14:paraId="3941278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14. </w:t>
      </w:r>
      <w:r w:rsidRPr="00EF1C44">
        <w:rPr>
          <w:noProof/>
        </w:rPr>
        <w:tab/>
        <w:t>Brandt GA, Fritze S, Krayem M, Daub J, Volkmer S, Kukovic J, et al. Extension, translation and preliminary validation of the Northoff Scale for Subjective Experience in Catatonia (NSSC). Schizophr Res [Internet]. 2024 Jan 1 [cited 2025 Apr 19];263:282–8. Available from: https://pubmed.ncbi.nlm.nih.gov/37331880/</w:t>
      </w:r>
    </w:p>
    <w:p w14:paraId="13953F7B"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15. </w:t>
      </w:r>
      <w:r w:rsidRPr="00EF1C44">
        <w:rPr>
          <w:noProof/>
        </w:rPr>
        <w:tab/>
        <w:t xml:space="preserve">Carroll BT, Anfinson TJ, Kennedy JC, Yendrek R, Boutros M, Bilon A. Catatonic disorder due to general medical conditions. J Neuropsychiatry Clin Neurosci. 1994;6(2):122–33. </w:t>
      </w:r>
    </w:p>
    <w:p w14:paraId="5FB10D5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16. </w:t>
      </w:r>
      <w:r w:rsidRPr="00EF1C44">
        <w:rPr>
          <w:noProof/>
        </w:rPr>
        <w:tab/>
        <w:t>Rogers JP, Pollak TA, Begum N, Griffin A, Carter B, Pritchard M, et al. Catatonia: demographic, clinical and laboratory associations. Psychol Med [Internet]. 2023 Apr 2 [cited 2025 Mar 16];53(6):2492–502. Available from: https://www.cambridge.org/core/journals/psychological-medicine/article/catatonia-demographic-clinical-and-laboratory-associations/2676547CEE9AA7C0AC726A2E6CA4AA9B</w:t>
      </w:r>
    </w:p>
    <w:p w14:paraId="26591979"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17. </w:t>
      </w:r>
      <w:r w:rsidRPr="00EF1C44">
        <w:rPr>
          <w:noProof/>
        </w:rPr>
        <w:tab/>
        <w:t xml:space="preserve">Hirjak D, Rogers JP, Wolf RC, Kubera KM, Fritze S, Wilson JE, et al. Catatonia. Nat Rev Dis Prim. 2024 Dec 1;10(1). </w:t>
      </w:r>
    </w:p>
    <w:p w14:paraId="4332F526"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18. </w:t>
      </w:r>
      <w:r w:rsidRPr="00EF1C44">
        <w:rPr>
          <w:noProof/>
        </w:rPr>
        <w:tab/>
        <w:t xml:space="preserve">Funayama M, Takata T, Koreki A, Ogino S, Mimura M. Catatonic Stupor in Schizophrenic Disorders and Subsequent Medical Complications and Mortality. </w:t>
      </w:r>
      <w:r w:rsidRPr="00EF1C44">
        <w:rPr>
          <w:noProof/>
        </w:rPr>
        <w:lastRenderedPageBreak/>
        <w:t>Psychosom Med [Internet]. 2018 May 1 [cited 2025 Mar 16];80(4):370–6. Available from: https://journals.lww.com/bsam/fulltext/2018/05000/catatonic_stupor_in_schizophrenic_disorders_and.6.aspx</w:t>
      </w:r>
    </w:p>
    <w:p w14:paraId="14F3838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19. </w:t>
      </w:r>
      <w:r w:rsidRPr="00EF1C44">
        <w:rPr>
          <w:noProof/>
        </w:rPr>
        <w:tab/>
        <w:t>Niswander GD, Haslerud GM, Mitchell GD. Effect of Catatonia on Schizophrenic Mortality. Arch Gen Psychiatry [Internet]. 1963 Dec 1 [cited 2025 Mar 16];9(6):548–51. Available from: https://jamanetwork.com/journals/jamapsychiatry/fullarticle/488433</w:t>
      </w:r>
    </w:p>
    <w:p w14:paraId="5D08B76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20. </w:t>
      </w:r>
      <w:r w:rsidRPr="00EF1C44">
        <w:rPr>
          <w:noProof/>
        </w:rPr>
        <w:tab/>
        <w:t>Sexton MT, Kim A, McGonigle T, Mihalko S, Vandekar SN, Brummel NE, et al. In-hospital catatonia, delirium, and coma and mortality: Results from the delirium and catatonia prospective cohort investigation. Schizophr Res [Internet]. 2024 Jan 1 [cited 2025 Mar 15];263:223–8. Available from: https://pubmed.ncbi.nlm.nih.gov/37580182/</w:t>
      </w:r>
    </w:p>
    <w:p w14:paraId="327054C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21. </w:t>
      </w:r>
      <w:r w:rsidRPr="00EF1C44">
        <w:rPr>
          <w:noProof/>
        </w:rPr>
        <w:tab/>
        <w:t xml:space="preserve">Wilson JE, Carlson R, Duggan MC, Pandharipande P, Girard TD, Wang L, et al. Delirium and catatonia in critically ill patients: The delirium and catatonia prospective cohort investigation. Crit Care Med. 2017 Nov 1;45(11):1837–44. </w:t>
      </w:r>
    </w:p>
    <w:p w14:paraId="1A70AA1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22. </w:t>
      </w:r>
      <w:r w:rsidRPr="00EF1C44">
        <w:rPr>
          <w:noProof/>
        </w:rPr>
        <w:tab/>
        <w:t>Connell J, Kim A, Brummel NE, Patel MB, Vandekar SN, Pandharipande P, et al. Advanced Age Is Associated With Catatonia in Critical Illness: Results From the Delirium and Catatonia Prospective Cohort Investigation. Front psychiatry [Internet]. 2021 Nov 19 [cited 2025 Mar 15];12. Available from: https://pubmed.ncbi.nlm.nih.gov/34867501/</w:t>
      </w:r>
    </w:p>
    <w:p w14:paraId="6F39E16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23. </w:t>
      </w:r>
      <w:r w:rsidRPr="00EF1C44">
        <w:rPr>
          <w:noProof/>
        </w:rPr>
        <w:tab/>
        <w:t xml:space="preserve">Roig Llesuy J, Medina M, Jacobson KC, Cooper JJ. Catatonia under-diagnosis in the general hospital. J Neuropsychiatry Clin Neurosci [Internet]. 2018 Mar 1 [cited 2025 Mar 15];30(2):145–51. Available from: </w:t>
      </w:r>
      <w:r w:rsidRPr="00EF1C44">
        <w:rPr>
          <w:noProof/>
        </w:rPr>
        <w:lastRenderedPageBreak/>
        <w:t>https://psychiatryonline.org/doi/10.1176/appi.neuropsych.17060123</w:t>
      </w:r>
    </w:p>
    <w:p w14:paraId="1A88732D"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24. </w:t>
      </w:r>
      <w:r w:rsidRPr="00EF1C44">
        <w:rPr>
          <w:noProof/>
        </w:rPr>
        <w:tab/>
        <w:t xml:space="preserve">Llesuy JR, Coffey MJ, Jacobson KC, Cooper JJ. Suspected delirium predicts the thoroughness of catatonia evaluation. J Neuropsychiatry Clin Neurosci. 2017 Mar 1;29(2):148–54. </w:t>
      </w:r>
    </w:p>
    <w:p w14:paraId="7FB7418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25. </w:t>
      </w:r>
      <w:r w:rsidRPr="00EF1C44">
        <w:rPr>
          <w:noProof/>
        </w:rPr>
        <w:tab/>
        <w:t>Smith AC, Holmes EG. Catatonia: A Narrative Review for Hospitalists. Am J Med open [Internet]. 2023 Dec [cited 2025 Mar 15];10:100059. Available from: http://www.ncbi.nlm.nih.gov/pubmed/39035239</w:t>
      </w:r>
    </w:p>
    <w:p w14:paraId="3459395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26. </w:t>
      </w:r>
      <w:r w:rsidRPr="00EF1C44">
        <w:rPr>
          <w:noProof/>
        </w:rPr>
        <w:tab/>
        <w:t>Robbins-Welty G, Slauer RD, Brown MM, Nakatani MM, Shalev D, Feigal J. Palliative Electroconvulsive Therapy: A Descriptive Cohort Study. J Acad Consult Psychiatry [Internet]. 2024 [cited 2025 Mar 15]; Available from: https://pubmed.ncbi.nlm.nih.gov/39662871/</w:t>
      </w:r>
    </w:p>
    <w:p w14:paraId="5DF8ECDB"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27. </w:t>
      </w:r>
      <w:r w:rsidRPr="00EF1C44">
        <w:rPr>
          <w:noProof/>
        </w:rPr>
        <w:tab/>
        <w:t>Fink M, Taylor MA. Catatonia. 2003 Mar 20 [cited 2025 Mar 15]; Available from: https://www.cambridge.org/core/product/identifier/9780511543777/type/book</w:t>
      </w:r>
    </w:p>
    <w:p w14:paraId="31A3873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28. </w:t>
      </w:r>
      <w:r w:rsidRPr="00EF1C44">
        <w:rPr>
          <w:noProof/>
        </w:rPr>
        <w:tab/>
        <w:t xml:space="preserve">Stuivenga M, Morrens M. Prevalence of the catatonic syndrome in an acute inpatient sample. Front Psychiatry. 2014;5(DEC). </w:t>
      </w:r>
    </w:p>
    <w:p w14:paraId="69882EC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29. </w:t>
      </w:r>
      <w:r w:rsidRPr="00EF1C44">
        <w:rPr>
          <w:noProof/>
        </w:rPr>
        <w:tab/>
        <w:t xml:space="preserve">Van Der Heijden FMMA, Tuinier S, Arts NJM, Hoogendoorn MLC, Kahn RS, Verhoeven WMA. Catatonia: Disappeared or under-diagnosed? Psychopathology. 2005 Jan;38(1):3–8. </w:t>
      </w:r>
    </w:p>
    <w:p w14:paraId="2876D57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30. </w:t>
      </w:r>
      <w:r w:rsidRPr="00EF1C44">
        <w:rPr>
          <w:noProof/>
        </w:rPr>
        <w:tab/>
        <w:t xml:space="preserve">Espinola-Nadurille M, Ramirez-Bermudez J, Fricchione GL, Ojeda-Lopez MC, Perez-González AF, Aguilar-Venegas LC. Catatonia in neurologic and psychiatric patients at a </w:t>
      </w:r>
      <w:r w:rsidRPr="00EF1C44">
        <w:rPr>
          <w:noProof/>
        </w:rPr>
        <w:lastRenderedPageBreak/>
        <w:t xml:space="preserve">tertiary neurological center. J Neuropsychiatry Clin Neurosci. 2016 Mar 1;28(2):124–30. </w:t>
      </w:r>
    </w:p>
    <w:p w14:paraId="71E916C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31. </w:t>
      </w:r>
      <w:r w:rsidRPr="00EF1C44">
        <w:rPr>
          <w:noProof/>
        </w:rPr>
        <w:tab/>
        <w:t xml:space="preserve">Peralta V, Campos MS, de Jalon EG, Cuesta MJ. DSM-IV catatonia signs and criteria in first-episode, drug-naive, psychotic patients: Psychometric validity and response to antipsychotic medication. Schizophr Res. 2010 May;118(1–3):168–75. </w:t>
      </w:r>
    </w:p>
    <w:p w14:paraId="161B4EC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32. </w:t>
      </w:r>
      <w:r w:rsidRPr="00EF1C44">
        <w:rPr>
          <w:noProof/>
        </w:rPr>
        <w:tab/>
        <w:t>Burrow J, Spurling B, Marwaha R. Catatonia  [Internet]. StatPearls; 2023 [cited 2025 Jun 21]. Available from: https://pubmed.ncbi.nlm.nih.gov/28613592/</w:t>
      </w:r>
    </w:p>
    <w:p w14:paraId="30AAA9A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33. </w:t>
      </w:r>
      <w:r w:rsidRPr="00EF1C44">
        <w:rPr>
          <w:noProof/>
        </w:rPr>
        <w:tab/>
        <w:t xml:space="preserve">Cottencin O, Warembourg F, de Chouly de Lenclave MB, Lucas B, Vaiva G, Goudemand M, et al. Catatonia and consultation-liaison psychiatry study of 12 cases. Prog Neuro-Psychopharmacology Biol Psychiatry. 2007 Aug 15;31(6):1170–6. </w:t>
      </w:r>
    </w:p>
    <w:p w14:paraId="1E3C02DA"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34. </w:t>
      </w:r>
      <w:r w:rsidRPr="00EF1C44">
        <w:rPr>
          <w:noProof/>
        </w:rPr>
        <w:tab/>
        <w:t xml:space="preserve">Carroll BT, Spetie L. Catatonia on the consultation-liaison service: A replication study. Int J Psychiatry Med. 1994;24(4):329–37. </w:t>
      </w:r>
    </w:p>
    <w:p w14:paraId="7F46371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35. </w:t>
      </w:r>
      <w:r w:rsidRPr="00EF1C44">
        <w:rPr>
          <w:noProof/>
        </w:rPr>
        <w:tab/>
        <w:t xml:space="preserve">Jaimes-Albornoz W, Serra-Mestres J. Prevalence and clinical correlations of catatonia in older adults referred to a liaison psychiatry service in a general hospital. Gen Hosp Psychiatry. 2013 Sep;35(5):512–6. </w:t>
      </w:r>
    </w:p>
    <w:p w14:paraId="43BC5BA6"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36. </w:t>
      </w:r>
      <w:r w:rsidRPr="00EF1C44">
        <w:rPr>
          <w:noProof/>
        </w:rPr>
        <w:tab/>
        <w:t xml:space="preserve">Ghaziuddin N, Dhossche D, Marcotte K. Retrospective chart review of catatonia in child and adolescent psychiatric patients. Acta Psychiatr Scand. 2012 Jan;125(1):33–8. </w:t>
      </w:r>
    </w:p>
    <w:p w14:paraId="2C14D788"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37. </w:t>
      </w:r>
      <w:r w:rsidRPr="00EF1C44">
        <w:rPr>
          <w:noProof/>
        </w:rPr>
        <w:tab/>
        <w:t>Ferrafiat V, Wachtel L, Dhossche D, Hauptman A. Catatonia is an outpatient reality. What do we do now? Schizophr Res [Internet]. 2024 Feb 1 [cited 2025 Mar 15];264:233–5. Available from: https://pubmed.ncbi.nlm.nih.gov/38183961/</w:t>
      </w:r>
    </w:p>
    <w:p w14:paraId="369D4949"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38. </w:t>
      </w:r>
      <w:r w:rsidRPr="00EF1C44">
        <w:rPr>
          <w:noProof/>
        </w:rPr>
        <w:tab/>
        <w:t xml:space="preserve">Smith JR, Lim S, Bindra S, Marler S, Rajah B, Williams ZJ, et al. Longitudinal Symptom </w:t>
      </w:r>
      <w:r w:rsidRPr="00EF1C44">
        <w:rPr>
          <w:noProof/>
        </w:rPr>
        <w:lastRenderedPageBreak/>
        <w:t xml:space="preserve">Burden and Pharmacologic Management of Catatonia in Autism With Intellectual Disability: An Observational Study. Autism Res. 2025 Feb 1; </w:t>
      </w:r>
    </w:p>
    <w:p w14:paraId="4B1136E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39. </w:t>
      </w:r>
      <w:r w:rsidRPr="00EF1C44">
        <w:rPr>
          <w:noProof/>
        </w:rPr>
        <w:tab/>
        <w:t>Luccarelli J, Kalinich M, Fernandez-Robles C, Fricchione G, Beach SR. The Incidence of Catatonia Diagnosis Among Pediatric Patients Discharged From General Hospitals in the United States: A Kids’ Inpatient Database Study. Front psychiatry [Internet]. 2022 Apr 29 [cited 2025 Jul 7];13. Available from: https://pubmed.ncbi.nlm.nih.gov/35573347/</w:t>
      </w:r>
    </w:p>
    <w:p w14:paraId="6E753840"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40. </w:t>
      </w:r>
      <w:r w:rsidRPr="00EF1C44">
        <w:rPr>
          <w:noProof/>
        </w:rPr>
        <w:tab/>
        <w:t>Zappia KJ, Shillington A, Fosdick C, Erickson CA, Lamy M, Dominick KC. Neurodevelopmental Disorders Including Autism Spectrum Disorder and Intellectual Disability as a Risk Factor for Delayed Diagnosis of Catatonia. J Dev Behav Pediatr [Internet]. 2024 Mar 1 [cited 2025 Jul 7];45(2):E137–42. Available from: https://pubmed.ncbi.nlm.nih.gov/38451868/</w:t>
      </w:r>
    </w:p>
    <w:p w14:paraId="21FBEFC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41. </w:t>
      </w:r>
      <w:r w:rsidRPr="00EF1C44">
        <w:rPr>
          <w:noProof/>
        </w:rPr>
        <w:tab/>
        <w:t>Haroche A, Rogers J, Plaze M, Gaillard R, Williams SCR, Thomas P, et al. Brain imaging in catatonia: systematic review and directions for future research. Psychol Med [Internet]. 2020 Jul 1 [cited 2025 Mar 15];50(10):1585–97. Available from: https://pubmed.ncbi.nlm.nih.gov/32539902/</w:t>
      </w:r>
    </w:p>
    <w:p w14:paraId="5929865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42. </w:t>
      </w:r>
      <w:r w:rsidRPr="00EF1C44">
        <w:rPr>
          <w:noProof/>
        </w:rPr>
        <w:tab/>
        <w:t xml:space="preserve">Duque L, Ghafouri M, Nunez NA, Ospina JP, Philbrick KL, Port JD, et al. Functional neuroimaging in patients with catatonia: A systematic review. J Psychosom Res. 2024 Apr 1;179. </w:t>
      </w:r>
    </w:p>
    <w:p w14:paraId="2914BA6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43. </w:t>
      </w:r>
      <w:r w:rsidRPr="00EF1C44">
        <w:rPr>
          <w:noProof/>
        </w:rPr>
        <w:tab/>
        <w:t xml:space="preserve">Connell J, Oldham M, Pandharipande P, Dittus RS, Wilson A, Mart M, et al. Malignant Catatonia: A Review for the Intensivist. J Intensive Care Med. 2023 Feb 1;38(2):137–50. </w:t>
      </w:r>
    </w:p>
    <w:p w14:paraId="1B3F3392"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44. </w:t>
      </w:r>
      <w:r w:rsidRPr="00EF1C44">
        <w:rPr>
          <w:noProof/>
        </w:rPr>
        <w:tab/>
        <w:t xml:space="preserve">Edinoff AN, Kaufman SE, Hollier JW, Virgen CG, Karam CA, Malone GW, et al. </w:t>
      </w:r>
      <w:r w:rsidRPr="00EF1C44">
        <w:rPr>
          <w:noProof/>
        </w:rPr>
        <w:lastRenderedPageBreak/>
        <w:t>Catatonia: Clinical Overview of the Diagnosis, Treatment, and Clinical Challenges. Neurol Int [Internet]. 2021 Dec 1 [cited 2025 Mar 15];13(4):570–86. Available from: https://pubmed.ncbi.nlm.nih.gov/34842777/</w:t>
      </w:r>
    </w:p>
    <w:p w14:paraId="62AA261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45. </w:t>
      </w:r>
      <w:r w:rsidRPr="00EF1C44">
        <w:rPr>
          <w:noProof/>
        </w:rPr>
        <w:tab/>
        <w:t xml:space="preserve">Daniels J. Catatonia: Clinical aspects and neurobiological correlates. J Neuropsychiatry Clin Neurosci. 2009;21(4):371–80. </w:t>
      </w:r>
    </w:p>
    <w:p w14:paraId="3483B66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46. </w:t>
      </w:r>
      <w:r w:rsidRPr="00EF1C44">
        <w:rPr>
          <w:noProof/>
        </w:rPr>
        <w:tab/>
        <w:t>Walther S, Stegmayer K, Wilson JE, Heckers S. Structure and neural mechanisms of catatonia. The lancet Psychiatry [Internet]. 2019 Jul 1 [cited 2025 Mar 15];6(7):610–9. Available from: https://pubmed.ncbi.nlm.nih.gov/31196794/</w:t>
      </w:r>
    </w:p>
    <w:p w14:paraId="3BF8EE19"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47. </w:t>
      </w:r>
      <w:r w:rsidRPr="00EF1C44">
        <w:rPr>
          <w:noProof/>
        </w:rPr>
        <w:tab/>
        <w:t>ICD-11 [Internet]. [cited 2025 Mar 15]. Available from: https://icd.who.int/en</w:t>
      </w:r>
    </w:p>
    <w:p w14:paraId="57D311C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48. </w:t>
      </w:r>
      <w:r w:rsidRPr="00EF1C44">
        <w:rPr>
          <w:noProof/>
        </w:rPr>
        <w:tab/>
        <w:t>Dalmau J, Tüzün E, Wu H-Y, Masjuan J, Rossi JE, Voloschin A, et al. Paraneoplastic anti-N-methyl-D-aspartate receptor encephalitis associated with ovarian teratoma. Ann Neurol [Internet]. 2007;61(1):25–36. Available from: http://dx.doi.org/10.1002/ana.21050</w:t>
      </w:r>
    </w:p>
    <w:p w14:paraId="575D807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49. </w:t>
      </w:r>
      <w:r w:rsidRPr="00EF1C44">
        <w:rPr>
          <w:noProof/>
        </w:rPr>
        <w:tab/>
        <w:t>Luccarelli J, Kalinich M, Fricchione G, Smith F, Beach SR, Smith JR. Diagnostic and demographic factors of pediatric and adult catatonia hospitalizations: A 2016-2020 National Inpatient Sample Study. Acta Psychiatr Scand [Internet]. 2024 Oct 1 [cited 2025 Jun 21];150(4):234–44. Available from: https://pubmed.ncbi.nlm.nih.gov/39118275/</w:t>
      </w:r>
    </w:p>
    <w:p w14:paraId="3917380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50. </w:t>
      </w:r>
      <w:r w:rsidRPr="00EF1C44">
        <w:rPr>
          <w:noProof/>
        </w:rPr>
        <w:tab/>
        <w:t>Wilson JE, Oldham MA, Francis A, Perkey D, Kramer E, Jiang S, et al. Catatonia: American Psychiatric Association Resource Document. J Acad Consult Psychiatry [Internet]. 2025 May [cited 2025 Jun 21]; Available from: https://pubmed.ncbi.nlm.nih.gov/40368005/</w:t>
      </w:r>
    </w:p>
    <w:p w14:paraId="4ACCCDEA"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lastRenderedPageBreak/>
        <w:t xml:space="preserve">51. </w:t>
      </w:r>
      <w:r w:rsidRPr="00EF1C44">
        <w:rPr>
          <w:noProof/>
        </w:rPr>
        <w:tab/>
        <w:t>Bush G, Fink M, Petrides G, Dowling F, Francis A. Catatonia. I. Rating scale and standardized examination. Acta Psychiatr Scand [Internet]. 1996;93(2):129–36. Available from: http://dx.doi.org/10.1111/j.1600-0447.1996.tb09814.x</w:t>
      </w:r>
    </w:p>
    <w:p w14:paraId="2E046965"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52. </w:t>
      </w:r>
      <w:r w:rsidRPr="00EF1C44">
        <w:rPr>
          <w:noProof/>
        </w:rPr>
        <w:tab/>
        <w:t>Rochester U of. Bush-Francis Catatonia Rating Scale Assessment Resources [Internet]. 2024. Available from: https://www.urmc.rochester.edu/psychiatry/divisions/collaborative-care-and-wellness/bush-francis-catatonia-rating-scale.aspx</w:t>
      </w:r>
    </w:p>
    <w:p w14:paraId="7A4C03E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53. </w:t>
      </w:r>
      <w:r w:rsidRPr="00EF1C44">
        <w:rPr>
          <w:noProof/>
        </w:rPr>
        <w:tab/>
        <w:t xml:space="preserve">Sienaert P, Rooseleer J, De Fruyt J. Measuring catatonia: A systematic review of rating scales. J Affect Disord. 2011 Dec;135(1–3):1–9. </w:t>
      </w:r>
    </w:p>
    <w:p w14:paraId="513FC329"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54. </w:t>
      </w:r>
      <w:r w:rsidRPr="00EF1C44">
        <w:rPr>
          <w:noProof/>
        </w:rPr>
        <w:tab/>
        <w:t>Smith JR, York T, Baldwin I, Fuchs C, Fricchione G, Luccarelli J. Diagnostic features of paediatric catatonia: multisite retrospective cohort study. BJPsych open [Internet]. 2024 May [cited 2025 Jun 21];10(3). Available from: https://pubmed.ncbi.nlm.nih.gov/38686558/</w:t>
      </w:r>
    </w:p>
    <w:p w14:paraId="162EE5E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55. </w:t>
      </w:r>
      <w:r w:rsidRPr="00EF1C44">
        <w:rPr>
          <w:noProof/>
        </w:rPr>
        <w:tab/>
        <w:t>Hickox T, Brahmbhatt K, Smith JR, Fuchs C, Tanguturi Y. Consultation-Liaison Case Conference: Systemic Challenges in Management of Aggression in a Pediatric Patient With Seronegative Autoimmune Encephalitis. J Acad Consult Psychiatry [Internet]. 2024 Jan 1 [cited 2025 Jun 21];65(1):66–75. Available from: https://pubmed.ncbi.nlm.nih.gov/37625481/</w:t>
      </w:r>
    </w:p>
    <w:p w14:paraId="20374309"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56. </w:t>
      </w:r>
      <w:r w:rsidRPr="00EF1C44">
        <w:rPr>
          <w:noProof/>
        </w:rPr>
        <w:tab/>
        <w:t>Rogers JP, Oldham MA, Fricchione G, Northoff G, Ellen Wilson J, Mann SC, et al. Evidence-based consensus guidelines for the management of catatonia: Recommendations from the British Association for Psychopharmacology. J Psychopharmacol [Internet]. 2023;37(4):327–69. Available from: http://dx.doi.org/10.1177/02698811231158232</w:t>
      </w:r>
    </w:p>
    <w:p w14:paraId="031381DF"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lastRenderedPageBreak/>
        <w:t xml:space="preserve">57. </w:t>
      </w:r>
      <w:r w:rsidRPr="00EF1C44">
        <w:rPr>
          <w:noProof/>
        </w:rPr>
        <w:tab/>
        <w:t>Jaimes-Albornoz W, Ruiz de Pellon-Santamaria A, Nizama-Vía A, Isetta M, Albajar I, Serra-Mestres J. Catatonia in older adults: A systematic review. World J psychiatry [Internet]. 2022 Feb 19 [cited 2025 Mar 15];12(2):348–67. Available from: https://pubmed.ncbi.nlm.nih.gov/35317341/</w:t>
      </w:r>
    </w:p>
    <w:p w14:paraId="1E69F412"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58. </w:t>
      </w:r>
      <w:r w:rsidRPr="00EF1C44">
        <w:rPr>
          <w:noProof/>
        </w:rPr>
        <w:tab/>
        <w:t>Psychiatry.org - Catatonia [Internet]. [cited 2025 May 7]. Available from: https://www.psychiatry.org/psychiatrists/search-directories-databases/resource-documents/2025/catatonia</w:t>
      </w:r>
    </w:p>
    <w:p w14:paraId="61C528E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59. </w:t>
      </w:r>
      <w:r w:rsidRPr="00EF1C44">
        <w:rPr>
          <w:noProof/>
        </w:rPr>
        <w:tab/>
        <w:t>Heckers S, Walther S. Catatonia. Ropper AH, editor. N Engl J Med [Internet]. 2023 Nov 9 [cited 2025 Jul 7];389(19):1797–802. Available from: https://www.nejm.org/doi/full/10.1056/NEJMra2116304</w:t>
      </w:r>
    </w:p>
    <w:p w14:paraId="63BE6ED8"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60. </w:t>
      </w:r>
      <w:r w:rsidRPr="00EF1C44">
        <w:rPr>
          <w:noProof/>
        </w:rPr>
        <w:tab/>
        <w:t>Lloyd JR, Silverman ER, Kugler JL, Cooper JJ. Electroconvulsive Therapy for Patients with Catatonia: Current Perspectives. Neuropsychiatr Dis Treat [Internet]. 2020 [cited 2025 Jul 7];16:2191–208. Available from: https://pubmed.ncbi.nlm.nih.gov/33061390/</w:t>
      </w:r>
    </w:p>
    <w:p w14:paraId="1BAF4144"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61. </w:t>
      </w:r>
      <w:r w:rsidRPr="00EF1C44">
        <w:rPr>
          <w:noProof/>
        </w:rPr>
        <w:tab/>
        <w:t xml:space="preserve">Rasmussen KG, Rummans TA, Richardson JW. Electroconvulsive therapy in the medically ill. Psychiatr Clin North Am. 2002 Mar;25(1):177–93. </w:t>
      </w:r>
    </w:p>
    <w:p w14:paraId="2D679DA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62. </w:t>
      </w:r>
      <w:r w:rsidRPr="00EF1C44">
        <w:rPr>
          <w:noProof/>
        </w:rPr>
        <w:tab/>
        <w:t>AArnold OH. Untersuchungen zur Frage der akuten todlichen Katatonie. Wien Z Nervenheilkd Deren Grenzgebiete  [Internet]. 1949 [cited 2025 Mar 15];2(3):376. Available from: https://pubmed.ncbi.nlm.nih.gov/18142996/</w:t>
      </w:r>
    </w:p>
    <w:p w14:paraId="7B17E23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63. </w:t>
      </w:r>
      <w:r w:rsidRPr="00EF1C44">
        <w:rPr>
          <w:noProof/>
        </w:rPr>
        <w:tab/>
        <w:t xml:space="preserve">Romanowicz M, Sola CL. Electroconvulsive therapy-responsive catatonia in a medically complicated patient. J ECT. 2010 Sep;26(3):234–7. </w:t>
      </w:r>
    </w:p>
    <w:p w14:paraId="5E4F1E7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lastRenderedPageBreak/>
        <w:t xml:space="preserve">64. </w:t>
      </w:r>
      <w:r w:rsidRPr="00EF1C44">
        <w:rPr>
          <w:noProof/>
        </w:rPr>
        <w:tab/>
        <w:t>Karl S, Sartorius A, Aksay SS. Catatonia and ECT across the lifespan. Schizophr Res [Internet]. 2024 Jan 1 [cited 2025 Jul 7];263:246–51. Available from: https://pubmed.ncbi.nlm.nih.gov/37087393/</w:t>
      </w:r>
    </w:p>
    <w:p w14:paraId="1C4FBEA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65. </w:t>
      </w:r>
      <w:r w:rsidRPr="00EF1C44">
        <w:rPr>
          <w:noProof/>
        </w:rPr>
        <w:tab/>
        <w:t>Leroy A, Naudet F, Vaiva G, Francis A, Thomas P, Amad A. Is electroconvulsive therapy an evidence-based treatment for catatonia? A systematic review and meta-analysis. Eur Arch Psychiatry Clin Neurosci [Internet]. 2018 Oct 1 [cited 2025 Jul 7];268(7):675–87. Available from: https://pubmed.ncbi.nlm.nih.gov/28639007/</w:t>
      </w:r>
    </w:p>
    <w:p w14:paraId="3A50D758"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66. </w:t>
      </w:r>
      <w:r w:rsidRPr="00EF1C44">
        <w:rPr>
          <w:noProof/>
        </w:rPr>
        <w:tab/>
        <w:t xml:space="preserve">Smith JH, Smith VD, Philbrick KL, Kumar N. Catatonic disorder due to a general medical or psychiatric condition. J Neuropsychiatry Clin Neurosci. 2012;24(2):198–207. </w:t>
      </w:r>
    </w:p>
    <w:p w14:paraId="4A620EE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67. </w:t>
      </w:r>
      <w:r w:rsidRPr="00EF1C44">
        <w:rPr>
          <w:noProof/>
        </w:rPr>
        <w:tab/>
        <w:t>Espinoza RT, Kellner CH. Electroconvulsive Therapy. Ropper AH, editor. N Engl J Med [Internet]. 2022 Feb 17 [cited 2025 Jul 7];386(7):667–72. Available from: https://www.nejm.org/doi/full/10.1056/NEJMra2034954</w:t>
      </w:r>
    </w:p>
    <w:p w14:paraId="2EE390A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68. </w:t>
      </w:r>
      <w:r w:rsidRPr="00EF1C44">
        <w:rPr>
          <w:noProof/>
        </w:rPr>
        <w:tab/>
        <w:t>Ishida T, Sakurai H, Watanabe K, Iwashita S, Mimura M, Uchida H. Incidence of deep vein thrombosis in catatonic patients: A chart review. Psychiatry Res [Internet]. 2016 Jul 30 [cited 2025 Jun 21];241:61–5. Available from: https://pubmed.ncbi.nlm.nih.gov/27156025/</w:t>
      </w:r>
    </w:p>
    <w:p w14:paraId="6B307E5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69. </w:t>
      </w:r>
      <w:r w:rsidRPr="00EF1C44">
        <w:rPr>
          <w:noProof/>
        </w:rPr>
        <w:tab/>
        <w:t>Luccarelli J, Clauss JA, York T, Baldwin I, Vandekar S, McGonigle T, et al. Exploring the Trajectory of Catatonia in Neurodiverse and Neurotypical Pediatric Hospitalizations: A Multicenter Longitudinal Analysis. medRxiv  Prepr Serv Heal Sci [Internet]. 2024 Jun 7 [cited 2025 Jun 21]; Available from: https://pubmed.ncbi.nlm.nih.gov/38883751/</w:t>
      </w:r>
    </w:p>
    <w:p w14:paraId="3E6B3070"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70. </w:t>
      </w:r>
      <w:r w:rsidRPr="00EF1C44">
        <w:rPr>
          <w:noProof/>
        </w:rPr>
        <w:tab/>
        <w:t xml:space="preserve">Cornic F, Consoli A, Tanguy ML, Bonnot O, Périsse D, Tordjman S, et al. Association of </w:t>
      </w:r>
      <w:r w:rsidRPr="00EF1C44">
        <w:rPr>
          <w:noProof/>
        </w:rPr>
        <w:lastRenderedPageBreak/>
        <w:t>adolescent catatonia with increased mortality and morbidity: evidence from a prospective follow-up study. Schizophr Res [Internet]. 2009 Sep [cited 2025 Jun 21];113(2–3):233–40. Available from: https://pubmed.ncbi.nlm.nih.gov/19443182/</w:t>
      </w:r>
    </w:p>
    <w:p w14:paraId="312DFCF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71. </w:t>
      </w:r>
      <w:r w:rsidRPr="00EF1C44">
        <w:rPr>
          <w:noProof/>
        </w:rPr>
        <w:tab/>
        <w:t>Rasmussen SA, Mazurek MF, Rosebush PI. Catatonia: Our current understanding of its diagnosis, treatment and pathophysiology. World J psychiatry [Internet]. 2016 [cited 2025 Jun 21];6(4):391. Available from: https://pubmed.ncbi.nlm.nih.gov/28078203/</w:t>
      </w:r>
    </w:p>
    <w:p w14:paraId="4C4DBBF6"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72. </w:t>
      </w:r>
      <w:r w:rsidRPr="00EF1C44">
        <w:rPr>
          <w:noProof/>
        </w:rPr>
        <w:tab/>
        <w:t>Ferrell BR, Twaddle ML, Melnick A, Meier DE. National Consensus Project Clinical Practice Guidelines for Quality Palliative Care Guidelines, 4th Edition. https://home.liebertpub.com/jpm [Internet]. 2018 Dec 14 [cited 2025 Mar 16];21(12):1684–9. Available from: https://www.liebertpub.com/doi/10.1089/jpm.2018.0431</w:t>
      </w:r>
    </w:p>
    <w:p w14:paraId="5D30A35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73. </w:t>
      </w:r>
      <w:r w:rsidRPr="00EF1C44">
        <w:rPr>
          <w:noProof/>
        </w:rPr>
        <w:tab/>
        <w:t>Saddawi-Konefka D, Berg SM, Nejad SH, Bittner EA. Catatonia in the ICU: an important and underdiagnosed cause of altered mental status. a case series and review of the literature*. Crit Care Med [Internet]. 2014 Mar [cited 2025 Jul 9];42(3). Available from: https://pubmed.ncbi.nlm.nih.gov/24275514/</w:t>
      </w:r>
    </w:p>
    <w:p w14:paraId="2DF7D5D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74. </w:t>
      </w:r>
      <w:r w:rsidRPr="00EF1C44">
        <w:rPr>
          <w:noProof/>
        </w:rPr>
        <w:tab/>
        <w:t>Anand S, Kumar Paliwal V, Singh LS, Uniyal R. Why do neurologists miss catatonia in neurology emergency? A case series and brief literature review. Clin Neurol Neurosurg [Internet]. 2019 Sep 1 [cited 2025 Apr 10];184. Available from: https://pubmed.ncbi.nlm.nih.gov/31147176/</w:t>
      </w:r>
    </w:p>
    <w:p w14:paraId="17D375A5"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75. </w:t>
      </w:r>
      <w:r w:rsidRPr="00EF1C44">
        <w:rPr>
          <w:noProof/>
        </w:rPr>
        <w:tab/>
        <w:t xml:space="preserve">Espi Forcen F, Respino M, Eloge J, Baldwin M, Burns K, Patron V, et al. Catatonia in the medically ill: Differences and parallels in etiology, phenomenology and management. Int </w:t>
      </w:r>
      <w:r w:rsidRPr="00EF1C44">
        <w:rPr>
          <w:noProof/>
        </w:rPr>
        <w:lastRenderedPageBreak/>
        <w:t>J Psychiatry Med [Internet]. 2022 Jan 1 [cited 2025 Jun 21];57(1):80–8. Available from: https://pubmed.ncbi.nlm.nih.gov/33567935/</w:t>
      </w:r>
    </w:p>
    <w:p w14:paraId="2654FAEF"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76. </w:t>
      </w:r>
      <w:r w:rsidRPr="00EF1C44">
        <w:rPr>
          <w:noProof/>
        </w:rPr>
        <w:tab/>
        <w:t>Gugger JJ, Saad M, Smith C. Neuroleptic-induced catatonia in two hospitalized patients. J Pharm Pract [Internet]. 2012 [cited 2025 Apr 10];25(2):250–4. Available from: https://pubmed.ncbi.nlm.nih.gov/22048928/</w:t>
      </w:r>
    </w:p>
    <w:p w14:paraId="252B5AF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77. </w:t>
      </w:r>
      <w:r w:rsidRPr="00EF1C44">
        <w:rPr>
          <w:noProof/>
        </w:rPr>
        <w:tab/>
        <w:t>Trzepacz PT, Franco JG, Chakrabarti S, Ghosh A, Sahoo S, Chakravarty R, et al. Refining Research Diagnostic Criteria for Catatonia Among Delirium, Medical, Affective, and Psychosis Patient Groups. J Neuropsychiatry Clin Neurosci [Internet]. 2025 Jan [cited 2025 Mar 15];37(1):67–78. Available from: https://pubmed.ncbi.nlm.nih.gov/39385575/</w:t>
      </w:r>
    </w:p>
    <w:p w14:paraId="0B4CD1A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78. </w:t>
      </w:r>
      <w:r w:rsidRPr="00EF1C44">
        <w:rPr>
          <w:noProof/>
        </w:rPr>
        <w:tab/>
        <w:t>Hamm B, Rosenthal LJ. Psychiatric Etiologies and Approaches in Altered Mental Status Presentations: Insights from Consultation Liaison Psychiatry. Semin Neurol [Internet]. 2024 Oct 3 [cited 2025 Mar 15];44(6). Available from: https://pubmed.ncbi.nlm.nih.gov/39362314/</w:t>
      </w:r>
    </w:p>
    <w:p w14:paraId="1D12CD8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79. </w:t>
      </w:r>
      <w:r w:rsidRPr="00EF1C44">
        <w:rPr>
          <w:noProof/>
        </w:rPr>
        <w:tab/>
        <w:t>Attali D, Calligaris C, Grabli D, Slooter AJC. How to manage catatonia, Parkinson and dementia in ICU. Curr Opin Crit Care [Internet]. 2024 Apr 1 [cited 2025 Mar 15];30(2):151–6. Available from: https://pubmed.ncbi.nlm.nih.gov/38441073/</w:t>
      </w:r>
    </w:p>
    <w:p w14:paraId="75647FA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80. </w:t>
      </w:r>
      <w:r w:rsidRPr="00EF1C44">
        <w:rPr>
          <w:noProof/>
        </w:rPr>
        <w:tab/>
        <w:t>Bush SH, Tierney S, Lawlor PG. Clinical Assessment and Management of Delirium in the Palliative Care Setting. Drugs [Internet]. 2017 Oct 1 [cited 2025 Jul 9];77(15):1623–43. Available from: https://pubmed.ncbi.nlm.nih.gov/28864877/</w:t>
      </w:r>
    </w:p>
    <w:p w14:paraId="2B82E77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81. </w:t>
      </w:r>
      <w:r w:rsidRPr="00EF1C44">
        <w:rPr>
          <w:noProof/>
        </w:rPr>
        <w:tab/>
        <w:t xml:space="preserve">Luccarelli J, Kalinich M, Wilson JE, Rogers JP, Liu J, Fuchs DC, et al. The Catatonia Quick Screen (CQS): A Rapid Screening Tool for Catatonia in Adult and Pediatric </w:t>
      </w:r>
      <w:r w:rsidRPr="00EF1C44">
        <w:rPr>
          <w:noProof/>
        </w:rPr>
        <w:lastRenderedPageBreak/>
        <w:t>Populations. Acta Psychiatr Scand [Internet]. 2025 [cited 2025 Jul 14]; Available from: https://onlinelibrary.wiley.com/doi/full/10.1111/acps.13820</w:t>
      </w:r>
    </w:p>
    <w:p w14:paraId="57F59A90"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82. </w:t>
      </w:r>
      <w:r w:rsidRPr="00EF1C44">
        <w:rPr>
          <w:noProof/>
        </w:rPr>
        <w:tab/>
        <w:t>Catatonia: Symptoms, Forms, Stories, Treatment &amp; Hope [Internet]. [cited 2025 Jul 11]. Available from: https://www.thecatatoniafoundation.org/</w:t>
      </w:r>
    </w:p>
    <w:p w14:paraId="04376F3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83. </w:t>
      </w:r>
      <w:r w:rsidRPr="00EF1C44">
        <w:rPr>
          <w:noProof/>
        </w:rPr>
        <w:tab/>
        <w:t>Grover S, Ghosh A, Ghormode D. Do patients of delirium have catatonic features? An exploratory study. Psychiatry Clin Neurosci [Internet]. 2014 [cited 2025 Apr 10];68(8):644–51. Available from: https://pubmed.ncbi.nlm.nih.gov/24521083/</w:t>
      </w:r>
    </w:p>
    <w:p w14:paraId="5DB24FD8"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84. </w:t>
      </w:r>
      <w:r w:rsidRPr="00EF1C44">
        <w:rPr>
          <w:noProof/>
        </w:rPr>
        <w:tab/>
        <w:t>Oldham MA, Lee HB. Catatonia vis-à-vis delirium: the significance of recognizing catatonia in altered mental status. Gen Hosp Psychiatry [Internet]. 2015 Nov 1 [cited 2025 Apr 10];37(6):554–9. Available from: https://pubmed.ncbi.nlm.nih.gov/26162545/</w:t>
      </w:r>
    </w:p>
    <w:p w14:paraId="1CADFA85"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85. </w:t>
      </w:r>
      <w:r w:rsidRPr="00EF1C44">
        <w:rPr>
          <w:noProof/>
        </w:rPr>
        <w:tab/>
        <w:t>McCall WV, Shelp FE, McDonald WM. Controlled investigation of the amobarbital interview for catatonic mutism. Am J Psychiatry [Internet]. 1992 Jan 1 [cited 2025 Mar 15];149(2):202–6. Available from: https://pubmed.ncbi.nlm.nih.gov/1734740/</w:t>
      </w:r>
    </w:p>
    <w:p w14:paraId="59708D1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86. </w:t>
      </w:r>
      <w:r w:rsidRPr="00EF1C44">
        <w:rPr>
          <w:noProof/>
        </w:rPr>
        <w:tab/>
        <w:t>Chu C, White N, Stone P. Prognostication in palliative care. Clin Med [Internet]. 2019 [cited 2025 Jun 21];19(4):306–10. Available from: https://pubmed.ncbi.nlm.nih.gov/31308109/</w:t>
      </w:r>
    </w:p>
    <w:p w14:paraId="4DE298B5"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87. </w:t>
      </w:r>
      <w:r w:rsidRPr="00EF1C44">
        <w:rPr>
          <w:noProof/>
        </w:rPr>
        <w:tab/>
        <w:t>Patel D, Marks S. Palliative Prognostic Index #444. https://home.liebertpub.com/jpm [Internet]. 2022 Jul 27 [cited 2025 Jun 21];25(8):1311–2. Available from: https://www.liebertpub.com/doi/10.1089/jpm.2022.0254</w:t>
      </w:r>
    </w:p>
    <w:p w14:paraId="0909254F"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88. </w:t>
      </w:r>
      <w:r w:rsidRPr="00EF1C44">
        <w:rPr>
          <w:noProof/>
        </w:rPr>
        <w:tab/>
        <w:t xml:space="preserve">Christakis NA, Lamont EB. Extent and determinants of error in doctors’ prognoses in </w:t>
      </w:r>
      <w:r w:rsidRPr="00EF1C44">
        <w:rPr>
          <w:noProof/>
        </w:rPr>
        <w:lastRenderedPageBreak/>
        <w:t>terminally ill patients: prospective cohort study. BMJ [Internet]. 2000 Feb 19 [cited 2025 Jun 21];320(7233):469–72. Available from: https://pubmed.ncbi.nlm.nih.gov/10678857/</w:t>
      </w:r>
    </w:p>
    <w:p w14:paraId="3EE8FB1A"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89. </w:t>
      </w:r>
      <w:r w:rsidRPr="00EF1C44">
        <w:rPr>
          <w:noProof/>
        </w:rPr>
        <w:tab/>
        <w:t>Jacobsen J, Blinderman C, Alexander Cole C, Jackson V. “I’d Recommend …” How to Incorporate Your Recommendation Into Shared Decision Making for Patients With Serious Illness. J Pain Symptom Manage [Internet]. 2018 Apr 1 [cited 2025 Jun 21];55(4):1224–30. Available from: https://pubmed.ncbi.nlm.nih.gov/29305320/</w:t>
      </w:r>
    </w:p>
    <w:p w14:paraId="0AF5DF2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90. </w:t>
      </w:r>
      <w:r w:rsidRPr="00EF1C44">
        <w:rPr>
          <w:noProof/>
        </w:rPr>
        <w:tab/>
        <w:t>Di Palo KE, Feder S, Baggenstos YT, Cornelio CK, Forman DE, Goyal P, et al. Palliative Pharmacotherapy for Cardiovascular Disease: A Scientific Statement From the American Heart Association. Circ Cardiovasc Qual Outcomes [Internet]. 2024 Aug 1 [cited 2025 Jul 10];17(8):e000131. Available from: https://www.ahajournals.org/doi/10.1161/HCQ.0000000000000131</w:t>
      </w:r>
    </w:p>
    <w:p w14:paraId="157E925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91. </w:t>
      </w:r>
      <w:r w:rsidRPr="00EF1C44">
        <w:rPr>
          <w:noProof/>
        </w:rPr>
        <w:tab/>
        <w:t>Lee JH, Suzuki J. N-methyl-d-aspartate (NMDA) receptor antagonists for treatment of catatonia in adults: Narrative review. Gen Hosp Psychiatry [Internet]. 2024 Nov 1 [cited 2025 Mar 15];91:60–5. Available from: https://pubmed.ncbi.nlm.nih.gov/39278010/</w:t>
      </w:r>
    </w:p>
    <w:p w14:paraId="33BFFB4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92. </w:t>
      </w:r>
      <w:r w:rsidRPr="00EF1C44">
        <w:rPr>
          <w:noProof/>
        </w:rPr>
        <w:tab/>
        <w:t>Smith JR, Baldwin I, Termini KA, McGonigle T, Vandekar S, Luccarelli J. Use of ECT for Children With and Without Catatonia: A Single-Site Retrospective Analysis. J ECT [Internet]. 2024 Sep 1 [cited 2025 Jun 21];40(3):154–61. Available from: https://pubmed.ncbi.nlm.nih.gov/38265759/</w:t>
      </w:r>
    </w:p>
    <w:p w14:paraId="6717A21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93. </w:t>
      </w:r>
      <w:r w:rsidRPr="00EF1C44">
        <w:rPr>
          <w:noProof/>
        </w:rPr>
        <w:tab/>
        <w:t xml:space="preserve">Ong M, Patterson E, Stewart L, Pierce D, Smith JR. Morbidity Due to Disparity in Pediatric Electroconvulsive Therapy. J Am Acad Child Adolesc Psychiatry [Internet]. 2023 Mar 1 [cited 2025 Jun 21];62(3):279–81. Available from: </w:t>
      </w:r>
      <w:r w:rsidRPr="00EF1C44">
        <w:rPr>
          <w:noProof/>
        </w:rPr>
        <w:lastRenderedPageBreak/>
        <w:t>https://pubmed.ncbi.nlm.nih.gov/36334892/</w:t>
      </w:r>
    </w:p>
    <w:p w14:paraId="10B146C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94. </w:t>
      </w:r>
      <w:r w:rsidRPr="00EF1C44">
        <w:rPr>
          <w:noProof/>
        </w:rPr>
        <w:tab/>
        <w:t>Luccarelli J, McCoy TH, York T, Baldwin I, Fricchione G, Fuchs C, et al. The effectiveness of the lorazepam challenge test in pediatric catatonia: A multisite retrospective cohort study. Schizophr Res [Internet]. 2024 Aug 1 [cited 2025 Jun 21];270:410–5. Available from: https://pubmed.ncbi.nlm.nih.gov/38986388/</w:t>
      </w:r>
    </w:p>
    <w:p w14:paraId="7BF45F7B"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95. </w:t>
      </w:r>
      <w:r w:rsidRPr="00EF1C44">
        <w:rPr>
          <w:noProof/>
        </w:rPr>
        <w:tab/>
        <w:t>Suchandra HH, Reddi VSK, Aandi Subramaniyam B, Muliyala KP. Revisiting lorazepam challenge test: Clinical response with dose variations and utility for catatonia in a psychiatric emergency setting. Aust N Z J Psychiatry [Internet]. 2021 Oct 1 [cited 2025 Jun 21];55(10):993–1004. Available from: https://pubmed.ncbi.nlm.nih.gov/33124447/</w:t>
      </w:r>
    </w:p>
    <w:p w14:paraId="68FFFE2C"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96. </w:t>
      </w:r>
      <w:r w:rsidRPr="00EF1C44">
        <w:rPr>
          <w:noProof/>
        </w:rPr>
        <w:tab/>
        <w:t>Livingston R, Wu C, Mu K, Coffey MJ. Regulation of Electroconvulsive Therapy: A Systematic Review of US State Laws. J ECT [Internet]. 2018 Mar 1 [cited 2025 Jul 10];34(1):60–8. Available from: https://pubmed.ncbi.nlm.nih.gov/28991068/</w:t>
      </w:r>
    </w:p>
    <w:p w14:paraId="3FC6CE01"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97. </w:t>
      </w:r>
      <w:r w:rsidRPr="00EF1C44">
        <w:rPr>
          <w:noProof/>
        </w:rPr>
        <w:tab/>
        <w:t>Beydler EM, Katzell LM, Dragonetti J, Ortiz N. Legislation Limiting Access to Electroconvulsive Therapy Is Increasing-A Call for Reasonable and Evidence-Based Legislation. J ECT [Internet]. 2025 Jun 23 [cited 2025 Jul 10]; Available from: https://pubmed.ncbi.nlm.nih.gov/40549951/</w:t>
      </w:r>
    </w:p>
    <w:p w14:paraId="48D9C50B"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98. </w:t>
      </w:r>
      <w:r w:rsidRPr="00EF1C44">
        <w:rPr>
          <w:noProof/>
        </w:rPr>
        <w:tab/>
        <w:t>Mahajan A, Vatti T, Coulter A, Khawam E, Howland M. Palliative ECT for Catatonia in a Terminal Cancer Patient: A Case Report. J Acad Consult Liaison Psychiatry [Internet]. 2024; Available from: http://dx.doi.org/10.1016/j.jaclp.2024.01.005</w:t>
      </w:r>
    </w:p>
    <w:p w14:paraId="6569182D"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99. </w:t>
      </w:r>
      <w:r w:rsidRPr="00EF1C44">
        <w:rPr>
          <w:noProof/>
        </w:rPr>
        <w:tab/>
        <w:t xml:space="preserve">Mulder ME, Verwey B, van Waarde JA. Electroconvulsive therapy in a terminally ill patient: when every day of improvement counts. J ECT [Internet]. 2012;28(1):52–3. </w:t>
      </w:r>
      <w:r w:rsidRPr="00EF1C44">
        <w:rPr>
          <w:noProof/>
        </w:rPr>
        <w:lastRenderedPageBreak/>
        <w:t>Available from: http://dx.doi.org/10.1097/YCT.0b013e3182321181</w:t>
      </w:r>
    </w:p>
    <w:p w14:paraId="0BD166B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100. </w:t>
      </w:r>
      <w:r w:rsidRPr="00EF1C44">
        <w:rPr>
          <w:noProof/>
        </w:rPr>
        <w:tab/>
        <w:t>Hansbauer M, Wagner E, Strube W, Röh A, Padberg F, Keeser D, et al. rTMS and tDCS for the treatment of catatonia: A systematic review. Schizophr Res [Internet]. 2020 Aug 1 [cited 2025 Jul 10];222:73–8. Available from: https://pubmed.ncbi.nlm.nih.gov/32600779/</w:t>
      </w:r>
    </w:p>
    <w:p w14:paraId="7B5F4C2E"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101. </w:t>
      </w:r>
      <w:r w:rsidRPr="00EF1C44">
        <w:rPr>
          <w:noProof/>
        </w:rPr>
        <w:tab/>
        <w:t>Witlox J, Eurelings LSM, De Jonghe JFM, Kalisvaart KJ, Eikelenboom P, Van Gool WA. Delirium in Elderly Patients and the Risk of Postdischarge Mortality, Institutionalization, and Dementia: A Meta-analysis. JAMA [Internet]. 2010 Jul 28 [cited 2025 Jul 10];304(4):443–51. Available from: https://jamanetwork.com/journals/jama/fullarticle/186304</w:t>
      </w:r>
    </w:p>
    <w:p w14:paraId="11FA73A7"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102. </w:t>
      </w:r>
      <w:r w:rsidRPr="00EF1C44">
        <w:rPr>
          <w:noProof/>
        </w:rPr>
        <w:tab/>
        <w:t>Marcantonio ER. Delirium in Hospitalized Older Adults. N Engl J Med [Internet]. 2017 Oct 12 [cited 2025 Jul 10];377(15):1456–66. Available from: https://www.nejm.org/doi/full/10.1056/NEJMcp1605501</w:t>
      </w:r>
    </w:p>
    <w:p w14:paraId="50339992"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103. </w:t>
      </w:r>
      <w:r w:rsidRPr="00EF1C44">
        <w:rPr>
          <w:noProof/>
        </w:rPr>
        <w:tab/>
        <w:t xml:space="preserve">Grover S, Laxmi R, Chakrabarti S. Catatonia among elderly: A retrospective study from an inpatient setting of a tertiary care center. J Geriatr Ment Heal. 2024 Jan;11(1):44–8. </w:t>
      </w:r>
    </w:p>
    <w:p w14:paraId="66974FF3" w14:textId="77777777" w:rsidR="00EF1C44" w:rsidRPr="00EF1C44" w:rsidRDefault="00EF1C44" w:rsidP="00EF1C44">
      <w:pPr>
        <w:widowControl w:val="0"/>
        <w:autoSpaceDE w:val="0"/>
        <w:autoSpaceDN w:val="0"/>
        <w:adjustRightInd w:val="0"/>
        <w:spacing w:after="240" w:line="480" w:lineRule="auto"/>
        <w:ind w:left="640" w:hanging="640"/>
        <w:rPr>
          <w:noProof/>
        </w:rPr>
      </w:pPr>
      <w:r w:rsidRPr="00EF1C44">
        <w:rPr>
          <w:noProof/>
        </w:rPr>
        <w:t xml:space="preserve">104. </w:t>
      </w:r>
      <w:r w:rsidRPr="00EF1C44">
        <w:rPr>
          <w:noProof/>
        </w:rPr>
        <w:tab/>
        <w:t>Ernecoff NC, Anhang Price R. Concurrent Care as the Next Frontier in End-of-Life Care. JAMA Heal Forum [Internet]. 2023 Aug 4 [cited 2025 Jul 10];4(8):e232603–e232603. Available from: https://jamanetwork.com/journals/jama-health-forum/fullarticle/2808464</w:t>
      </w:r>
    </w:p>
    <w:p w14:paraId="39620926" w14:textId="55E31C48" w:rsidR="0016432B" w:rsidRPr="00677ACC" w:rsidRDefault="0016432B" w:rsidP="00EF1C44">
      <w:pPr>
        <w:widowControl w:val="0"/>
        <w:autoSpaceDE w:val="0"/>
        <w:autoSpaceDN w:val="0"/>
        <w:adjustRightInd w:val="0"/>
        <w:spacing w:after="240" w:line="480" w:lineRule="auto"/>
        <w:ind w:left="640" w:hanging="640"/>
      </w:pPr>
      <w:r w:rsidRPr="00677ACC">
        <w:fldChar w:fldCharType="end"/>
      </w:r>
    </w:p>
    <w:p w14:paraId="63CADC8C" w14:textId="77777777" w:rsidR="0016432B" w:rsidRPr="00677ACC" w:rsidRDefault="0016432B" w:rsidP="00677ACC">
      <w:pPr>
        <w:spacing w:line="480" w:lineRule="auto"/>
      </w:pPr>
    </w:p>
    <w:p w14:paraId="43FFE818" w14:textId="77777777" w:rsidR="0016432B" w:rsidRPr="00677ACC" w:rsidRDefault="0016432B" w:rsidP="00677ACC">
      <w:pPr>
        <w:spacing w:after="240" w:line="480" w:lineRule="auto"/>
      </w:pPr>
    </w:p>
    <w:p w14:paraId="4B77B696" w14:textId="77777777" w:rsidR="0016432B" w:rsidRPr="00677ACC" w:rsidRDefault="0016432B" w:rsidP="00677ACC">
      <w:pPr>
        <w:spacing w:line="480" w:lineRule="auto"/>
      </w:pPr>
    </w:p>
    <w:p w14:paraId="3372B42B" w14:textId="77777777" w:rsidR="00E423B7" w:rsidRPr="00677ACC" w:rsidRDefault="00E423B7" w:rsidP="00677ACC">
      <w:pPr>
        <w:spacing w:line="480" w:lineRule="auto"/>
        <w:rPr>
          <w:b/>
          <w:bCs/>
          <w:u w:val="single"/>
        </w:rPr>
      </w:pPr>
    </w:p>
    <w:sectPr w:rsidR="00E423B7" w:rsidRPr="00677ACC" w:rsidSect="00D5036B">
      <w:pgSz w:w="12240" w:h="15840"/>
      <w:pgMar w:top="1440" w:right="1440" w:bottom="1440" w:left="1440" w:header="720" w:footer="720" w:gutter="0"/>
      <w:lnNumType w:countBy="1" w:restart="continuou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0B4"/>
    <w:multiLevelType w:val="multilevel"/>
    <w:tmpl w:val="17628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8219C"/>
    <w:multiLevelType w:val="multilevel"/>
    <w:tmpl w:val="1FFA3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72508"/>
    <w:multiLevelType w:val="multilevel"/>
    <w:tmpl w:val="B27C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DF29E0"/>
    <w:multiLevelType w:val="multilevel"/>
    <w:tmpl w:val="B27C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9736F4"/>
    <w:multiLevelType w:val="hybridMultilevel"/>
    <w:tmpl w:val="FFBA1642"/>
    <w:lvl w:ilvl="0" w:tplc="0409000F">
      <w:start w:val="1"/>
      <w:numFmt w:val="decimal"/>
      <w:lvlText w:val="%1."/>
      <w:lvlJc w:val="left"/>
      <w:pPr>
        <w:ind w:left="440" w:hanging="440"/>
      </w:pPr>
    </w:lvl>
    <w:lvl w:ilvl="1" w:tplc="1FFA453E">
      <w:start w:val="1"/>
      <w:numFmt w:val="upperRoman"/>
      <w:lvlText w:val="(%2)"/>
      <w:lvlJc w:val="left"/>
      <w:pPr>
        <w:ind w:left="1160" w:hanging="72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76984813">
    <w:abstractNumId w:val="0"/>
  </w:num>
  <w:num w:numId="2" w16cid:durableId="1250964003">
    <w:abstractNumId w:val="2"/>
  </w:num>
  <w:num w:numId="3" w16cid:durableId="738865788">
    <w:abstractNumId w:val="1"/>
  </w:num>
  <w:num w:numId="4" w16cid:durableId="506409919">
    <w:abstractNumId w:val="4"/>
  </w:num>
  <w:num w:numId="5" w16cid:durableId="869994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2E2"/>
    <w:rsid w:val="00005A96"/>
    <w:rsid w:val="00017FCA"/>
    <w:rsid w:val="00026E2D"/>
    <w:rsid w:val="00052448"/>
    <w:rsid w:val="00053196"/>
    <w:rsid w:val="000B23B0"/>
    <w:rsid w:val="000C3330"/>
    <w:rsid w:val="000D19D3"/>
    <w:rsid w:val="001332D6"/>
    <w:rsid w:val="00156D32"/>
    <w:rsid w:val="0016432B"/>
    <w:rsid w:val="001A0F74"/>
    <w:rsid w:val="001A4239"/>
    <w:rsid w:val="001D22D6"/>
    <w:rsid w:val="001D52F2"/>
    <w:rsid w:val="001E65D2"/>
    <w:rsid w:val="001F40DC"/>
    <w:rsid w:val="001F6DD5"/>
    <w:rsid w:val="00212B19"/>
    <w:rsid w:val="00213F06"/>
    <w:rsid w:val="00213F80"/>
    <w:rsid w:val="00214531"/>
    <w:rsid w:val="00236C6F"/>
    <w:rsid w:val="00237167"/>
    <w:rsid w:val="00242677"/>
    <w:rsid w:val="00244F00"/>
    <w:rsid w:val="002A000D"/>
    <w:rsid w:val="002B0AE4"/>
    <w:rsid w:val="002B3492"/>
    <w:rsid w:val="002C7F0B"/>
    <w:rsid w:val="002D50BE"/>
    <w:rsid w:val="002E03EF"/>
    <w:rsid w:val="00306DDA"/>
    <w:rsid w:val="003251BD"/>
    <w:rsid w:val="0032681B"/>
    <w:rsid w:val="003C501A"/>
    <w:rsid w:val="003E316A"/>
    <w:rsid w:val="003E5481"/>
    <w:rsid w:val="00413DE8"/>
    <w:rsid w:val="00415D28"/>
    <w:rsid w:val="00442BC8"/>
    <w:rsid w:val="004571E9"/>
    <w:rsid w:val="00460915"/>
    <w:rsid w:val="0046172D"/>
    <w:rsid w:val="00471048"/>
    <w:rsid w:val="00476EFF"/>
    <w:rsid w:val="004813A2"/>
    <w:rsid w:val="00485775"/>
    <w:rsid w:val="004A527D"/>
    <w:rsid w:val="004A6623"/>
    <w:rsid w:val="004E06C7"/>
    <w:rsid w:val="004F2BF7"/>
    <w:rsid w:val="004F7A59"/>
    <w:rsid w:val="00500667"/>
    <w:rsid w:val="0050457E"/>
    <w:rsid w:val="005124BB"/>
    <w:rsid w:val="00516030"/>
    <w:rsid w:val="00575895"/>
    <w:rsid w:val="005969AC"/>
    <w:rsid w:val="005D3A17"/>
    <w:rsid w:val="005D5D01"/>
    <w:rsid w:val="005E19E9"/>
    <w:rsid w:val="005E5FCE"/>
    <w:rsid w:val="006021E2"/>
    <w:rsid w:val="006100BB"/>
    <w:rsid w:val="00621427"/>
    <w:rsid w:val="006279AD"/>
    <w:rsid w:val="00644C47"/>
    <w:rsid w:val="00677ACC"/>
    <w:rsid w:val="006A7596"/>
    <w:rsid w:val="006B6ACD"/>
    <w:rsid w:val="006C0089"/>
    <w:rsid w:val="006C39C1"/>
    <w:rsid w:val="006E35EE"/>
    <w:rsid w:val="006F169F"/>
    <w:rsid w:val="006F585C"/>
    <w:rsid w:val="00707E4A"/>
    <w:rsid w:val="0073166A"/>
    <w:rsid w:val="00751621"/>
    <w:rsid w:val="007B1ABD"/>
    <w:rsid w:val="007E05A6"/>
    <w:rsid w:val="007F4BA9"/>
    <w:rsid w:val="008104FC"/>
    <w:rsid w:val="00816E11"/>
    <w:rsid w:val="008262AC"/>
    <w:rsid w:val="00847639"/>
    <w:rsid w:val="00853413"/>
    <w:rsid w:val="00854B67"/>
    <w:rsid w:val="00860371"/>
    <w:rsid w:val="008672F2"/>
    <w:rsid w:val="00873C3C"/>
    <w:rsid w:val="0088061C"/>
    <w:rsid w:val="00886ADC"/>
    <w:rsid w:val="008D7789"/>
    <w:rsid w:val="008E043C"/>
    <w:rsid w:val="008E3129"/>
    <w:rsid w:val="0090414C"/>
    <w:rsid w:val="00923FC0"/>
    <w:rsid w:val="0093402A"/>
    <w:rsid w:val="009503B2"/>
    <w:rsid w:val="00954824"/>
    <w:rsid w:val="00954DD3"/>
    <w:rsid w:val="00955BA7"/>
    <w:rsid w:val="009B0E3B"/>
    <w:rsid w:val="009B573D"/>
    <w:rsid w:val="009C3412"/>
    <w:rsid w:val="00A04516"/>
    <w:rsid w:val="00A136D4"/>
    <w:rsid w:val="00A21493"/>
    <w:rsid w:val="00A31607"/>
    <w:rsid w:val="00A55880"/>
    <w:rsid w:val="00A660D6"/>
    <w:rsid w:val="00A75276"/>
    <w:rsid w:val="00A80684"/>
    <w:rsid w:val="00A868C0"/>
    <w:rsid w:val="00A90ED9"/>
    <w:rsid w:val="00A91E00"/>
    <w:rsid w:val="00A942EE"/>
    <w:rsid w:val="00AA4090"/>
    <w:rsid w:val="00AB0BD7"/>
    <w:rsid w:val="00AB4D2C"/>
    <w:rsid w:val="00AC33AD"/>
    <w:rsid w:val="00B21CAD"/>
    <w:rsid w:val="00B5411D"/>
    <w:rsid w:val="00B85CE9"/>
    <w:rsid w:val="00BA031B"/>
    <w:rsid w:val="00BA60A4"/>
    <w:rsid w:val="00BC6CFB"/>
    <w:rsid w:val="00C134A1"/>
    <w:rsid w:val="00C15537"/>
    <w:rsid w:val="00C425D2"/>
    <w:rsid w:val="00C4762B"/>
    <w:rsid w:val="00C813CD"/>
    <w:rsid w:val="00CB5985"/>
    <w:rsid w:val="00CF3E49"/>
    <w:rsid w:val="00CF7186"/>
    <w:rsid w:val="00D02712"/>
    <w:rsid w:val="00D262E2"/>
    <w:rsid w:val="00D33DF6"/>
    <w:rsid w:val="00D37158"/>
    <w:rsid w:val="00D40B3E"/>
    <w:rsid w:val="00D42DC7"/>
    <w:rsid w:val="00D5036B"/>
    <w:rsid w:val="00DA476D"/>
    <w:rsid w:val="00DA5651"/>
    <w:rsid w:val="00DC14B4"/>
    <w:rsid w:val="00DC651E"/>
    <w:rsid w:val="00DF5B44"/>
    <w:rsid w:val="00E20D81"/>
    <w:rsid w:val="00E423B7"/>
    <w:rsid w:val="00EA16CA"/>
    <w:rsid w:val="00EB4CA5"/>
    <w:rsid w:val="00EB579F"/>
    <w:rsid w:val="00ED4016"/>
    <w:rsid w:val="00EE4E44"/>
    <w:rsid w:val="00EE613C"/>
    <w:rsid w:val="00EF1C44"/>
    <w:rsid w:val="00F01680"/>
    <w:rsid w:val="00F25ED1"/>
    <w:rsid w:val="00F4771F"/>
    <w:rsid w:val="00F5530E"/>
    <w:rsid w:val="00F6362B"/>
    <w:rsid w:val="00F72B7B"/>
    <w:rsid w:val="00F74786"/>
    <w:rsid w:val="00F75683"/>
    <w:rsid w:val="00FB3382"/>
    <w:rsid w:val="00FC26C3"/>
    <w:rsid w:val="00FE3EDC"/>
    <w:rsid w:val="00FE7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31895"/>
  <w15:chartTrackingRefBased/>
  <w15:docId w15:val="{7A77981F-EED3-6648-9CF9-BF18391A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3B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262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2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2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2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2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2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2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2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2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2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2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2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2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2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2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2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2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2E2"/>
    <w:rPr>
      <w:rFonts w:eastAsiaTheme="majorEastAsia" w:cstheme="majorBidi"/>
      <w:color w:val="272727" w:themeColor="text1" w:themeTint="D8"/>
    </w:rPr>
  </w:style>
  <w:style w:type="paragraph" w:styleId="Title">
    <w:name w:val="Title"/>
    <w:basedOn w:val="Normal"/>
    <w:next w:val="Normal"/>
    <w:link w:val="TitleChar"/>
    <w:uiPriority w:val="10"/>
    <w:qFormat/>
    <w:rsid w:val="00D262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2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2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2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2E2"/>
    <w:pPr>
      <w:spacing w:before="160"/>
      <w:jc w:val="center"/>
    </w:pPr>
    <w:rPr>
      <w:i/>
      <w:iCs/>
      <w:color w:val="404040" w:themeColor="text1" w:themeTint="BF"/>
    </w:rPr>
  </w:style>
  <w:style w:type="character" w:customStyle="1" w:styleId="QuoteChar">
    <w:name w:val="Quote Char"/>
    <w:basedOn w:val="DefaultParagraphFont"/>
    <w:link w:val="Quote"/>
    <w:uiPriority w:val="29"/>
    <w:rsid w:val="00D262E2"/>
    <w:rPr>
      <w:i/>
      <w:iCs/>
      <w:color w:val="404040" w:themeColor="text1" w:themeTint="BF"/>
    </w:rPr>
  </w:style>
  <w:style w:type="paragraph" w:styleId="ListParagraph">
    <w:name w:val="List Paragraph"/>
    <w:basedOn w:val="Normal"/>
    <w:uiPriority w:val="99"/>
    <w:qFormat/>
    <w:rsid w:val="00D262E2"/>
    <w:pPr>
      <w:ind w:left="720"/>
      <w:contextualSpacing/>
    </w:pPr>
  </w:style>
  <w:style w:type="character" w:styleId="IntenseEmphasis">
    <w:name w:val="Intense Emphasis"/>
    <w:basedOn w:val="DefaultParagraphFont"/>
    <w:uiPriority w:val="21"/>
    <w:qFormat/>
    <w:rsid w:val="00D262E2"/>
    <w:rPr>
      <w:i/>
      <w:iCs/>
      <w:color w:val="0F4761" w:themeColor="accent1" w:themeShade="BF"/>
    </w:rPr>
  </w:style>
  <w:style w:type="paragraph" w:styleId="IntenseQuote">
    <w:name w:val="Intense Quote"/>
    <w:basedOn w:val="Normal"/>
    <w:next w:val="Normal"/>
    <w:link w:val="IntenseQuoteChar"/>
    <w:uiPriority w:val="30"/>
    <w:qFormat/>
    <w:rsid w:val="00D262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2E2"/>
    <w:rPr>
      <w:i/>
      <w:iCs/>
      <w:color w:val="0F4761" w:themeColor="accent1" w:themeShade="BF"/>
    </w:rPr>
  </w:style>
  <w:style w:type="character" w:styleId="IntenseReference">
    <w:name w:val="Intense Reference"/>
    <w:basedOn w:val="DefaultParagraphFont"/>
    <w:uiPriority w:val="32"/>
    <w:qFormat/>
    <w:rsid w:val="00D262E2"/>
    <w:rPr>
      <w:b/>
      <w:bCs/>
      <w:smallCaps/>
      <w:color w:val="0F4761" w:themeColor="accent1" w:themeShade="BF"/>
      <w:spacing w:val="5"/>
    </w:rPr>
  </w:style>
  <w:style w:type="paragraph" w:styleId="NormalWeb">
    <w:name w:val="Normal (Web)"/>
    <w:basedOn w:val="Normal"/>
    <w:uiPriority w:val="99"/>
    <w:unhideWhenUsed/>
    <w:rsid w:val="00D262E2"/>
    <w:pPr>
      <w:spacing w:before="100" w:beforeAutospacing="1" w:after="100" w:afterAutospacing="1"/>
    </w:pPr>
  </w:style>
  <w:style w:type="table" w:styleId="TableGrid">
    <w:name w:val="Table Grid"/>
    <w:basedOn w:val="TableNormal"/>
    <w:uiPriority w:val="39"/>
    <w:rsid w:val="00E4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E423B7"/>
  </w:style>
  <w:style w:type="character" w:styleId="CommentReference">
    <w:name w:val="annotation reference"/>
    <w:basedOn w:val="DefaultParagraphFont"/>
    <w:uiPriority w:val="99"/>
    <w:semiHidden/>
    <w:unhideWhenUsed/>
    <w:rsid w:val="00E423B7"/>
    <w:rPr>
      <w:sz w:val="16"/>
      <w:szCs w:val="16"/>
    </w:rPr>
  </w:style>
  <w:style w:type="paragraph" w:styleId="CommentText">
    <w:name w:val="annotation text"/>
    <w:basedOn w:val="Normal"/>
    <w:link w:val="CommentTextChar"/>
    <w:uiPriority w:val="99"/>
    <w:semiHidden/>
    <w:unhideWhenUsed/>
    <w:rsid w:val="00E423B7"/>
    <w:rPr>
      <w:sz w:val="20"/>
      <w:szCs w:val="20"/>
    </w:rPr>
  </w:style>
  <w:style w:type="character" w:customStyle="1" w:styleId="CommentTextChar">
    <w:name w:val="Comment Text Char"/>
    <w:basedOn w:val="DefaultParagraphFont"/>
    <w:link w:val="CommentText"/>
    <w:uiPriority w:val="99"/>
    <w:semiHidden/>
    <w:rsid w:val="00E423B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423B7"/>
    <w:rPr>
      <w:b/>
      <w:bCs/>
    </w:rPr>
  </w:style>
  <w:style w:type="character" w:customStyle="1" w:styleId="CommentSubjectChar">
    <w:name w:val="Comment Subject Char"/>
    <w:basedOn w:val="CommentTextChar"/>
    <w:link w:val="CommentSubject"/>
    <w:uiPriority w:val="99"/>
    <w:semiHidden/>
    <w:rsid w:val="00E423B7"/>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16432B"/>
    <w:rPr>
      <w:color w:val="0000FF"/>
      <w:u w:val="single"/>
    </w:rPr>
  </w:style>
  <w:style w:type="character" w:styleId="UnresolvedMention">
    <w:name w:val="Unresolved Mention"/>
    <w:basedOn w:val="DefaultParagraphFont"/>
    <w:uiPriority w:val="99"/>
    <w:semiHidden/>
    <w:unhideWhenUsed/>
    <w:rsid w:val="0016432B"/>
    <w:rPr>
      <w:color w:val="605E5C"/>
      <w:shd w:val="clear" w:color="auto" w:fill="E1DFDD"/>
    </w:rPr>
  </w:style>
  <w:style w:type="character" w:customStyle="1" w:styleId="apple-converted-space">
    <w:name w:val="apple-converted-space"/>
    <w:basedOn w:val="DefaultParagraphFont"/>
    <w:rsid w:val="0016432B"/>
  </w:style>
  <w:style w:type="character" w:styleId="Strong">
    <w:name w:val="Strong"/>
    <w:basedOn w:val="DefaultParagraphFont"/>
    <w:uiPriority w:val="22"/>
    <w:qFormat/>
    <w:rsid w:val="001E65D2"/>
    <w:rPr>
      <w:b/>
      <w:bCs/>
    </w:rPr>
  </w:style>
  <w:style w:type="character" w:styleId="Emphasis">
    <w:name w:val="Emphasis"/>
    <w:basedOn w:val="DefaultParagraphFont"/>
    <w:uiPriority w:val="20"/>
    <w:qFormat/>
    <w:rsid w:val="00860371"/>
    <w:rPr>
      <w:i/>
      <w:iCs/>
    </w:rPr>
  </w:style>
  <w:style w:type="character" w:styleId="LineNumber">
    <w:name w:val="line number"/>
    <w:basedOn w:val="DefaultParagraphFont"/>
    <w:uiPriority w:val="99"/>
    <w:semiHidden/>
    <w:unhideWhenUsed/>
    <w:rsid w:val="00D5036B"/>
  </w:style>
  <w:style w:type="character" w:customStyle="1" w:styleId="None">
    <w:name w:val="None"/>
    <w:rsid w:val="00C134A1"/>
  </w:style>
  <w:style w:type="paragraph" w:styleId="Revision">
    <w:name w:val="Revision"/>
    <w:hidden/>
    <w:uiPriority w:val="99"/>
    <w:semiHidden/>
    <w:rsid w:val="008104FC"/>
    <w:pPr>
      <w:spacing w:after="0"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213F0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859">
      <w:bodyDiv w:val="1"/>
      <w:marLeft w:val="0"/>
      <w:marRight w:val="0"/>
      <w:marTop w:val="0"/>
      <w:marBottom w:val="0"/>
      <w:divBdr>
        <w:top w:val="none" w:sz="0" w:space="0" w:color="auto"/>
        <w:left w:val="none" w:sz="0" w:space="0" w:color="auto"/>
        <w:bottom w:val="none" w:sz="0" w:space="0" w:color="auto"/>
        <w:right w:val="none" w:sz="0" w:space="0" w:color="auto"/>
      </w:divBdr>
    </w:div>
    <w:div w:id="128787249">
      <w:bodyDiv w:val="1"/>
      <w:marLeft w:val="0"/>
      <w:marRight w:val="0"/>
      <w:marTop w:val="0"/>
      <w:marBottom w:val="0"/>
      <w:divBdr>
        <w:top w:val="none" w:sz="0" w:space="0" w:color="auto"/>
        <w:left w:val="none" w:sz="0" w:space="0" w:color="auto"/>
        <w:bottom w:val="none" w:sz="0" w:space="0" w:color="auto"/>
        <w:right w:val="none" w:sz="0" w:space="0" w:color="auto"/>
      </w:divBdr>
    </w:div>
    <w:div w:id="271863431">
      <w:bodyDiv w:val="1"/>
      <w:marLeft w:val="0"/>
      <w:marRight w:val="0"/>
      <w:marTop w:val="0"/>
      <w:marBottom w:val="0"/>
      <w:divBdr>
        <w:top w:val="none" w:sz="0" w:space="0" w:color="auto"/>
        <w:left w:val="none" w:sz="0" w:space="0" w:color="auto"/>
        <w:bottom w:val="none" w:sz="0" w:space="0" w:color="auto"/>
        <w:right w:val="none" w:sz="0" w:space="0" w:color="auto"/>
      </w:divBdr>
    </w:div>
    <w:div w:id="405685242">
      <w:bodyDiv w:val="1"/>
      <w:marLeft w:val="0"/>
      <w:marRight w:val="0"/>
      <w:marTop w:val="0"/>
      <w:marBottom w:val="0"/>
      <w:divBdr>
        <w:top w:val="none" w:sz="0" w:space="0" w:color="auto"/>
        <w:left w:val="none" w:sz="0" w:space="0" w:color="auto"/>
        <w:bottom w:val="none" w:sz="0" w:space="0" w:color="auto"/>
        <w:right w:val="none" w:sz="0" w:space="0" w:color="auto"/>
      </w:divBdr>
    </w:div>
    <w:div w:id="594636995">
      <w:bodyDiv w:val="1"/>
      <w:marLeft w:val="0"/>
      <w:marRight w:val="0"/>
      <w:marTop w:val="0"/>
      <w:marBottom w:val="0"/>
      <w:divBdr>
        <w:top w:val="none" w:sz="0" w:space="0" w:color="auto"/>
        <w:left w:val="none" w:sz="0" w:space="0" w:color="auto"/>
        <w:bottom w:val="none" w:sz="0" w:space="0" w:color="auto"/>
        <w:right w:val="none" w:sz="0" w:space="0" w:color="auto"/>
      </w:divBdr>
    </w:div>
    <w:div w:id="613557417">
      <w:bodyDiv w:val="1"/>
      <w:marLeft w:val="0"/>
      <w:marRight w:val="0"/>
      <w:marTop w:val="0"/>
      <w:marBottom w:val="0"/>
      <w:divBdr>
        <w:top w:val="none" w:sz="0" w:space="0" w:color="auto"/>
        <w:left w:val="none" w:sz="0" w:space="0" w:color="auto"/>
        <w:bottom w:val="none" w:sz="0" w:space="0" w:color="auto"/>
        <w:right w:val="none" w:sz="0" w:space="0" w:color="auto"/>
      </w:divBdr>
    </w:div>
    <w:div w:id="740712479">
      <w:bodyDiv w:val="1"/>
      <w:marLeft w:val="0"/>
      <w:marRight w:val="0"/>
      <w:marTop w:val="0"/>
      <w:marBottom w:val="0"/>
      <w:divBdr>
        <w:top w:val="none" w:sz="0" w:space="0" w:color="auto"/>
        <w:left w:val="none" w:sz="0" w:space="0" w:color="auto"/>
        <w:bottom w:val="none" w:sz="0" w:space="0" w:color="auto"/>
        <w:right w:val="none" w:sz="0" w:space="0" w:color="auto"/>
      </w:divBdr>
    </w:div>
    <w:div w:id="939683759">
      <w:bodyDiv w:val="1"/>
      <w:marLeft w:val="0"/>
      <w:marRight w:val="0"/>
      <w:marTop w:val="0"/>
      <w:marBottom w:val="0"/>
      <w:divBdr>
        <w:top w:val="none" w:sz="0" w:space="0" w:color="auto"/>
        <w:left w:val="none" w:sz="0" w:space="0" w:color="auto"/>
        <w:bottom w:val="none" w:sz="0" w:space="0" w:color="auto"/>
        <w:right w:val="none" w:sz="0" w:space="0" w:color="auto"/>
      </w:divBdr>
    </w:div>
    <w:div w:id="1034697285">
      <w:bodyDiv w:val="1"/>
      <w:marLeft w:val="0"/>
      <w:marRight w:val="0"/>
      <w:marTop w:val="0"/>
      <w:marBottom w:val="0"/>
      <w:divBdr>
        <w:top w:val="none" w:sz="0" w:space="0" w:color="auto"/>
        <w:left w:val="none" w:sz="0" w:space="0" w:color="auto"/>
        <w:bottom w:val="none" w:sz="0" w:space="0" w:color="auto"/>
        <w:right w:val="none" w:sz="0" w:space="0" w:color="auto"/>
      </w:divBdr>
    </w:div>
    <w:div w:id="1159887957">
      <w:bodyDiv w:val="1"/>
      <w:marLeft w:val="0"/>
      <w:marRight w:val="0"/>
      <w:marTop w:val="0"/>
      <w:marBottom w:val="0"/>
      <w:divBdr>
        <w:top w:val="none" w:sz="0" w:space="0" w:color="auto"/>
        <w:left w:val="none" w:sz="0" w:space="0" w:color="auto"/>
        <w:bottom w:val="none" w:sz="0" w:space="0" w:color="auto"/>
        <w:right w:val="none" w:sz="0" w:space="0" w:color="auto"/>
      </w:divBdr>
    </w:div>
    <w:div w:id="1178226567">
      <w:bodyDiv w:val="1"/>
      <w:marLeft w:val="0"/>
      <w:marRight w:val="0"/>
      <w:marTop w:val="0"/>
      <w:marBottom w:val="0"/>
      <w:divBdr>
        <w:top w:val="none" w:sz="0" w:space="0" w:color="auto"/>
        <w:left w:val="none" w:sz="0" w:space="0" w:color="auto"/>
        <w:bottom w:val="none" w:sz="0" w:space="0" w:color="auto"/>
        <w:right w:val="none" w:sz="0" w:space="0" w:color="auto"/>
      </w:divBdr>
    </w:div>
    <w:div w:id="1209413466">
      <w:bodyDiv w:val="1"/>
      <w:marLeft w:val="0"/>
      <w:marRight w:val="0"/>
      <w:marTop w:val="0"/>
      <w:marBottom w:val="0"/>
      <w:divBdr>
        <w:top w:val="none" w:sz="0" w:space="0" w:color="auto"/>
        <w:left w:val="none" w:sz="0" w:space="0" w:color="auto"/>
        <w:bottom w:val="none" w:sz="0" w:space="0" w:color="auto"/>
        <w:right w:val="none" w:sz="0" w:space="0" w:color="auto"/>
      </w:divBdr>
    </w:div>
    <w:div w:id="1242522844">
      <w:bodyDiv w:val="1"/>
      <w:marLeft w:val="0"/>
      <w:marRight w:val="0"/>
      <w:marTop w:val="0"/>
      <w:marBottom w:val="0"/>
      <w:divBdr>
        <w:top w:val="none" w:sz="0" w:space="0" w:color="auto"/>
        <w:left w:val="none" w:sz="0" w:space="0" w:color="auto"/>
        <w:bottom w:val="none" w:sz="0" w:space="0" w:color="auto"/>
        <w:right w:val="none" w:sz="0" w:space="0" w:color="auto"/>
      </w:divBdr>
    </w:div>
    <w:div w:id="1281451930">
      <w:bodyDiv w:val="1"/>
      <w:marLeft w:val="0"/>
      <w:marRight w:val="0"/>
      <w:marTop w:val="0"/>
      <w:marBottom w:val="0"/>
      <w:divBdr>
        <w:top w:val="none" w:sz="0" w:space="0" w:color="auto"/>
        <w:left w:val="none" w:sz="0" w:space="0" w:color="auto"/>
        <w:bottom w:val="none" w:sz="0" w:space="0" w:color="auto"/>
        <w:right w:val="none" w:sz="0" w:space="0" w:color="auto"/>
      </w:divBdr>
    </w:div>
    <w:div w:id="1395814378">
      <w:bodyDiv w:val="1"/>
      <w:marLeft w:val="0"/>
      <w:marRight w:val="0"/>
      <w:marTop w:val="0"/>
      <w:marBottom w:val="0"/>
      <w:divBdr>
        <w:top w:val="none" w:sz="0" w:space="0" w:color="auto"/>
        <w:left w:val="none" w:sz="0" w:space="0" w:color="auto"/>
        <w:bottom w:val="none" w:sz="0" w:space="0" w:color="auto"/>
        <w:right w:val="none" w:sz="0" w:space="0" w:color="auto"/>
      </w:divBdr>
    </w:div>
    <w:div w:id="1821385460">
      <w:bodyDiv w:val="1"/>
      <w:marLeft w:val="0"/>
      <w:marRight w:val="0"/>
      <w:marTop w:val="0"/>
      <w:marBottom w:val="0"/>
      <w:divBdr>
        <w:top w:val="none" w:sz="0" w:space="0" w:color="auto"/>
        <w:left w:val="none" w:sz="0" w:space="0" w:color="auto"/>
        <w:bottom w:val="none" w:sz="0" w:space="0" w:color="auto"/>
        <w:right w:val="none" w:sz="0" w:space="0" w:color="auto"/>
      </w:divBdr>
    </w:div>
    <w:div w:id="188555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orcid.org/0000-0003-4516-736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reggrobbinswelty@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07E82-97ED-1547-9321-2537EF84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166457</Words>
  <Characters>948808</Characters>
  <Application>Microsoft Office Word</Application>
  <DocSecurity>0</DocSecurity>
  <Lines>7906</Lines>
  <Paragraphs>2226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Robbins-Welty, Gregg</dc:creator>
  <cp:keywords/>
  <dc:description/>
  <cp:lastModifiedBy>Robbins-Welty, Gregg Alan</cp:lastModifiedBy>
  <cp:revision>2</cp:revision>
  <dcterms:created xsi:type="dcterms:W3CDTF">2025-11-14T03:39:00Z</dcterms:created>
  <dcterms:modified xsi:type="dcterms:W3CDTF">2025-11-14T03:39:00Z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http://www.zotero.org/styles/journal-of-psychiatric-research</vt:lpwstr>
  </property>
  <property fmtid="{D5CDD505-2E9C-101B-9397-08002B2CF9AE}" pid="11" name="Mendeley Recent Style Name 4_1">
    <vt:lpwstr>Journal of Psychiatric Research</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39897f45-64be-37a8-96e4-0a5c80addc1b</vt:lpwstr>
  </property>
  <property fmtid="{D5CDD505-2E9C-101B-9397-08002B2CF9AE}" pid="24" name="Mendeley Citation Style_1">
    <vt:lpwstr>http://www.zotero.org/styles/vancouver</vt:lpwstr>
  </property>
  <property fmtid="{D5CDD505-2E9C-101B-9397-08002B2CF9AE}" pid="25" name="MSIP_Label_5e4b1be8-281e-475d-98b0-21c3457e5a46_Enabled">
    <vt:lpwstr>true</vt:lpwstr>
  </property>
  <property fmtid="{D5CDD505-2E9C-101B-9397-08002B2CF9AE}" pid="26" name="MSIP_Label_5e4b1be8-281e-475d-98b0-21c3457e5a46_SetDate">
    <vt:lpwstr>2025-06-21T18:55:21Z</vt:lpwstr>
  </property>
  <property fmtid="{D5CDD505-2E9C-101B-9397-08002B2CF9AE}" pid="27" name="MSIP_Label_5e4b1be8-281e-475d-98b0-21c3457e5a46_Method">
    <vt:lpwstr>Standard</vt:lpwstr>
  </property>
  <property fmtid="{D5CDD505-2E9C-101B-9397-08002B2CF9AE}" pid="28" name="MSIP_Label_5e4b1be8-281e-475d-98b0-21c3457e5a46_Name">
    <vt:lpwstr>Public</vt:lpwstr>
  </property>
  <property fmtid="{D5CDD505-2E9C-101B-9397-08002B2CF9AE}" pid="29" name="MSIP_Label_5e4b1be8-281e-475d-98b0-21c3457e5a46_SiteId">
    <vt:lpwstr>8b3dd73e-4e72-4679-b191-56da1588712b</vt:lpwstr>
  </property>
  <property fmtid="{D5CDD505-2E9C-101B-9397-08002B2CF9AE}" pid="30" name="MSIP_Label_5e4b1be8-281e-475d-98b0-21c3457e5a46_ActionId">
    <vt:lpwstr>edfa8ccc-b1fb-432c-a91b-e129b3ae0d2b</vt:lpwstr>
  </property>
  <property fmtid="{D5CDD505-2E9C-101B-9397-08002B2CF9AE}" pid="31" name="MSIP_Label_5e4b1be8-281e-475d-98b0-21c3457e5a46_ContentBits">
    <vt:lpwstr>0</vt:lpwstr>
  </property>
  <property fmtid="{D5CDD505-2E9C-101B-9397-08002B2CF9AE}" pid="32" name="MSIP_Label_5e4b1be8-281e-475d-98b0-21c3457e5a46_Tag">
    <vt:lpwstr>50, 3, 0, 1</vt:lpwstr>
  </property>
</Properties>
</file>