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宋体" w:cs="Times New Roman"/>
          <w:color w:val="auto"/>
          <w:sz w:val="21"/>
          <w:szCs w:val="21"/>
          <w:lang w:eastAsia="zh-CN"/>
        </w:rPr>
      </w:pPr>
      <w:bookmarkStart w:id="0" w:name="_GoBack"/>
      <w:r>
        <w:rPr>
          <w:rFonts w:ascii="Times New Roman" w:hAnsi="Times New Roman" w:cs="Times New Roman"/>
          <w:color w:val="auto"/>
          <w:sz w:val="21"/>
          <w:szCs w:val="21"/>
        </w:rPr>
        <w:t>Appendix 1</w:t>
      </w:r>
      <w:r>
        <w:rPr>
          <w:rFonts w:ascii="Times New Roman" w:hAnsi="Times New Roman" w:eastAsia="宋体" w:cs="Times New Roman"/>
          <w:color w:val="auto"/>
          <w:sz w:val="21"/>
          <w:szCs w:val="21"/>
          <w:lang w:eastAsia="zh-CN"/>
        </w:rPr>
        <w:t xml:space="preserve">. </w:t>
      </w:r>
      <w:r>
        <w:rPr>
          <w:rFonts w:hint="eastAsia" w:ascii="Times New Roman" w:hAnsi="Times New Roman" w:eastAsia="宋体" w:cs="Times New Roman"/>
          <w:color w:val="auto"/>
          <w:sz w:val="21"/>
          <w:szCs w:val="21"/>
          <w:lang w:eastAsia="zh-CN"/>
        </w:rPr>
        <w:t>B</w:t>
      </w:r>
      <w:r>
        <w:rPr>
          <w:rFonts w:ascii="Times New Roman" w:hAnsi="Times New Roman" w:cs="Times New Roman"/>
          <w:color w:val="auto"/>
          <w:sz w:val="21"/>
          <w:szCs w:val="21"/>
        </w:rPr>
        <w:t>aseline indexes</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6"/>
        <w:gridCol w:w="1365"/>
        <w:gridCol w:w="1756"/>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086" w:type="dxa"/>
            <w:shd w:val="clear" w:color="auto" w:fill="auto"/>
            <w:tcMar>
              <w:top w:w="0" w:type="dxa"/>
              <w:left w:w="0" w:type="dxa"/>
              <w:bottom w:w="0" w:type="dxa"/>
              <w:right w:w="0" w:type="dxa"/>
            </w:tcMar>
            <w:vAlign w:val="center"/>
          </w:tcPr>
          <w:p>
            <w:pPr>
              <w:pBdr>
                <w:top w:val="none" w:color="000000" w:sz="0" w:space="0"/>
                <w:left w:val="none" w:color="000000" w:sz="0" w:space="0"/>
                <w:bottom w:val="none" w:color="000000" w:sz="0" w:space="0"/>
                <w:right w:val="none" w:color="000000" w:sz="0" w:space="0"/>
              </w:pBdr>
              <w:spacing w:before="40" w:after="4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 xml:space="preserve"> </w:t>
            </w:r>
          </w:p>
        </w:tc>
        <w:tc>
          <w:tcPr>
            <w:tcW w:w="1365" w:type="dxa"/>
            <w:shd w:val="clear" w:color="auto" w:fill="auto"/>
            <w:tcMar>
              <w:top w:w="0" w:type="dxa"/>
              <w:left w:w="0" w:type="dxa"/>
              <w:bottom w:w="0" w:type="dxa"/>
              <w:right w:w="0" w:type="dxa"/>
            </w:tcMar>
            <w:vAlign w:val="center"/>
          </w:tcPr>
          <w:p>
            <w:pPr>
              <w:pBdr>
                <w:top w:val="none" w:color="000000" w:sz="0" w:space="0"/>
                <w:left w:val="none" w:color="000000" w:sz="0" w:space="0"/>
                <w:bottom w:val="none" w:color="000000" w:sz="0" w:space="0"/>
                <w:right w:val="none" w:color="000000" w:sz="0" w:space="0"/>
              </w:pBdr>
              <w:spacing w:before="40" w:after="4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All data set</w:t>
            </w:r>
          </w:p>
        </w:tc>
        <w:tc>
          <w:tcPr>
            <w:tcW w:w="1756" w:type="dxa"/>
            <w:shd w:val="clear" w:color="auto" w:fill="auto"/>
            <w:tcMar>
              <w:top w:w="0" w:type="dxa"/>
              <w:left w:w="0" w:type="dxa"/>
              <w:bottom w:w="0" w:type="dxa"/>
              <w:right w:w="0" w:type="dxa"/>
            </w:tcMar>
            <w:vAlign w:val="center"/>
          </w:tcPr>
          <w:p>
            <w:pPr>
              <w:pBdr>
                <w:top w:val="none" w:color="000000" w:sz="0" w:space="0"/>
                <w:left w:val="none" w:color="000000" w:sz="0" w:space="0"/>
                <w:bottom w:val="none" w:color="000000" w:sz="0" w:space="0"/>
                <w:right w:val="none" w:color="000000" w:sz="0" w:space="0"/>
              </w:pBdr>
              <w:spacing w:before="40" w:after="4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Train data set</w:t>
            </w:r>
          </w:p>
        </w:tc>
        <w:tc>
          <w:tcPr>
            <w:tcW w:w="1682" w:type="dxa"/>
            <w:shd w:val="clear" w:color="auto" w:fill="auto"/>
            <w:tcMar>
              <w:top w:w="0" w:type="dxa"/>
              <w:left w:w="0" w:type="dxa"/>
              <w:bottom w:w="0" w:type="dxa"/>
              <w:right w:w="0" w:type="dxa"/>
            </w:tcMar>
            <w:vAlign w:val="center"/>
          </w:tcPr>
          <w:p>
            <w:pPr>
              <w:pBdr>
                <w:top w:val="none" w:color="000000" w:sz="0" w:space="0"/>
                <w:left w:val="none" w:color="000000" w:sz="0" w:space="0"/>
                <w:bottom w:val="none" w:color="000000" w:sz="0" w:space="0"/>
                <w:right w:val="none" w:color="000000" w:sz="0" w:space="0"/>
              </w:pBdr>
              <w:spacing w:before="40" w:after="4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Test data set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086" w:type="dxa"/>
            <w:shd w:val="clear" w:color="auto" w:fill="auto"/>
            <w:tcMar>
              <w:top w:w="0" w:type="dxa"/>
              <w:left w:w="0" w:type="dxa"/>
              <w:bottom w:w="0" w:type="dxa"/>
              <w:right w:w="0" w:type="dxa"/>
            </w:tcMar>
            <w:vAlign w:val="center"/>
          </w:tcPr>
          <w:p>
            <w:pPr>
              <w:pBdr>
                <w:top w:val="none" w:color="000000" w:sz="0" w:space="0"/>
                <w:left w:val="none" w:color="000000" w:sz="0" w:space="0"/>
                <w:bottom w:val="none" w:color="000000" w:sz="0" w:space="0"/>
                <w:right w:val="none" w:color="000000" w:sz="0" w:space="0"/>
              </w:pBdr>
              <w:spacing w:before="40" w:after="4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Characteristic</w:t>
            </w:r>
          </w:p>
        </w:tc>
        <w:tc>
          <w:tcPr>
            <w:tcW w:w="1365" w:type="dxa"/>
            <w:shd w:val="clear" w:color="auto" w:fill="auto"/>
            <w:tcMar>
              <w:top w:w="0" w:type="dxa"/>
              <w:left w:w="0" w:type="dxa"/>
              <w:bottom w:w="0" w:type="dxa"/>
              <w:right w:w="0" w:type="dxa"/>
            </w:tcMar>
            <w:vAlign w:val="center"/>
          </w:tcPr>
          <w:p>
            <w:pPr>
              <w:pBdr>
                <w:top w:val="none" w:color="000000" w:sz="0" w:space="0"/>
                <w:left w:val="none" w:color="000000" w:sz="0" w:space="0"/>
                <w:bottom w:val="none" w:color="000000" w:sz="0" w:space="0"/>
                <w:right w:val="none" w:color="000000" w:sz="0" w:space="0"/>
              </w:pBdr>
              <w:spacing w:before="40" w:after="4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N = 750</w:t>
            </w:r>
            <w:r>
              <w:rPr>
                <w:rFonts w:ascii="Times New Roman" w:hAnsi="Times New Roman" w:eastAsia="Arial" w:cs="Times New Roman"/>
                <w:color w:val="auto"/>
                <w:sz w:val="21"/>
                <w:szCs w:val="21"/>
                <w:vertAlign w:val="superscript"/>
              </w:rPr>
              <w:t>1</w:t>
            </w:r>
          </w:p>
        </w:tc>
        <w:tc>
          <w:tcPr>
            <w:tcW w:w="1756" w:type="dxa"/>
            <w:shd w:val="clear" w:color="auto" w:fill="auto"/>
            <w:tcMar>
              <w:top w:w="0" w:type="dxa"/>
              <w:left w:w="0" w:type="dxa"/>
              <w:bottom w:w="0" w:type="dxa"/>
              <w:right w:w="0" w:type="dxa"/>
            </w:tcMar>
            <w:vAlign w:val="center"/>
          </w:tcPr>
          <w:p>
            <w:pPr>
              <w:pBdr>
                <w:top w:val="none" w:color="000000" w:sz="0" w:space="0"/>
                <w:left w:val="none" w:color="000000" w:sz="0" w:space="0"/>
                <w:bottom w:val="none" w:color="000000" w:sz="0" w:space="0"/>
                <w:right w:val="none" w:color="000000" w:sz="0" w:space="0"/>
              </w:pBdr>
              <w:spacing w:before="40" w:after="4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N = 527</w:t>
            </w:r>
            <w:r>
              <w:rPr>
                <w:rFonts w:ascii="Times New Roman" w:hAnsi="Times New Roman" w:eastAsia="Arial" w:cs="Times New Roman"/>
                <w:color w:val="auto"/>
                <w:sz w:val="21"/>
                <w:szCs w:val="21"/>
                <w:vertAlign w:val="superscript"/>
              </w:rPr>
              <w:t>1</w:t>
            </w:r>
          </w:p>
        </w:tc>
        <w:tc>
          <w:tcPr>
            <w:tcW w:w="1682" w:type="dxa"/>
            <w:shd w:val="clear" w:color="auto" w:fill="auto"/>
            <w:tcMar>
              <w:top w:w="0" w:type="dxa"/>
              <w:left w:w="0" w:type="dxa"/>
              <w:bottom w:w="0" w:type="dxa"/>
              <w:right w:w="0" w:type="dxa"/>
            </w:tcMar>
            <w:vAlign w:val="center"/>
          </w:tcPr>
          <w:p>
            <w:pPr>
              <w:pBdr>
                <w:top w:val="none" w:color="000000" w:sz="0" w:space="0"/>
                <w:left w:val="none" w:color="000000" w:sz="0" w:space="0"/>
                <w:bottom w:val="none" w:color="000000" w:sz="0" w:space="0"/>
                <w:right w:val="none" w:color="000000" w:sz="0" w:space="0"/>
              </w:pBdr>
              <w:spacing w:before="40" w:after="4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N = 223</w:t>
            </w:r>
            <w:r>
              <w:rPr>
                <w:rFonts w:ascii="Times New Roman" w:hAnsi="Times New Roman" w:eastAsia="Arial" w:cs="Times New Roman"/>
                <w:color w:val="auto"/>
                <w:sz w:val="21"/>
                <w:szCs w:val="21"/>
                <w:vertAlign w:val="superscript"/>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Age</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62.9(7.6)</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62.6(7.9)</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63.4(6.7)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Income</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Low</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394(53%)</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261(50%)</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133(60%)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High</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356(47%)</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266(50%)</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90(40%)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Operation</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MRM</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420(56%)</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299(57%)</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121(54%)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BCS</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330(44%)</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228(43%)</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102(46%)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TNM</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I</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304(41%)</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205(39%)</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99(44%)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II-III</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446(59%)</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322(61%)</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124(56%)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Marital</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No spouse</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130(17%)</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lang w:eastAsia="zh-CN"/>
              </w:rPr>
              <w:t>88(17%)</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lang w:eastAsia="zh-CN"/>
              </w:rPr>
              <w:t>42(19%)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Married</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620(83%)</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439(83%)</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181(81%)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Family</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Normal</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128(17%)</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lang w:eastAsia="zh-CN"/>
              </w:rPr>
              <w:t>95(18%)</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lang w:eastAsia="zh-CN"/>
              </w:rPr>
              <w:t>33(15%)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Good</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622(83%)</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432(82%)</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190(85%)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Education</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Below high school</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334(45%)</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213(40%)</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121(54%)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High School and above</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416(55%)</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314(60%)</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102(46%)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Religion</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96(13%)</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73(14%)</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23(10%)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SAS</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38.8(9.0)</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38.9(9.1)</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38.6(8.9)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SDS</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43.7(7.9)</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43.9(7.7)</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43.3(8.3)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AIS</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4.4(1.5)</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4.5(1.5)</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Events</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No events</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581(77%)</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lang w:eastAsia="zh-CN"/>
              </w:rPr>
              <w:t>401(76%)</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eastAsia="宋体" w:cs="Times New Roman"/>
                <w:color w:val="auto"/>
                <w:sz w:val="21"/>
                <w:szCs w:val="21"/>
                <w:lang w:eastAsia="zh-CN"/>
              </w:rPr>
            </w:pPr>
            <w:r>
              <w:rPr>
                <w:rFonts w:ascii="Times New Roman" w:hAnsi="Times New Roman" w:eastAsia="宋体" w:cs="Times New Roman"/>
                <w:color w:val="auto"/>
                <w:sz w:val="21"/>
                <w:szCs w:val="21"/>
                <w:lang w:eastAsia="zh-CN"/>
              </w:rPr>
              <w:t>180(81%)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300" w:right="100"/>
              <w:rPr>
                <w:rFonts w:ascii="Times New Roman" w:hAnsi="Times New Roman" w:cs="Times New Roman"/>
                <w:color w:val="auto"/>
                <w:sz w:val="21"/>
                <w:szCs w:val="21"/>
              </w:rPr>
            </w:pPr>
            <w:r>
              <w:rPr>
                <w:rFonts w:ascii="Times New Roman" w:hAnsi="Times New Roman" w:eastAsia="Arial" w:cs="Times New Roman"/>
                <w:color w:val="auto"/>
                <w:sz w:val="21"/>
                <w:szCs w:val="21"/>
              </w:rPr>
              <w:t>Events</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169(23%)</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126(24%)</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ascii="Times New Roman" w:hAnsi="Times New Roman" w:eastAsia="Arial" w:cs="Times New Roman"/>
                <w:color w:val="auto"/>
                <w:sz w:val="21"/>
                <w:szCs w:val="21"/>
              </w:rPr>
              <w:t>43(19%)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宋体" w:cs="Times New Roman"/>
                <w:color w:val="auto"/>
                <w:sz w:val="21"/>
                <w:szCs w:val="21"/>
                <w:lang w:eastAsia="zh-CN"/>
              </w:rPr>
            </w:pPr>
            <w:r>
              <w:rPr>
                <w:rFonts w:ascii="Times New Roman" w:hAnsi="Times New Roman" w:eastAsia="Arial" w:cs="Times New Roman"/>
                <w:color w:val="auto"/>
                <w:sz w:val="21"/>
                <w:szCs w:val="21"/>
              </w:rPr>
              <w:t>Follow-up time</w:t>
            </w:r>
            <w:r>
              <w:rPr>
                <w:rFonts w:hint="eastAsia" w:ascii="Times New Roman" w:hAnsi="Times New Roman" w:eastAsia="宋体" w:cs="Times New Roman"/>
                <w:color w:val="auto"/>
                <w:sz w:val="21"/>
                <w:szCs w:val="21"/>
                <w:lang w:eastAsia="zh-CN"/>
              </w:rPr>
              <w:t xml:space="preserve"> </w:t>
            </w:r>
            <w:r>
              <w:rPr>
                <w:rFonts w:ascii="Times New Roman" w:hAnsi="Times New Roman" w:eastAsia="Arial" w:cs="Times New Roman"/>
                <w:b/>
                <w:color w:val="auto"/>
              </w:rPr>
              <w:t xml:space="preserve"> </w:t>
            </w:r>
            <w:r>
              <w:rPr>
                <w:rFonts w:ascii="Times New Roman" w:hAnsi="Times New Roman" w:eastAsia="Arial" w:cs="Times New Roman"/>
                <w:b/>
                <w:bCs/>
                <w:color w:val="auto"/>
              </w:rPr>
              <w:t>Median</w:t>
            </w:r>
            <w:r>
              <w:rPr>
                <w:rFonts w:ascii="Times New Roman" w:hAnsi="Times New Roman" w:eastAsia="Arial" w:cs="Times New Roman"/>
                <w:color w:val="auto"/>
              </w:rPr>
              <w:t>(</w:t>
            </w:r>
            <w:r>
              <w:rPr>
                <w:rFonts w:ascii="Times New Roman" w:hAnsi="Times New Roman" w:eastAsia="Arial" w:cs="Times New Roman"/>
                <w:b/>
                <w:bCs/>
                <w:color w:val="auto"/>
              </w:rPr>
              <w:t>IQR</w:t>
            </w:r>
            <w:r>
              <w:rPr>
                <w:rFonts w:ascii="Times New Roman" w:hAnsi="Times New Roman" w:eastAsia="Arial" w:cs="Times New Roman"/>
                <w:color w:val="auto"/>
              </w:rPr>
              <w:t>)</w:t>
            </w:r>
          </w:p>
        </w:tc>
        <w:tc>
          <w:tcPr>
            <w:tcW w:w="1365"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hint="eastAsia" w:ascii="Times New Roman" w:hAnsi="Times New Roman" w:eastAsia="宋体" w:cs="Times New Roman"/>
                <w:color w:val="auto"/>
                <w:lang w:eastAsia="zh-CN"/>
              </w:rPr>
              <w:t>10(6,17)</w:t>
            </w:r>
          </w:p>
        </w:tc>
        <w:tc>
          <w:tcPr>
            <w:tcW w:w="1756"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hint="eastAsia" w:ascii="Times New Roman" w:hAnsi="Times New Roman" w:eastAsia="宋体" w:cs="Times New Roman"/>
                <w:color w:val="auto"/>
                <w:lang w:eastAsia="zh-CN"/>
              </w:rPr>
              <w:t>10(6,17)</w:t>
            </w:r>
          </w:p>
        </w:tc>
        <w:tc>
          <w:tcPr>
            <w:tcW w:w="1682" w:type="dxa"/>
            <w:shd w:val="clear" w:color="auto" w:fill="auto"/>
            <w:tcMar>
              <w:top w:w="0" w:type="dxa"/>
              <w:left w:w="0" w:type="dxa"/>
              <w:bottom w:w="0" w:type="dxa"/>
              <w:right w:w="0" w:type="dxa"/>
            </w:tcMar>
          </w:tcPr>
          <w:p>
            <w:pPr>
              <w:pBdr>
                <w:top w:val="none" w:color="000000" w:sz="0" w:space="0"/>
                <w:left w:val="none" w:color="000000" w:sz="0" w:space="0"/>
                <w:bottom w:val="none" w:color="000000" w:sz="0" w:space="0"/>
                <w:right w:val="none" w:color="000000" w:sz="0" w:space="0"/>
              </w:pBdr>
              <w:spacing w:before="100" w:after="100"/>
              <w:ind w:left="100" w:right="100"/>
              <w:jc w:val="center"/>
              <w:rPr>
                <w:rFonts w:ascii="Times New Roman" w:hAnsi="Times New Roman" w:cs="Times New Roman"/>
                <w:color w:val="auto"/>
                <w:sz w:val="21"/>
                <w:szCs w:val="21"/>
              </w:rPr>
            </w:pPr>
            <w:r>
              <w:rPr>
                <w:rFonts w:hint="eastAsia" w:ascii="Times New Roman" w:hAnsi="Times New Roman" w:eastAsia="宋体" w:cs="Times New Roman"/>
                <w:color w:val="auto"/>
                <w:lang w:eastAsia="zh-CN"/>
              </w:rPr>
              <w:t>11(7,17)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9" w:type="dxa"/>
            <w:gridSpan w:val="4"/>
            <w:shd w:val="clear" w:color="auto" w:fill="auto"/>
            <w:tcMar>
              <w:top w:w="0" w:type="dxa"/>
              <w:left w:w="0" w:type="dxa"/>
              <w:bottom w:w="0" w:type="dxa"/>
              <w:right w:w="0" w:type="dxa"/>
            </w:tcMar>
            <w:vAlign w:val="center"/>
          </w:tcPr>
          <w:p>
            <w:pPr>
              <w:pBdr>
                <w:top w:val="none" w:color="000000" w:sz="0" w:space="0"/>
                <w:left w:val="none" w:color="000000" w:sz="0" w:space="0"/>
                <w:bottom w:val="none" w:color="000000" w:sz="0" w:space="0"/>
                <w:right w:val="none" w:color="000000" w:sz="0" w:space="0"/>
              </w:pBdr>
              <w:spacing w:before="100" w:after="100"/>
              <w:ind w:left="100" w:right="100"/>
              <w:rPr>
                <w:rFonts w:ascii="Times New Roman" w:hAnsi="Times New Roman" w:eastAsia="宋体" w:cs="Times New Roman"/>
                <w:color w:val="auto"/>
                <w:sz w:val="21"/>
                <w:szCs w:val="21"/>
                <w:lang w:eastAsia="zh-CN"/>
              </w:rPr>
            </w:pPr>
            <w:r>
              <w:rPr>
                <w:rFonts w:ascii="Times New Roman" w:hAnsi="Times New Roman" w:eastAsia="Arial" w:cs="Times New Roman"/>
                <w:color w:val="auto"/>
                <w:sz w:val="21"/>
                <w:szCs w:val="21"/>
                <w:vertAlign w:val="superscript"/>
              </w:rPr>
              <w:t>1</w:t>
            </w:r>
            <w:r>
              <w:rPr>
                <w:rFonts w:ascii="Times New Roman" w:hAnsi="Times New Roman" w:eastAsia="Arial" w:cs="Times New Roman"/>
                <w:color w:val="auto"/>
                <w:sz w:val="21"/>
                <w:szCs w:val="21"/>
              </w:rPr>
              <w:t>Mean(SD); n(%)</w:t>
            </w:r>
            <w:r>
              <w:rPr>
                <w:rFonts w:hint="eastAsia" w:ascii="Times New Roman" w:hAnsi="Times New Roman" w:eastAsia="宋体" w:cs="Times New Roman"/>
                <w:color w:val="auto"/>
                <w:sz w:val="21"/>
                <w:szCs w:val="21"/>
                <w:lang w:eastAsia="zh-CN"/>
              </w:rPr>
              <w:t>；</w:t>
            </w:r>
            <w:r>
              <w:rPr>
                <w:rFonts w:ascii="Times New Roman" w:hAnsi="Times New Roman" w:eastAsia="Arial" w:cs="Times New Roman"/>
                <w:b/>
                <w:bCs/>
                <w:color w:val="auto"/>
              </w:rPr>
              <w:t>Median</w:t>
            </w:r>
            <w:r>
              <w:rPr>
                <w:rFonts w:ascii="Times New Roman" w:hAnsi="Times New Roman" w:eastAsia="Arial" w:cs="Times New Roman"/>
                <w:color w:val="auto"/>
              </w:rPr>
              <w:t>(</w:t>
            </w:r>
            <w:r>
              <w:rPr>
                <w:rFonts w:ascii="Times New Roman" w:hAnsi="Times New Roman" w:eastAsia="Arial" w:cs="Times New Roman"/>
                <w:b/>
                <w:bCs/>
                <w:color w:val="auto"/>
              </w:rPr>
              <w:t>IQR</w:t>
            </w:r>
            <w:r>
              <w:rPr>
                <w:rFonts w:ascii="Times New Roman" w:hAnsi="Times New Roman" w:eastAsia="Arial" w:cs="Times New Roman"/>
                <w:color w:val="auto"/>
              </w:rPr>
              <w:t>)</w:t>
            </w:r>
          </w:p>
        </w:tc>
      </w:tr>
    </w:tbl>
    <w:p>
      <w:pPr>
        <w:keepNext w:val="0"/>
        <w:keepLines w:val="0"/>
        <w:pageBreakBefore w:val="0"/>
        <w:widowControl w:val="0"/>
        <w:kinsoku/>
        <w:wordWrap/>
        <w:overflowPunct/>
        <w:topLinePunct w:val="0"/>
        <w:autoSpaceDE/>
        <w:autoSpaceDN/>
        <w:bidi w:val="0"/>
        <w:adjustRightInd w:val="0"/>
        <w:snapToGrid w:val="0"/>
        <w:spacing w:line="480" w:lineRule="auto"/>
        <w:ind w:left="0"/>
        <w:jc w:val="both"/>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Appendix 2: </w:t>
      </w:r>
      <w:r>
        <w:rPr>
          <w:rFonts w:hint="default" w:ascii="Times New Roman" w:hAnsi="Times New Roman" w:eastAsia="宋体" w:cs="Times New Roman"/>
          <w:b w:val="0"/>
          <w:bCs w:val="0"/>
          <w:color w:val="auto"/>
          <w:kern w:val="2"/>
          <w:sz w:val="24"/>
          <w:szCs w:val="24"/>
          <w:lang w:val="en-US" w:eastAsia="zh-CN" w:bidi="ar-SA"/>
        </w:rPr>
        <w:t xml:space="preserve">(A-F) </w:t>
      </w:r>
      <w:r>
        <w:rPr>
          <w:rFonts w:hint="default" w:ascii="Times New Roman" w:hAnsi="Times New Roman" w:eastAsia="宋体" w:cs="Times New Roman"/>
          <w:b w:val="0"/>
          <w:bCs w:val="0"/>
          <w:color w:val="auto"/>
          <w:kern w:val="2"/>
          <w:sz w:val="24"/>
          <w:szCs w:val="24"/>
          <w:lang w:val="en-US" w:eastAsia="zh-CN" w:bidi="ar-SA"/>
        </w:rPr>
        <w:t xml:space="preserve">Relationship between SAS, SDS, and AIS scores in the training dataset and validation dataset and outcome variables. (A, B, C) </w:t>
      </w:r>
      <w:r>
        <w:rPr>
          <w:rFonts w:hint="default" w:ascii="Times New Roman" w:hAnsi="Times New Roman" w:eastAsia="宋体" w:cs="Times New Roman"/>
          <w:b w:val="0"/>
          <w:bCs w:val="0"/>
          <w:color w:val="auto"/>
          <w:kern w:val="2"/>
          <w:sz w:val="24"/>
          <w:szCs w:val="24"/>
          <w:lang w:val="en-US" w:eastAsia="zh-CN" w:bidi="ar-SA"/>
        </w:rPr>
        <w:t xml:space="preserve">As scores increase in the training set, the risk of disease progression increases for SAS, SDS, and AIS. (D, E, F) As scores increase in the validation set, the risk of disease progression increases for SAS, SDS, and AIS. (G-N) </w:t>
      </w:r>
      <w:r>
        <w:rPr>
          <w:rFonts w:hint="default" w:ascii="Times New Roman" w:hAnsi="Times New Roman" w:eastAsia="宋体" w:cs="Times New Roman"/>
          <w:b w:val="0"/>
          <w:bCs w:val="0"/>
          <w:color w:val="auto"/>
          <w:kern w:val="2"/>
          <w:sz w:val="24"/>
          <w:szCs w:val="24"/>
          <w:lang w:val="en-US" w:eastAsia="zh-CN" w:bidi="ar-SA"/>
        </w:rPr>
        <w:t xml:space="preserve">Time-dependent ROC curves for different models in the training and validation datasets. </w:t>
      </w:r>
      <w:r>
        <w:rPr>
          <w:rFonts w:hint="default" w:ascii="Times New Roman" w:hAnsi="Times New Roman" w:eastAsia="宋体" w:cs="Times New Roman"/>
          <w:b w:val="0"/>
          <w:bCs w:val="0"/>
          <w:color w:val="auto"/>
          <w:kern w:val="2"/>
          <w:sz w:val="24"/>
          <w:szCs w:val="24"/>
          <w:lang w:val="en-US" w:eastAsia="zh-CN" w:bidi="ar-SA"/>
        </w:rPr>
        <w:t>(G, H, I, J) Time-dependent ROC curves for model 1, model 2, model 3, and model 4 in the training set. (K, L, M, N) Time-dependent ROC curves for model 1, model 2, model 3, and model 4 in the validation set.</w:t>
      </w:r>
    </w:p>
    <w:p>
      <w:pP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drawing>
          <wp:inline distT="0" distB="0" distL="114300" distR="114300">
            <wp:extent cx="5303520" cy="7023735"/>
            <wp:effectExtent l="0" t="0" r="11430" b="5715"/>
            <wp:docPr id="1" name="图片 1" descr="Appendix 2_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ppendix 2_revised"/>
                    <pic:cNvPicPr>
                      <a:picLocks noChangeAspect="1"/>
                    </pic:cNvPicPr>
                  </pic:nvPicPr>
                  <pic:blipFill>
                    <a:blip r:embed="rId4"/>
                    <a:stretch>
                      <a:fillRect/>
                    </a:stretch>
                  </pic:blipFill>
                  <pic:spPr>
                    <a:xfrm>
                      <a:off x="0" y="0"/>
                      <a:ext cx="5303520" cy="7023735"/>
                    </a:xfrm>
                    <a:prstGeom prst="rect">
                      <a:avLst/>
                    </a:prstGeom>
                  </pic:spPr>
                </pic:pic>
              </a:graphicData>
            </a:graphic>
          </wp:inline>
        </w:drawing>
      </w:r>
    </w:p>
    <w:bookmarkEnd w:id="0"/>
    <w:sectPr>
      <w:type w:val="continuous"/>
      <w:pgSz w:w="11952" w:h="16848"/>
      <w:pgMar w:top="1440" w:right="1440" w:bottom="1440" w:left="1440" w:header="720" w:footer="720" w:gutter="72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Lucida Grande">
    <w:altName w:val="Courier New"/>
    <w:panose1 w:val="020B0600040502020204"/>
    <w:charset w:val="00"/>
    <w:family w:val="swiss"/>
    <w:pitch w:val="default"/>
    <w:sig w:usb0="00000000" w:usb1="00000000" w:usb2="00000000" w:usb3="00000000" w:csb0="000001B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925FD"/>
    <w:multiLevelType w:val="multilevel"/>
    <w:tmpl w:val="07E925FD"/>
    <w:lvl w:ilvl="0" w:tentative="0">
      <w:start w:val="1"/>
      <w:numFmt w:val="decimal"/>
      <w:pStyle w:val="2"/>
      <w:lvlText w:val="%1."/>
      <w:lvlJc w:val="left"/>
      <w:pPr>
        <w:ind w:left="360" w:hanging="360"/>
      </w:pPr>
    </w:lvl>
    <w:lvl w:ilvl="1" w:tentative="0">
      <w:start w:val="1"/>
      <w:numFmt w:val="decimal"/>
      <w:pStyle w:val="3"/>
      <w:lvlText w:val="%1.%2."/>
      <w:lvlJc w:val="left"/>
      <w:pPr>
        <w:ind w:left="792" w:hanging="432"/>
      </w:pPr>
    </w:lvl>
    <w:lvl w:ilvl="2" w:tentative="0">
      <w:start w:val="1"/>
      <w:numFmt w:val="decimal"/>
      <w:pStyle w:val="4"/>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5YmYxZWVkNThmY2JiZGFiNDkzNjU0NWExMjM4MDUifQ=="/>
    <w:docVar w:name="KY_MEDREF_DOCUID" w:val="{FE537468-DD57-4F34-912E-5E44E1867E4A}"/>
    <w:docVar w:name="KY_MEDREF_VERSION" w:val="3"/>
  </w:docVars>
  <w:rsids>
    <w:rsidRoot w:val="00B4379D"/>
    <w:rsid w:val="00036527"/>
    <w:rsid w:val="00073835"/>
    <w:rsid w:val="001379FE"/>
    <w:rsid w:val="001C0A13"/>
    <w:rsid w:val="001D75AB"/>
    <w:rsid w:val="0035500D"/>
    <w:rsid w:val="00362E65"/>
    <w:rsid w:val="004158F9"/>
    <w:rsid w:val="00447180"/>
    <w:rsid w:val="00457CF1"/>
    <w:rsid w:val="005F64AB"/>
    <w:rsid w:val="00747CCE"/>
    <w:rsid w:val="007B3E96"/>
    <w:rsid w:val="008F1F48"/>
    <w:rsid w:val="00901463"/>
    <w:rsid w:val="00946CB3"/>
    <w:rsid w:val="00AE18EF"/>
    <w:rsid w:val="00AE1BDD"/>
    <w:rsid w:val="00B3547C"/>
    <w:rsid w:val="00B4379D"/>
    <w:rsid w:val="00C27329"/>
    <w:rsid w:val="00C31EEB"/>
    <w:rsid w:val="00F12158"/>
    <w:rsid w:val="00FB63E7"/>
    <w:rsid w:val="00FC557F"/>
    <w:rsid w:val="183B50A0"/>
    <w:rsid w:val="2C830B7E"/>
    <w:rsid w:val="2F623FA4"/>
    <w:rsid w:val="31CC2C1C"/>
    <w:rsid w:val="35337ABE"/>
    <w:rsid w:val="4AD35028"/>
    <w:rsid w:val="5B457689"/>
    <w:rsid w:val="7C1B386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qFormat="1"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paragraph" w:styleId="2">
    <w:name w:val="heading 1"/>
    <w:basedOn w:val="1"/>
    <w:next w:val="1"/>
    <w:link w:val="15"/>
    <w:autoRedefine/>
    <w:qFormat/>
    <w:uiPriority w:val="9"/>
    <w:pPr>
      <w:keepNext/>
      <w:keepLines/>
      <w:numPr>
        <w:ilvl w:val="0"/>
        <w:numId w:val="1"/>
      </w:numPr>
      <w:pBdr>
        <w:bottom w:val="single" w:color="auto" w:sz="4" w:space="1"/>
      </w:pBdr>
      <w:spacing w:before="480"/>
      <w:outlineLvl w:val="0"/>
    </w:pPr>
    <w:rPr>
      <w:rFonts w:asciiTheme="majorHAnsi" w:hAnsiTheme="majorHAnsi" w:eastAsiaTheme="majorEastAsia" w:cstheme="majorBidi"/>
      <w:b/>
      <w:bCs/>
      <w:sz w:val="32"/>
      <w:szCs w:val="32"/>
    </w:rPr>
  </w:style>
  <w:style w:type="paragraph" w:styleId="3">
    <w:name w:val="heading 2"/>
    <w:basedOn w:val="1"/>
    <w:next w:val="1"/>
    <w:link w:val="16"/>
    <w:autoRedefine/>
    <w:semiHidden/>
    <w:unhideWhenUsed/>
    <w:qFormat/>
    <w:uiPriority w:val="9"/>
    <w:pPr>
      <w:keepNext/>
      <w:keepLines/>
      <w:numPr>
        <w:ilvl w:val="1"/>
        <w:numId w:val="1"/>
      </w:numPr>
      <w:spacing w:before="200"/>
      <w:outlineLvl w:val="1"/>
    </w:pPr>
    <w:rPr>
      <w:rFonts w:asciiTheme="majorHAnsi" w:hAnsiTheme="majorHAnsi" w:eastAsiaTheme="majorEastAsia" w:cstheme="majorBidi"/>
      <w:b/>
      <w:bCs/>
      <w:sz w:val="26"/>
      <w:szCs w:val="26"/>
    </w:rPr>
  </w:style>
  <w:style w:type="paragraph" w:styleId="4">
    <w:name w:val="heading 3"/>
    <w:basedOn w:val="1"/>
    <w:next w:val="1"/>
    <w:link w:val="17"/>
    <w:semiHidden/>
    <w:unhideWhenUsed/>
    <w:qFormat/>
    <w:uiPriority w:val="9"/>
    <w:pPr>
      <w:keepNext/>
      <w:keepLines/>
      <w:numPr>
        <w:ilvl w:val="2"/>
        <w:numId w:val="1"/>
      </w:numPr>
      <w:spacing w:before="200"/>
      <w:outlineLvl w:val="2"/>
    </w:pPr>
    <w:rPr>
      <w:rFonts w:asciiTheme="majorHAnsi" w:hAnsiTheme="majorHAnsi" w:eastAsiaTheme="majorEastAsia" w:cstheme="majorBidi"/>
      <w:b/>
      <w:bCs/>
    </w:rPr>
  </w:style>
  <w:style w:type="character" w:default="1" w:styleId="11">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5">
    <w:name w:val="Balloon Text"/>
    <w:basedOn w:val="1"/>
    <w:link w:val="20"/>
    <w:autoRedefine/>
    <w:semiHidden/>
    <w:unhideWhenUsed/>
    <w:qFormat/>
    <w:uiPriority w:val="99"/>
    <w:rPr>
      <w:rFonts w:ascii="Lucida Grande" w:hAnsi="Lucida Grande"/>
      <w:sz w:val="18"/>
      <w:szCs w:val="18"/>
    </w:rPr>
  </w:style>
  <w:style w:type="paragraph" w:styleId="6">
    <w:name w:val="toc 1"/>
    <w:basedOn w:val="1"/>
    <w:next w:val="1"/>
    <w:autoRedefine/>
    <w:unhideWhenUsed/>
    <w:qFormat/>
    <w:uiPriority w:val="39"/>
    <w:pPr>
      <w:spacing w:after="100"/>
    </w:pPr>
  </w:style>
  <w:style w:type="paragraph" w:styleId="7">
    <w:name w:val="toc 2"/>
    <w:basedOn w:val="1"/>
    <w:next w:val="1"/>
    <w:autoRedefine/>
    <w:unhideWhenUsed/>
    <w:qFormat/>
    <w:uiPriority w:val="39"/>
    <w:pPr>
      <w:spacing w:after="100"/>
      <w:ind w:left="240"/>
    </w:pPr>
  </w:style>
  <w:style w:type="table" w:styleId="9">
    <w:name w:val="Table Professional"/>
    <w:basedOn w:val="8"/>
    <w:autoRedefine/>
    <w:semiHidden/>
    <w:unhideWhenUsed/>
    <w:qFormat/>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shd w:val="solid" w:color="000000" w:fill="FFFFFF"/>
      </w:tcPr>
    </w:tblStylePr>
  </w:style>
  <w:style w:type="table" w:styleId="10">
    <w:name w:val="Light List Accent 2"/>
    <w:basedOn w:val="8"/>
    <w:autoRedefine/>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character" w:customStyle="1" w:styleId="12">
    <w:name w:val="Strong1"/>
    <w:basedOn w:val="11"/>
    <w:autoRedefine/>
    <w:qFormat/>
    <w:uiPriority w:val="1"/>
    <w:rPr>
      <w:b/>
    </w:rPr>
  </w:style>
  <w:style w:type="paragraph" w:customStyle="1" w:styleId="13">
    <w:name w:val="centered"/>
    <w:basedOn w:val="1"/>
    <w:autoRedefine/>
    <w:qFormat/>
    <w:uiPriority w:val="0"/>
    <w:pPr>
      <w:jc w:val="center"/>
    </w:pPr>
  </w:style>
  <w:style w:type="table" w:customStyle="1" w:styleId="14">
    <w:name w:val="table_template"/>
    <w:basedOn w:val="8"/>
    <w:autoRedefine/>
    <w:qFormat/>
    <w:uiPriority w:val="59"/>
    <w:pPr>
      <w:jc w:val="right"/>
    </w:pPr>
    <w:tblPr>
      <w:jc w:val="center"/>
      <w:tblBorders>
        <w:top w:val="single" w:color="auto" w:sz="8" w:space="0"/>
        <w:bottom w:val="single" w:color="auto" w:sz="8" w:space="0"/>
        <w:insideH w:val="single" w:color="auto" w:sz="8" w:space="0"/>
      </w:tblBorders>
    </w:tblPr>
    <w:trPr>
      <w:jc w:val="center"/>
    </w:trPr>
    <w:tblStylePr w:type="firstRow">
      <w:rPr>
        <w:b/>
      </w:rPr>
      <w:tcPr>
        <w:tcBorders>
          <w:top w:val="nil"/>
          <w:left w:val="nil"/>
          <w:bottom w:val="single" w:color="auto" w:sz="18" w:space="0"/>
          <w:right w:val="nil"/>
          <w:insideH w:val="nil"/>
          <w:insideV w:val="nil"/>
          <w:tl2br w:val="nil"/>
          <w:tr2bl w:val="nil"/>
        </w:tcBorders>
      </w:tcPr>
    </w:tblStylePr>
  </w:style>
  <w:style w:type="character" w:customStyle="1" w:styleId="15">
    <w:name w:val="Heading 1 Char"/>
    <w:basedOn w:val="11"/>
    <w:link w:val="2"/>
    <w:autoRedefine/>
    <w:qFormat/>
    <w:uiPriority w:val="9"/>
    <w:rPr>
      <w:rFonts w:asciiTheme="majorHAnsi" w:hAnsiTheme="majorHAnsi" w:eastAsiaTheme="majorEastAsia" w:cstheme="majorBidi"/>
      <w:b/>
      <w:bCs/>
      <w:sz w:val="32"/>
      <w:szCs w:val="32"/>
    </w:rPr>
  </w:style>
  <w:style w:type="character" w:customStyle="1" w:styleId="16">
    <w:name w:val="Heading 2 Char"/>
    <w:basedOn w:val="11"/>
    <w:link w:val="3"/>
    <w:autoRedefine/>
    <w:semiHidden/>
    <w:qFormat/>
    <w:uiPriority w:val="9"/>
    <w:rPr>
      <w:rFonts w:asciiTheme="majorHAnsi" w:hAnsiTheme="majorHAnsi" w:eastAsiaTheme="majorEastAsia" w:cstheme="majorBidi"/>
      <w:b/>
      <w:bCs/>
      <w:sz w:val="26"/>
      <w:szCs w:val="26"/>
    </w:rPr>
  </w:style>
  <w:style w:type="character" w:customStyle="1" w:styleId="17">
    <w:name w:val="Heading 3 Char"/>
    <w:basedOn w:val="11"/>
    <w:link w:val="4"/>
    <w:autoRedefine/>
    <w:semiHidden/>
    <w:qFormat/>
    <w:uiPriority w:val="9"/>
    <w:rPr>
      <w:rFonts w:asciiTheme="majorHAnsi" w:hAnsiTheme="majorHAnsi" w:eastAsiaTheme="majorEastAsia" w:cstheme="majorBidi"/>
      <w:b/>
      <w:bCs/>
    </w:rPr>
  </w:style>
  <w:style w:type="paragraph" w:customStyle="1" w:styleId="18">
    <w:name w:val="Image Caption"/>
    <w:basedOn w:val="1"/>
    <w:autoRedefine/>
    <w:qFormat/>
    <w:uiPriority w:val="0"/>
    <w:pPr>
      <w:jc w:val="center"/>
    </w:pPr>
    <w:rPr>
      <w:b/>
      <w:i/>
    </w:rPr>
  </w:style>
  <w:style w:type="paragraph" w:customStyle="1" w:styleId="19">
    <w:name w:val="Table Caption"/>
    <w:basedOn w:val="18"/>
    <w:autoRedefine/>
    <w:qFormat/>
    <w:uiPriority w:val="0"/>
  </w:style>
  <w:style w:type="character" w:customStyle="1" w:styleId="20">
    <w:name w:val="Balloon Text Char"/>
    <w:basedOn w:val="11"/>
    <w:link w:val="5"/>
    <w:autoRedefine/>
    <w:semiHidden/>
    <w:qFormat/>
    <w:uiPriority w:val="99"/>
    <w:rPr>
      <w:rFonts w:ascii="Lucida Grande" w:hAnsi="Lucida Grande"/>
      <w:sz w:val="18"/>
      <w:szCs w:val="18"/>
    </w:rPr>
  </w:style>
  <w:style w:type="character" w:customStyle="1" w:styleId="21">
    <w:name w:val="reference_id"/>
    <w:basedOn w:val="11"/>
    <w:autoRedefine/>
    <w:qFormat/>
    <w:uiPriority w:val="1"/>
    <w:rPr>
      <w:vertAlign w:val="superscript"/>
    </w:rPr>
  </w:style>
  <w:style w:type="paragraph" w:customStyle="1" w:styleId="22">
    <w:name w:val="graphic title"/>
    <w:basedOn w:val="18"/>
    <w:next w:val="1"/>
    <w:autoRedefine/>
    <w:qFormat/>
    <w:uiPriority w:val="0"/>
  </w:style>
  <w:style w:type="paragraph" w:customStyle="1" w:styleId="23">
    <w:name w:val="table title"/>
    <w:basedOn w:val="19"/>
    <w:next w:val="1"/>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3</Pages>
  <Words>240</Words>
  <Characters>1328</Characters>
  <Lines>6</Lines>
  <Paragraphs>1</Paragraphs>
  <TotalTime>0</TotalTime>
  <ScaleCrop>false</ScaleCrop>
  <LinksUpToDate>false</LinksUpToDate>
  <CharactersWithSpaces>1471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2017-02-28T11:18:00Z</dcterms:created>
  <dc:creator>一零点一（沈俊）</dc:creator>
  <cp:lastModifiedBy>user</cp:lastModifiedBy>
  <dcterms:modified xsi:type="dcterms:W3CDTF">2024-05-28T02:27:57Z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8F905D83CB874F43872D23FE808C0724</vt:lpwstr>
  </property>
</Properties>
</file>