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7EEE6" w14:textId="77777777" w:rsidR="00654E8F" w:rsidRPr="001549D3" w:rsidRDefault="00654E8F" w:rsidP="0001436A">
      <w:pPr>
        <w:pStyle w:val="SupplementaryMaterial"/>
        <w:rPr>
          <w:b w:val="0"/>
        </w:rPr>
      </w:pPr>
      <w:r w:rsidRPr="001549D3">
        <w:t>Supplementary Material</w:t>
      </w:r>
    </w:p>
    <w:p w14:paraId="77EE2F2F" w14:textId="77777777" w:rsidR="00E128ED" w:rsidRDefault="00E128ED" w:rsidP="005C2C58">
      <w:pPr>
        <w:rPr>
          <w:rFonts w:cs="Times New Roman"/>
          <w:sz w:val="28"/>
          <w:szCs w:val="28"/>
        </w:rPr>
      </w:pPr>
    </w:p>
    <w:p w14:paraId="3ECBA76E" w14:textId="4025745F" w:rsidR="005C2C58" w:rsidRPr="00CC4EF3" w:rsidRDefault="00FC58E1" w:rsidP="005C2C58">
      <w:pPr>
        <w:rPr>
          <w:rFonts w:cs="Times New Roman"/>
          <w:b/>
          <w:bCs/>
          <w:sz w:val="28"/>
          <w:szCs w:val="28"/>
        </w:rPr>
      </w:pPr>
      <w:r w:rsidRPr="00CC4EF3">
        <w:rPr>
          <w:rFonts w:cs="Times New Roman"/>
          <w:b/>
          <w:bCs/>
          <w:sz w:val="28"/>
          <w:szCs w:val="28"/>
        </w:rPr>
        <w:t>SUPPLEMENTARY METHODS AND RESULTS</w:t>
      </w:r>
    </w:p>
    <w:p w14:paraId="361698F3" w14:textId="0389AC31" w:rsidR="005C2C58" w:rsidRPr="00FC58E1" w:rsidRDefault="005C2C58" w:rsidP="005C2C58">
      <w:pPr>
        <w:rPr>
          <w:rFonts w:cs="Times New Roman"/>
          <w:b/>
          <w:bCs/>
          <w:szCs w:val="24"/>
        </w:rPr>
      </w:pPr>
      <w:r w:rsidRPr="00FC58E1">
        <w:rPr>
          <w:rFonts w:cs="Times New Roman"/>
          <w:b/>
          <w:bCs/>
          <w:szCs w:val="24"/>
        </w:rPr>
        <w:t>Immune-related lncRNA</w:t>
      </w:r>
    </w:p>
    <w:p w14:paraId="5A017CB3" w14:textId="17165615" w:rsidR="005C2C58" w:rsidRPr="00FC58E1" w:rsidRDefault="005C2C58" w:rsidP="005C2C58">
      <w:pPr>
        <w:rPr>
          <w:rFonts w:cs="Times New Roman"/>
          <w:szCs w:val="24"/>
        </w:rPr>
      </w:pPr>
      <w:r w:rsidRPr="00FC58E1">
        <w:rPr>
          <w:rFonts w:cs="Times New Roman"/>
          <w:szCs w:val="24"/>
        </w:rPr>
        <w:t xml:space="preserve">59 breast carcinoma cell lines were selected in the CCLE, and 13 data sets in the GEO database were used, only the normal immune cells were selected. We found that 22 probes </w:t>
      </w:r>
      <w:r w:rsidR="00D96A7A">
        <w:rPr>
          <w:rFonts w:cs="Times New Roman"/>
          <w:szCs w:val="24"/>
        </w:rPr>
        <w:t xml:space="preserve">paired 35 genes </w:t>
      </w:r>
      <w:r w:rsidRPr="00FC58E1">
        <w:rPr>
          <w:rFonts w:cs="Times New Roman"/>
          <w:szCs w:val="24"/>
        </w:rPr>
        <w:t xml:space="preserve">have low expression in breast carcinoma cell lines while high expression in immune cell lines (Supplementary Table </w:t>
      </w:r>
      <w:r w:rsidR="004D60B3">
        <w:rPr>
          <w:rFonts w:cs="Times New Roman"/>
          <w:szCs w:val="24"/>
        </w:rPr>
        <w:t>6</w:t>
      </w:r>
      <w:r w:rsidRPr="00FC58E1">
        <w:rPr>
          <w:rFonts w:cs="Times New Roman"/>
          <w:szCs w:val="24"/>
        </w:rPr>
        <w:t>).</w:t>
      </w:r>
    </w:p>
    <w:p w14:paraId="0619BC8B" w14:textId="539F8FE4" w:rsidR="005C2C58" w:rsidRPr="00FC58E1" w:rsidRDefault="005C2C58" w:rsidP="005C2C58">
      <w:pPr>
        <w:rPr>
          <w:rFonts w:cs="Times New Roman"/>
          <w:b/>
          <w:bCs/>
          <w:szCs w:val="24"/>
        </w:rPr>
      </w:pPr>
      <w:r w:rsidRPr="00FC58E1">
        <w:rPr>
          <w:rFonts w:cs="Times New Roman"/>
          <w:b/>
          <w:bCs/>
          <w:szCs w:val="24"/>
        </w:rPr>
        <w:t>Screening of mRNA and lncRNA in GEO cohort</w:t>
      </w:r>
    </w:p>
    <w:p w14:paraId="7C9EDDD1" w14:textId="577B9A20" w:rsidR="005C2C58" w:rsidRPr="00FC58E1" w:rsidRDefault="005C2C58" w:rsidP="005C2C58">
      <w:pPr>
        <w:rPr>
          <w:rFonts w:cs="Times New Roman"/>
          <w:szCs w:val="24"/>
        </w:rPr>
      </w:pPr>
      <w:r w:rsidRPr="00FC58E1">
        <w:rPr>
          <w:rFonts w:cs="Times New Roman"/>
          <w:szCs w:val="24"/>
        </w:rPr>
        <w:t xml:space="preserve">Univariate Cox regression analysis was used in the training set to screen out 15 mRNAs and 7 lncRNA probes. According to the result of </w:t>
      </w:r>
      <w:r w:rsidR="008C24A5" w:rsidRPr="008C24A5">
        <w:rPr>
          <w:rFonts w:cs="Times New Roman"/>
          <w:szCs w:val="24"/>
        </w:rPr>
        <w:t>Shapiro-Wilk test</w:t>
      </w:r>
      <w:r w:rsidRPr="00FC58E1">
        <w:rPr>
          <w:rFonts w:cs="Times New Roman"/>
          <w:szCs w:val="24"/>
        </w:rPr>
        <w:t xml:space="preserve">, we performed spearman correlation analysis and excluded the </w:t>
      </w:r>
      <w:r w:rsidR="00E40931">
        <w:rPr>
          <w:rFonts w:cs="Times New Roman"/>
          <w:szCs w:val="24"/>
        </w:rPr>
        <w:t>p</w:t>
      </w:r>
      <w:r w:rsidRPr="00FC58E1">
        <w:rPr>
          <w:rFonts w:cs="Times New Roman"/>
          <w:szCs w:val="24"/>
        </w:rPr>
        <w:t>robe '229437 _at’ which is correlated with 5 mRNAs (</w:t>
      </w:r>
      <w:r w:rsidRPr="00FC58E1">
        <w:rPr>
          <w:rFonts w:cs="Times New Roman"/>
          <w:i/>
          <w:iCs/>
          <w:szCs w:val="24"/>
        </w:rPr>
        <w:t>P</w:t>
      </w:r>
      <w:r w:rsidRPr="00FC58E1">
        <w:rPr>
          <w:rFonts w:cs="Times New Roman"/>
          <w:szCs w:val="24"/>
        </w:rPr>
        <w:t xml:space="preserve"> values &lt; 0.05 and rho &gt; 0.5). Furthermore, we removed the probe ‘237075 _at’ which had no corresponding ensemble id. Finally, we estimated the coefficient of each gene by multivariate Cox regression in the training set (Supplementary Table </w:t>
      </w:r>
      <w:r w:rsidR="00450D6C">
        <w:rPr>
          <w:rFonts w:cs="Times New Roman"/>
          <w:szCs w:val="24"/>
        </w:rPr>
        <w:t>7</w:t>
      </w:r>
      <w:r w:rsidRPr="00FC58E1">
        <w:rPr>
          <w:rFonts w:cs="Times New Roman"/>
          <w:szCs w:val="24"/>
        </w:rPr>
        <w:t>).</w:t>
      </w:r>
    </w:p>
    <w:p w14:paraId="75B0A1DE" w14:textId="2B601198" w:rsidR="005C2C58" w:rsidRPr="00FC58E1" w:rsidRDefault="005C2C58" w:rsidP="005C2C58">
      <w:pPr>
        <w:rPr>
          <w:rFonts w:cs="Times New Roman"/>
          <w:b/>
          <w:bCs/>
          <w:szCs w:val="24"/>
        </w:rPr>
      </w:pPr>
      <w:r w:rsidRPr="00FC58E1">
        <w:rPr>
          <w:rFonts w:cs="Times New Roman"/>
          <w:b/>
          <w:bCs/>
          <w:szCs w:val="24"/>
        </w:rPr>
        <w:t>Validation in TCGA cohort</w:t>
      </w:r>
    </w:p>
    <w:p w14:paraId="143EC719" w14:textId="7AB7C872" w:rsidR="005C2C58" w:rsidRPr="00FC58E1" w:rsidRDefault="005C2C58" w:rsidP="005C2C58">
      <w:pPr>
        <w:rPr>
          <w:rFonts w:cs="Times New Roman"/>
          <w:szCs w:val="24"/>
        </w:rPr>
      </w:pPr>
      <w:r w:rsidRPr="00FC58E1">
        <w:rPr>
          <w:rFonts w:cs="Times New Roman"/>
          <w:szCs w:val="24"/>
        </w:rPr>
        <w:t>The TCGA RNA sequencing counts data was transformed using the ‘</w:t>
      </w:r>
      <w:proofErr w:type="spellStart"/>
      <w:r w:rsidRPr="00FC58E1">
        <w:rPr>
          <w:rFonts w:cs="Times New Roman"/>
          <w:szCs w:val="24"/>
        </w:rPr>
        <w:t>limma</w:t>
      </w:r>
      <w:proofErr w:type="spellEnd"/>
      <w:r w:rsidRPr="00FC58E1">
        <w:rPr>
          <w:rFonts w:cs="Times New Roman"/>
          <w:szCs w:val="24"/>
        </w:rPr>
        <w:t>::</w:t>
      </w:r>
      <w:proofErr w:type="spellStart"/>
      <w:r w:rsidRPr="00FC58E1">
        <w:rPr>
          <w:rFonts w:cs="Times New Roman"/>
          <w:szCs w:val="24"/>
        </w:rPr>
        <w:t>voom</w:t>
      </w:r>
      <w:proofErr w:type="spellEnd"/>
      <w:r w:rsidRPr="00FC58E1">
        <w:rPr>
          <w:rFonts w:cs="Times New Roman"/>
          <w:szCs w:val="24"/>
        </w:rPr>
        <w:t>’ algorithm</w:t>
      </w:r>
      <w:r w:rsidRPr="00FC58E1">
        <w:rPr>
          <w:rFonts w:cs="Times New Roman"/>
          <w:szCs w:val="24"/>
        </w:rPr>
        <w:fldChar w:fldCharType="begin" w:fldLock="1"/>
      </w:r>
      <w:r w:rsidRPr="00FC58E1">
        <w:rPr>
          <w:rFonts w:cs="Times New Roman"/>
          <w:szCs w:val="24"/>
        </w:rPr>
        <w:instrText>ADDIN CSL_CITATION {"citationItems":[{"id":"ITEM-1","itemData":{"DOI":"10.1093/nar/gkv007","ISSN":"13624962","PMID":"25605792","abstract":"limma is an R/Bioconductor software package that provides an integrated solution for analysing data from gene expression experiments. It contains rich features for handling complex experimental designs and for information borrowing to overcome the problem of small sample sizes. Over the past decade, limma has been a popular choice for gene discovery through differential expression analyses of microarray and high-throughput PCR data. The package contains particularly strong facilities for reading, normalizing and exploring such data. Recently, the capabilities of limma have been significantly expanded in two important directions. First, the package can now perform both differential expression and differential splicing analyses of RNA sequencing (RNA-seq) data. All the downstream analysis tools previously restricted to microarray data are now available for RNA-seq as well. These capabilities allow users to analyse both RNA-seq and microarray data with very similar pipelines. Second, the package is now able to go past the traditional gene-wise expression analyses in a variety of ways, analysing expression profiles in terms of co-regulated sets of genes or in terms of higher-order expression signatures. This provides enhanced possibilities for biological interpretation of gene expression differences. This article reviews the philosophy and design of the limma package, summarizing both new and historical features, with an emphasis on recent enhancements and features that have not been previously described.","author":[{"dropping-particle":"","family":"Ritchie","given":"Matthew E.","non-dropping-particle":"","parse-names":false,"suffix":""},{"dropping-particle":"","family":"Phipson","given":"Belinda","non-dropping-particle":"","parse-names":false,"suffix":""},{"dropping-particle":"","family":"Wu","given":"Di","non-dropping-particle":"","parse-names":false,"suffix":""},{"dropping-particle":"","family":"Hu","given":"Yifang","non-dropping-particle":"","parse-names":false,"suffix":""},{"dropping-particle":"","family":"Law","given":"Charity W.","non-dropping-particle":"","parse-names":false,"suffix":""},{"dropping-particle":"","family":"Shi","given":"Wei","non-dropping-particle":"","parse-names":false,"suffix":""},{"dropping-particle":"","family":"Smyth","given":"Gordon K.","non-dropping-particle":"","parse-names":false,"suffix":""}],"container-title":"Nucleic Acids Research","id":"ITEM-1","issue":"7","issued":{"date-parts":[["2015","4","20"]]},"page":"e47","title":"Limma powers differential expression analyses for RNA-sequencing and microarray studies","type":"article-journal","volume":"43"},"uris":["http://www.mendeley.com/documents/?uuid=32d04308-f677-47bb-b47f-afd31499db83"]}],"mendeley":{"formattedCitation":"(Ritchie et al., 2015)","plainTextFormattedCitation":"(Ritchie et al., 2015)","previouslyFormattedCitation":"(Ritchie et al., 2015)"},"properties":{"noteIndex":0},"schema":"https://github.com/citation-style-language/schema/raw/master/csl-citation.json"}</w:instrText>
      </w:r>
      <w:r w:rsidRPr="00FC58E1">
        <w:rPr>
          <w:rFonts w:cs="Times New Roman"/>
          <w:szCs w:val="24"/>
        </w:rPr>
        <w:fldChar w:fldCharType="separate"/>
      </w:r>
      <w:r w:rsidRPr="00FC58E1">
        <w:rPr>
          <w:rFonts w:cs="Times New Roman"/>
          <w:noProof/>
          <w:szCs w:val="24"/>
        </w:rPr>
        <w:t>(Ritchie et al., 2015)</w:t>
      </w:r>
      <w:r w:rsidRPr="00FC58E1">
        <w:rPr>
          <w:rFonts w:cs="Times New Roman"/>
          <w:szCs w:val="24"/>
        </w:rPr>
        <w:fldChar w:fldCharType="end"/>
      </w:r>
      <w:r w:rsidRPr="00FC58E1">
        <w:rPr>
          <w:rFonts w:cs="Times New Roman"/>
          <w:szCs w:val="24"/>
        </w:rPr>
        <w:t>. We selected patients with ‘SAMPLE VIAL ID’ of ‘01A’(https://gdc.cancer.gov/resources-tcga-users/tcga-code-tables) and deleted duplicate samples ('TCGA-A7-A0DB-01A-11R-A00Z-07','TCGA-A7-A13D-01A-13R-A12P-07',' TCGA-A7-A13E-01A-11R-A169-07 ','TCGA-A7-A26E-01A-11R-A169-07', 'TCGA-A7-A26J-01A-11R-A169-07'). Finally, we evaluated the coefficient</w:t>
      </w:r>
      <w:r w:rsidR="003264AF">
        <w:rPr>
          <w:rFonts w:cs="Times New Roman"/>
          <w:szCs w:val="24"/>
        </w:rPr>
        <w:t>s</w:t>
      </w:r>
      <w:r w:rsidRPr="00FC58E1">
        <w:rPr>
          <w:rFonts w:cs="Times New Roman"/>
          <w:szCs w:val="24"/>
        </w:rPr>
        <w:t xml:space="preserve"> in 1057 samples (Supplementary Table </w:t>
      </w:r>
      <w:r w:rsidR="00287EB4">
        <w:rPr>
          <w:rFonts w:cs="Times New Roman"/>
          <w:szCs w:val="24"/>
        </w:rPr>
        <w:t>8</w:t>
      </w:r>
      <w:r w:rsidRPr="00FC58E1">
        <w:rPr>
          <w:rFonts w:cs="Times New Roman"/>
          <w:szCs w:val="24"/>
        </w:rPr>
        <w:t>).</w:t>
      </w:r>
    </w:p>
    <w:p w14:paraId="4768D0E4" w14:textId="1F8FC00C" w:rsidR="005C2C58" w:rsidRPr="00FC58E1" w:rsidRDefault="005C2C58" w:rsidP="005C2C58">
      <w:pPr>
        <w:rPr>
          <w:rFonts w:cs="Times New Roman"/>
          <w:b/>
          <w:bCs/>
          <w:szCs w:val="24"/>
        </w:rPr>
      </w:pPr>
      <w:r w:rsidRPr="00FC58E1">
        <w:rPr>
          <w:rFonts w:cs="Times New Roman"/>
          <w:b/>
          <w:bCs/>
          <w:szCs w:val="24"/>
        </w:rPr>
        <w:t>Copy Number Variation Analysis in TCGA.</w:t>
      </w:r>
    </w:p>
    <w:p w14:paraId="1B228742" w14:textId="3675CABC" w:rsidR="005C2C58" w:rsidRPr="00FC58E1" w:rsidRDefault="005C2C58" w:rsidP="005C2C58">
      <w:pPr>
        <w:rPr>
          <w:rFonts w:cs="Times New Roman"/>
          <w:szCs w:val="24"/>
        </w:rPr>
      </w:pPr>
      <w:r w:rsidRPr="00FC58E1">
        <w:rPr>
          <w:rFonts w:cs="Times New Roman"/>
          <w:szCs w:val="24"/>
        </w:rPr>
        <w:t xml:space="preserve">The ‘Masked Copy Number Segment File’ and ‘SNP6 GRCH38 Remapped </w:t>
      </w:r>
      <w:proofErr w:type="spellStart"/>
      <w:r w:rsidRPr="00FC58E1">
        <w:rPr>
          <w:rFonts w:cs="Times New Roman"/>
          <w:szCs w:val="24"/>
        </w:rPr>
        <w:t>Probeset</w:t>
      </w:r>
      <w:proofErr w:type="spellEnd"/>
      <w:r w:rsidRPr="00FC58E1">
        <w:rPr>
          <w:rFonts w:cs="Times New Roman"/>
          <w:szCs w:val="24"/>
        </w:rPr>
        <w:t xml:space="preserve"> File for Copy Number Variation Analysis’, were used for GISTIC2 Analysis</w:t>
      </w:r>
      <w:r w:rsidR="00827B98">
        <w:rPr>
          <w:rFonts w:cs="Times New Roman"/>
          <w:szCs w:val="24"/>
        </w:rPr>
        <w:t xml:space="preserve"> </w:t>
      </w:r>
      <w:r w:rsidRPr="00FC58E1">
        <w:rPr>
          <w:rFonts w:cs="Times New Roman"/>
          <w:szCs w:val="24"/>
        </w:rPr>
        <w:fldChar w:fldCharType="begin" w:fldLock="1"/>
      </w:r>
      <w:r w:rsidRPr="00FC58E1">
        <w:rPr>
          <w:rFonts w:cs="Times New Roman"/>
          <w:szCs w:val="24"/>
        </w:rPr>
        <w:instrText>ADDIN CSL_CITATION {"citationItems":[{"id":"ITEM-1","itemData":{"DOI":"10.1038/nature08822","ISSN":"00280836","PMID":"20164920","abstract":"A powerful way to discover key genes with causal roles in oncogenesis is to identify genomic regions that undergo frequent alteration in human cancers. Here we present high-resolution analyses of somatic copy-number alterations (SCNAs) from 3,131 cancer specimens, belonging largely to 26 histological types. We identify 158 regions of focal SCNA that are altered at significant frequency across several cancer types, of which 122 cannot be explained by the presence of a known cancer target gene located within these regions. Several gene families are enriched among these regions of focal SCNA, including the BCL2 family of apoptosis regulators and the NF-pathway. We show that cancer cells containing amplifications surrounding the MCL1 and BCL2L1 anti-apoptotic genes depend on the expression of these genes for survival. Finally, we demonstrate that a large majority of SCNAs identified in individual cancer types are present in several cancer types. © 2010 Macmillan Publishers Limited. All rights reserved.","author":[{"dropping-particle":"","family":"Beroukhim","given":"Rameen","non-dropping-particle":"","parse-names":false,"suffix":""},{"dropping-particle":"","family":"Mermel","given":"Craig H.","non-dropping-particle":"","parse-names":false,"suffix":""},{"dropping-particle":"","family":"Porter","given":"Dale","non-dropping-particle":"","parse-names":false,"suffix":""},{"dropping-particle":"","family":"Wei","given":"Guo","non-dropping-particle":"","parse-names":false,"suffix":""},{"dropping-particle":"","family":"Raychaudhuri","given":"Soumya","non-dropping-particle":"","parse-names":false,"suffix":""},{"dropping-particle":"","family":"Donovan","given":"Jerry","non-dropping-particle":"","parse-names":false,"suffix":""},{"dropping-particle":"","family":"Barretina","given":"Jordi","non-dropping-particle":"","parse-names":false,"suffix":""},{"dropping-particle":"","family":"Boehm","given":"Jesse S.","non-dropping-particle":"","parse-names":false,"suffix":""},{"dropping-particle":"","family":"Dobson","given":"Jennifer","non-dropping-particle":"","parse-names":false,"suffix":""},{"dropping-particle":"","family":"Urashima","given":"Mitsuyoshi","non-dropping-particle":"","parse-names":false,"suffix":""},{"dropping-particle":"","family":"McHenry","given":"Kevin T.","non-dropping-particle":"","parse-names":false,"suffix":""},{"dropping-particle":"","family":"Pinchback","given":"Reid M.","non-dropping-particle":"","parse-names":false,"suffix":""},{"dropping-particle":"","family":"Ligon","given":"Azra H.","non-dropping-particle":"","parse-names":false,"suffix":""},{"dropping-particle":"","family":"Cho","given":"Yoon Jae","non-dropping-particle":"","parse-names":false,"suffix":""},{"dropping-particle":"","family":"Haery","given":"Leila","non-dropping-particle":"","parse-names":false,"suffix":""},{"dropping-particle":"","family":"Greulich","given":"Heidi","non-dropping-particle":"","parse-names":false,"suffix":""},{"dropping-particle":"","family":"Reich","given":"Michael","non-dropping-particle":"","parse-names":false,"suffix":""},{"dropping-particle":"","family":"Winckler","given":"Wendy","non-dropping-particle":"","parse-names":false,"suffix":""},{"dropping-particle":"","family":"Lawrence","given":"Michael S.","non-dropping-particle":"","parse-names":false,"suffix":""},{"dropping-particle":"","family":"Weir","given":"Barbara A.","non-dropping-particle":"","parse-names":false,"suffix":""},{"dropping-particle":"","family":"Tanaka","given":"Kumiko E.","non-dropping-particle":"","parse-names":false,"suffix":""},{"dropping-particle":"","family":"Chiang","given":"Derek Y.","non-dropping-particle":"","parse-names":false,"suffix":""},{"dropping-particle":"","family":"Bass","given":"Adam J.","non-dropping-particle":"","parse-names":false,"suffix":""},{"dropping-particle":"","family":"Loo","given":"Alice","non-dropping-particle":"","parse-names":false,"suffix":""},{"dropping-particle":"","family":"Hoffman","given":"Carter","non-dropping-particle":"","parse-names":false,"suffix":""},{"dropping-particle":"","family":"Prensner","given":"John","non-dropping-particle":"","parse-names":false,"suffix":""},{"dropping-particle":"","family":"Liefeld","given":"Ted","non-dropping-particle":"","parse-names":false,"suffix":""},{"dropping-particle":"","family":"Gao","given":"Qing","non-dropping-particle":"","parse-names":false,"suffix":""},{"dropping-particle":"","family":"Yecies","given":"Derek","non-dropping-particle":"","parse-names":false,"suffix":""},{"dropping-particle":"","family":"Signoretti","given":"Sabina","non-dropping-particle":"","parse-names":false,"suffix":""},{"dropping-particle":"","family":"Maher","given":"Elizabeth","non-dropping-particle":"","parse-names":false,"suffix":""},{"dropping-particle":"","family":"Kaye","given":"Frederic J.","non-dropping-particle":"","parse-names":false,"suffix":""},{"dropping-particle":"","family":"Sasaki","given":"Hidefumi","non-dropping-particle":"","parse-names":false,"suffix":""},{"dropping-particle":"","family":"Tepper","given":"Joel E.","non-dropping-particle":"","parse-names":false,"suffix":""},{"dropping-particle":"","family":"Fletcher","given":"Jonathan A.","non-dropping-particle":"","parse-names":false,"suffix":""},{"dropping-particle":"","family":"Tabernero","given":"Josep","non-dropping-particle":"","parse-names":false,"suffix":""},{"dropping-particle":"","family":"Baselga","given":"José","non-dropping-particle":"","parse-names":false,"suffix":""},{"dropping-particle":"","family":"Tsao","given":"Ming Sound","non-dropping-particle":"","parse-names":false,"suffix":""},{"dropping-particle":"","family":"Demichelis","given":"Francesca","non-dropping-particle":"","parse-names":false,"suffix":""},{"dropping-particle":"","family":"Rubin","given":"Mark A.","non-dropping-particle":"","parse-names":false,"suffix":""},{"dropping-particle":"","family":"Janne","given":"Pasi A.","non-dropping-particle":"","parse-names":false,"suffix":""},{"dropping-particle":"","family":"Daly","given":"Mark J.","non-dropping-particle":"","parse-names":false,"suffix":""},{"dropping-particle":"","family":"Nucera","given":"Carmelo","non-dropping-particle":"","parse-names":false,"suffix":""},{"dropping-particle":"","family":"Levine","given":"Ross L.","non-dropping-particle":"","parse-names":false,"suffix":""},{"dropping-particle":"","family":"Ebert","given":"Benjamin L.","non-dropping-particle":"","parse-names":false,"suffix":""},{"dropping-particle":"","family":"Gabrie","given":"Stacey","non-dropping-particle":"","parse-names":false,"suffix":""},{"dropping-particle":"","family":"Rustgi","given":"Anil K.","non-dropping-particle":"","parse-names":false,"suffix":""},{"dropping-particle":"","family":"Antonescu","given":"Cristina R.","non-dropping-particle":"","parse-names":false,"suffix":""},{"dropping-particle":"","family":"Ladanyi","given":"Marc","non-dropping-particle":"","parse-names":false,"suffix":""},{"dropping-particle":"","family":"Letai","given":"Anthony","non-dropping-particle":"","parse-names":false,"suffix":""},{"dropping-particle":"","family":"Garraway","given":"Levi A.","non-dropping-particle":"","parse-names":false,"suffix":""},{"dropping-particle":"","family":"Loda","given":"Massimo","non-dropping-particle":"","parse-names":false,"suffix":""},{"dropping-particle":"","family":"Beer","given":"David G.","non-dropping-particle":"","parse-names":false,"suffix":""},{"dropping-particle":"","family":"True","given":"Lawrence D.","non-dropping-particle":"","parse-names":false,"suffix":""},{"dropping-particle":"","family":"Okamoto","given":"Aikou","non-dropping-particle":"","parse-names":false,"suffix":""},{"dropping-particle":"","family":"Pomeroy","given":"Scott L.","non-dropping-particle":"","parse-names":false,"suffix":""},{"dropping-particle":"","family":"Singer","given":"Samuel","non-dropping-particle":"","parse-names":false,"suffix":""},{"dropping-particle":"","family":"Golub","given":"Todd R.","non-dropping-particle":"","parse-names":false,"suffix":""},{"dropping-particle":"","family":"Lander","given":"Eric S.","non-dropping-particle":"","parse-names":false,"suffix":""},{"dropping-particle":"","family":"Getz","given":"Gad","non-dropping-particle":"","parse-names":false,"suffix":""},{"dropping-particle":"","family":"Sellers","given":"William R.","non-dropping-particle":"","parse-names":false,"suffix":""},{"dropping-particle":"","family":"Meyerson","given":"Matthew","non-dropping-particle":"","parse-names":false,"suffix":""}],"container-title":"Nature","id":"ITEM-1","issue":"7283","issued":{"date-parts":[["2010"]]},"page":"899-905","title":"The landscape of somatic copy-number alteration across human cancers","type":"article-journal","volume":"463"},"uris":["http://www.mendeley.com/documents/?uuid=909543c1-52a8-44f5-87c7-3eb20d58966d"]},{"id":"ITEM-2","itemData":{"DOI":"10.1186/gb-2011-12-4-r41","ISSN":"1474-760X","author":[{"dropping-particle":"","family":"Mermel","given":"Craig H","non-dropping-particle":"","parse-names":false,"suffix":""},{"dropping-particle":"","family":"Schumacher","given":"Steven E","non-dropping-particle":"","parse-names":false,"suffix":""},{"dropping-particle":"","family":"Hill","given":"Barbara","non-dropping-particle":"","parse-names":false,"suffix":""},{"dropping-particle":"","family":"Meyerson","given":"Matthew L","non-dropping-particle":"","parse-names":false,"suffix":""},{"dropping-particle":"","family":"Beroukhim","given":"Rameen","non-dropping-particle":"","parse-names":false,"suffix":""},{"dropping-particle":"","family":"Getz","given":"Gad","non-dropping-particle":"","parse-names":false,"suffix":""}],"container-title":"Genome Biology","id":"ITEM-2","issue":"4","issued":{"date-parts":[["2011","4","28"]]},"page":"R41","title":"GISTIC2.0 facilitates sensitive and confident localization of the targets of focal somatic copy-number alteration in human cancers","type":"article-journal","volume":"12"},"uris":["http://www.mendeley.com/documents/?uuid=18c5502d-3177-4f7d-8398-f6d20f3171d0"]}],"mendeley":{"formattedCitation":"(Beroukhim et al., 2010; Mermel et al., 2011)","plainTextFormattedCitation":"(Beroukhim et al., 2010; Mermel et al., 2011)","previouslyFormattedCitation":"(Beroukhim et al., 2010; Mermel et al., 2011)"},"properties":{"noteIndex":0},"schema":"https://github.com/citation-style-language/schema/raw/master/csl-citation.json"}</w:instrText>
      </w:r>
      <w:r w:rsidRPr="00FC58E1">
        <w:rPr>
          <w:rFonts w:cs="Times New Roman"/>
          <w:szCs w:val="24"/>
        </w:rPr>
        <w:fldChar w:fldCharType="separate"/>
      </w:r>
      <w:r w:rsidRPr="00FC58E1">
        <w:rPr>
          <w:rFonts w:cs="Times New Roman"/>
          <w:noProof/>
          <w:szCs w:val="24"/>
        </w:rPr>
        <w:t>(Beroukhim et al., 2010; Mermel et al., 2011)</w:t>
      </w:r>
      <w:r w:rsidRPr="00FC58E1">
        <w:rPr>
          <w:rFonts w:cs="Times New Roman"/>
          <w:szCs w:val="24"/>
        </w:rPr>
        <w:fldChar w:fldCharType="end"/>
      </w:r>
      <w:r w:rsidRPr="00FC58E1">
        <w:rPr>
          <w:rFonts w:cs="Times New Roman"/>
          <w:szCs w:val="24"/>
        </w:rPr>
        <w:t xml:space="preserve"> in </w:t>
      </w:r>
      <w:proofErr w:type="spellStart"/>
      <w:r w:rsidRPr="00FC58E1">
        <w:rPr>
          <w:rFonts w:cs="Times New Roman"/>
          <w:szCs w:val="24"/>
        </w:rPr>
        <w:t>GenePatter</w:t>
      </w:r>
      <w:proofErr w:type="spellEnd"/>
      <w:r w:rsidRPr="00FC58E1">
        <w:rPr>
          <w:rFonts w:cs="Times New Roman"/>
          <w:szCs w:val="24"/>
        </w:rPr>
        <w:t xml:space="preserve"> web site</w:t>
      </w:r>
      <w:r w:rsidRPr="00FC58E1">
        <w:rPr>
          <w:rFonts w:cs="Times New Roman"/>
          <w:szCs w:val="24"/>
        </w:rPr>
        <w:fldChar w:fldCharType="begin" w:fldLock="1"/>
      </w:r>
      <w:r w:rsidRPr="00FC58E1">
        <w:rPr>
          <w:rFonts w:cs="Times New Roman"/>
          <w:szCs w:val="24"/>
        </w:rPr>
        <w:instrText>ADDIN CSL_CITATION {"citationItems":[{"id":"ITEM-1","itemData":{"DOI":"10.1038/ng0506-500","ISSN":"1061-4036","author":[{"dropping-particle":"","family":"Reich","given":"Michael","non-dropping-particle":"","parse-names":false,"suffix":""},{"dropping-particle":"","family":"Liefeld","given":"Ted","non-dropping-particle":"","parse-names":false,"suffix":""},{"dropping-particle":"","family":"Gould","given":"Joshua","non-dropping-particle":"","parse-names":false,"suffix":""},{"dropping-particle":"","family":"Lerner","given":"Jim","non-dropping-particle":"","parse-names":false,"suffix":""},{"dropping-particle":"","family":"Tamayo","given":"Pablo","non-dropping-particle":"","parse-names":false,"suffix":""},{"dropping-particle":"","family":"Mesirov","given":"Jill P","non-dropping-particle":"","parse-names":false,"suffix":""}],"container-title":"Nature Genetics","id":"ITEM-1","issue":"5","issued":{"date-parts":[["2006","5"]]},"page":"500-501","title":"GenePattern 2.0","type":"article-journal","volume":"38"},"uris":["http://www.mendeley.com/documents/?uuid=3fc99a1a-e3d9-4e7d-b115-1043b26ff1f8"]}],"mendeley":{"formattedCitation":"(Reich et al., 2006)","plainTextFormattedCitation":"(Reich et al., 2006)","previouslyFormattedCitation":"(Reich et al., 2006)"},"properties":{"noteIndex":0},"schema":"https://github.com/citation-style-language/schema/raw/master/csl-citation.json"}</w:instrText>
      </w:r>
      <w:r w:rsidRPr="00FC58E1">
        <w:rPr>
          <w:rFonts w:cs="Times New Roman"/>
          <w:szCs w:val="24"/>
        </w:rPr>
        <w:fldChar w:fldCharType="separate"/>
      </w:r>
      <w:r w:rsidRPr="00FC58E1">
        <w:rPr>
          <w:rFonts w:cs="Times New Roman"/>
          <w:noProof/>
          <w:szCs w:val="24"/>
        </w:rPr>
        <w:t>(Reich et al., 2006)</w:t>
      </w:r>
      <w:r w:rsidRPr="00FC58E1">
        <w:rPr>
          <w:rFonts w:cs="Times New Roman"/>
          <w:szCs w:val="24"/>
        </w:rPr>
        <w:fldChar w:fldCharType="end"/>
      </w:r>
      <w:r w:rsidRPr="00FC58E1">
        <w:rPr>
          <w:rFonts w:cs="Times New Roman"/>
          <w:szCs w:val="24"/>
        </w:rPr>
        <w:t xml:space="preserve">. The Copy Number Variation (CNV) values were further </w:t>
      </w:r>
      <w:proofErr w:type="spellStart"/>
      <w:r w:rsidRPr="00FC58E1">
        <w:rPr>
          <w:rFonts w:cs="Times New Roman"/>
          <w:szCs w:val="24"/>
        </w:rPr>
        <w:t>thresholded</w:t>
      </w:r>
      <w:proofErr w:type="spellEnd"/>
      <w:r w:rsidRPr="00FC58E1">
        <w:rPr>
          <w:rFonts w:cs="Times New Roman"/>
          <w:szCs w:val="24"/>
        </w:rPr>
        <w:t xml:space="preserve"> by a noise cutoff of 0.3, the left chat in Figure4 E represents the probability of CNVs events (amplification and deletion). Chi square test was performed to confirm the difference in CNVs </w:t>
      </w:r>
      <w:r w:rsidR="00900C67" w:rsidRPr="00FC58E1">
        <w:rPr>
          <w:rFonts w:cs="Times New Roman"/>
          <w:szCs w:val="24"/>
        </w:rPr>
        <w:t xml:space="preserve">events </w:t>
      </w:r>
      <w:r w:rsidRPr="00FC58E1">
        <w:rPr>
          <w:rFonts w:cs="Times New Roman"/>
          <w:szCs w:val="24"/>
        </w:rPr>
        <w:t>between high-score</w:t>
      </w:r>
      <w:r w:rsidR="00617425">
        <w:rPr>
          <w:rFonts w:cs="Times New Roman"/>
          <w:szCs w:val="24"/>
        </w:rPr>
        <w:t xml:space="preserve"> </w:t>
      </w:r>
      <w:r w:rsidRPr="00FC58E1">
        <w:rPr>
          <w:rFonts w:cs="Times New Roman"/>
          <w:szCs w:val="24"/>
        </w:rPr>
        <w:t>and low-score group</w:t>
      </w:r>
      <w:r w:rsidR="00617425">
        <w:rPr>
          <w:rFonts w:cs="Times New Roman"/>
          <w:szCs w:val="24"/>
        </w:rPr>
        <w:t>s</w:t>
      </w:r>
      <w:r w:rsidRPr="00FC58E1">
        <w:rPr>
          <w:rFonts w:cs="Times New Roman"/>
          <w:szCs w:val="24"/>
        </w:rPr>
        <w:t xml:space="preserve">, and </w:t>
      </w:r>
      <w:r w:rsidRPr="00FC58E1">
        <w:rPr>
          <w:rFonts w:cs="Times New Roman"/>
          <w:i/>
          <w:iCs/>
          <w:szCs w:val="24"/>
        </w:rPr>
        <w:t>P</w:t>
      </w:r>
      <w:r w:rsidRPr="00FC58E1">
        <w:rPr>
          <w:rFonts w:cs="Times New Roman"/>
          <w:szCs w:val="24"/>
        </w:rPr>
        <w:t xml:space="preserve"> values were adjusted by false discovery rate (FDR)</w:t>
      </w:r>
      <w:r w:rsidR="00661AAB" w:rsidRPr="00FC58E1">
        <w:rPr>
          <w:rFonts w:cs="Times New Roman"/>
          <w:szCs w:val="24"/>
        </w:rPr>
        <w:t xml:space="preserve"> (Supplementary Table </w:t>
      </w:r>
      <w:r w:rsidR="00287EB4">
        <w:rPr>
          <w:rFonts w:cs="Times New Roman"/>
          <w:szCs w:val="24"/>
        </w:rPr>
        <w:t>9</w:t>
      </w:r>
      <w:r w:rsidR="00661AAB" w:rsidRPr="00FC58E1">
        <w:rPr>
          <w:rFonts w:cs="Times New Roman"/>
          <w:szCs w:val="24"/>
        </w:rPr>
        <w:t>)</w:t>
      </w:r>
      <w:r w:rsidRPr="00FC58E1">
        <w:rPr>
          <w:rFonts w:cs="Times New Roman"/>
          <w:szCs w:val="24"/>
        </w:rPr>
        <w:t>.</w:t>
      </w:r>
    </w:p>
    <w:p w14:paraId="5F1867FE" w14:textId="77777777" w:rsidR="005C2C58" w:rsidRPr="0015144D" w:rsidRDefault="005C2C58" w:rsidP="005C2C58">
      <w:pPr>
        <w:rPr>
          <w:rFonts w:cs="Times New Roman"/>
          <w:sz w:val="21"/>
          <w:szCs w:val="21"/>
        </w:rPr>
      </w:pPr>
    </w:p>
    <w:p w14:paraId="465A6572" w14:textId="281F9340" w:rsidR="005C2C58" w:rsidRPr="00342C08" w:rsidRDefault="005C2C58" w:rsidP="005C2C58">
      <w:pPr>
        <w:rPr>
          <w:rFonts w:cs="Times New Roman"/>
          <w:b/>
          <w:bCs/>
          <w:sz w:val="28"/>
          <w:szCs w:val="28"/>
        </w:rPr>
      </w:pPr>
      <w:r w:rsidRPr="00342C08">
        <w:rPr>
          <w:rFonts w:cs="Times New Roman"/>
          <w:b/>
          <w:bCs/>
          <w:sz w:val="28"/>
          <w:szCs w:val="28"/>
        </w:rPr>
        <w:t>REFERENCES</w:t>
      </w:r>
    </w:p>
    <w:p w14:paraId="14F2AF04" w14:textId="77777777" w:rsidR="005C2C58" w:rsidRPr="0015144D" w:rsidRDefault="005C2C58" w:rsidP="005C2C58">
      <w:pPr>
        <w:autoSpaceDE w:val="0"/>
        <w:autoSpaceDN w:val="0"/>
        <w:adjustRightInd w:val="0"/>
        <w:ind w:left="480" w:hanging="480"/>
        <w:rPr>
          <w:rFonts w:cs="Times New Roman"/>
          <w:noProof/>
          <w:sz w:val="21"/>
          <w:szCs w:val="21"/>
        </w:rPr>
      </w:pPr>
      <w:r w:rsidRPr="0015144D">
        <w:rPr>
          <w:rFonts w:cs="Times New Roman"/>
          <w:sz w:val="21"/>
          <w:szCs w:val="21"/>
        </w:rPr>
        <w:fldChar w:fldCharType="begin" w:fldLock="1"/>
      </w:r>
      <w:r w:rsidRPr="0015144D">
        <w:rPr>
          <w:rFonts w:cs="Times New Roman"/>
          <w:sz w:val="21"/>
          <w:szCs w:val="21"/>
        </w:rPr>
        <w:instrText xml:space="preserve">ADDIN Mendeley Bibliography CSL_BIBLIOGRAPHY </w:instrText>
      </w:r>
      <w:r w:rsidRPr="0015144D">
        <w:rPr>
          <w:rFonts w:cs="Times New Roman"/>
          <w:sz w:val="21"/>
          <w:szCs w:val="21"/>
        </w:rPr>
        <w:fldChar w:fldCharType="separate"/>
      </w:r>
      <w:r w:rsidRPr="0015144D">
        <w:rPr>
          <w:rFonts w:cs="Times New Roman"/>
          <w:noProof/>
          <w:sz w:val="21"/>
          <w:szCs w:val="21"/>
        </w:rPr>
        <w:t xml:space="preserve">Beroukhim, R., Mermel, C. H., Porter, D., Wei, G., Raychaudhuri, S., Donovan, J., et al. (2010). The landscape of somatic copy-number alteration across human cancers. </w:t>
      </w:r>
      <w:r w:rsidRPr="0015144D">
        <w:rPr>
          <w:rFonts w:cs="Times New Roman"/>
          <w:i/>
          <w:iCs/>
          <w:noProof/>
          <w:sz w:val="21"/>
          <w:szCs w:val="21"/>
        </w:rPr>
        <w:t>Nature</w:t>
      </w:r>
      <w:r w:rsidRPr="0015144D">
        <w:rPr>
          <w:rFonts w:cs="Times New Roman"/>
          <w:noProof/>
          <w:sz w:val="21"/>
          <w:szCs w:val="21"/>
        </w:rPr>
        <w:t xml:space="preserve"> 463, 899–905. doi:10.1038/nature08822.</w:t>
      </w:r>
    </w:p>
    <w:p w14:paraId="3D30F5CF" w14:textId="77777777" w:rsidR="005C2C58" w:rsidRPr="0015144D" w:rsidRDefault="005C2C58" w:rsidP="005C2C58">
      <w:pPr>
        <w:autoSpaceDE w:val="0"/>
        <w:autoSpaceDN w:val="0"/>
        <w:adjustRightInd w:val="0"/>
        <w:ind w:left="480" w:hanging="480"/>
        <w:rPr>
          <w:rFonts w:cs="Times New Roman"/>
          <w:noProof/>
          <w:sz w:val="21"/>
          <w:szCs w:val="21"/>
        </w:rPr>
      </w:pPr>
      <w:r w:rsidRPr="0015144D">
        <w:rPr>
          <w:rFonts w:cs="Times New Roman"/>
          <w:noProof/>
          <w:sz w:val="21"/>
          <w:szCs w:val="21"/>
        </w:rPr>
        <w:lastRenderedPageBreak/>
        <w:t xml:space="preserve">Mermel, C. H., Schumacher, S. E., Hill, B., Meyerson, M. L., Beroukhim, R., and Getz, G. (2011). GISTIC2.0 facilitates sensitive and confident localization of the targets of focal somatic copy-number alteration in human cancers. </w:t>
      </w:r>
      <w:r w:rsidRPr="0015144D">
        <w:rPr>
          <w:rFonts w:cs="Times New Roman"/>
          <w:i/>
          <w:iCs/>
          <w:noProof/>
          <w:sz w:val="21"/>
          <w:szCs w:val="21"/>
        </w:rPr>
        <w:t>Genome Biol.</w:t>
      </w:r>
      <w:r w:rsidRPr="0015144D">
        <w:rPr>
          <w:rFonts w:cs="Times New Roman"/>
          <w:noProof/>
          <w:sz w:val="21"/>
          <w:szCs w:val="21"/>
        </w:rPr>
        <w:t xml:space="preserve"> 12, R41. doi:10.1186/gb-2011-12-4-r41.</w:t>
      </w:r>
    </w:p>
    <w:p w14:paraId="1A52D95F" w14:textId="77777777" w:rsidR="005C2C58" w:rsidRPr="0015144D" w:rsidRDefault="005C2C58" w:rsidP="005C2C58">
      <w:pPr>
        <w:autoSpaceDE w:val="0"/>
        <w:autoSpaceDN w:val="0"/>
        <w:adjustRightInd w:val="0"/>
        <w:ind w:left="480" w:hanging="480"/>
        <w:rPr>
          <w:rFonts w:cs="Times New Roman"/>
          <w:noProof/>
          <w:sz w:val="21"/>
          <w:szCs w:val="21"/>
        </w:rPr>
      </w:pPr>
      <w:r w:rsidRPr="0015144D">
        <w:rPr>
          <w:rFonts w:cs="Times New Roman"/>
          <w:noProof/>
          <w:sz w:val="21"/>
          <w:szCs w:val="21"/>
        </w:rPr>
        <w:t xml:space="preserve">Reich, M., Liefeld, T., Gould, J., Lerner, J., Tamayo, P., and Mesirov, J. P. (2006). GenePattern 2.0. </w:t>
      </w:r>
      <w:r w:rsidRPr="0015144D">
        <w:rPr>
          <w:rFonts w:cs="Times New Roman"/>
          <w:i/>
          <w:iCs/>
          <w:noProof/>
          <w:sz w:val="21"/>
          <w:szCs w:val="21"/>
        </w:rPr>
        <w:t>Nat. Genet.</w:t>
      </w:r>
      <w:r w:rsidRPr="0015144D">
        <w:rPr>
          <w:rFonts w:cs="Times New Roman"/>
          <w:noProof/>
          <w:sz w:val="21"/>
          <w:szCs w:val="21"/>
        </w:rPr>
        <w:t xml:space="preserve"> 38, 500–501. doi:10.1038/ng0506-500.</w:t>
      </w:r>
    </w:p>
    <w:p w14:paraId="7769DCD0" w14:textId="77777777" w:rsidR="005C2C58" w:rsidRPr="0015144D" w:rsidRDefault="005C2C58" w:rsidP="005C2C58">
      <w:pPr>
        <w:autoSpaceDE w:val="0"/>
        <w:autoSpaceDN w:val="0"/>
        <w:adjustRightInd w:val="0"/>
        <w:ind w:left="480" w:hanging="480"/>
        <w:rPr>
          <w:rFonts w:cs="Times New Roman"/>
          <w:noProof/>
          <w:sz w:val="21"/>
          <w:szCs w:val="21"/>
        </w:rPr>
      </w:pPr>
      <w:r w:rsidRPr="0015144D">
        <w:rPr>
          <w:rFonts w:cs="Times New Roman"/>
          <w:noProof/>
          <w:sz w:val="21"/>
          <w:szCs w:val="21"/>
        </w:rPr>
        <w:t xml:space="preserve">Ritchie, M. E., Phipson, B., Wu, D., Hu, Y., Law, C. W., Shi, W., et al. (2015). Limma powers differential expression analyses for RNA-sequencing and microarray studies. </w:t>
      </w:r>
      <w:r w:rsidRPr="0015144D">
        <w:rPr>
          <w:rFonts w:cs="Times New Roman"/>
          <w:i/>
          <w:iCs/>
          <w:noProof/>
          <w:sz w:val="21"/>
          <w:szCs w:val="21"/>
        </w:rPr>
        <w:t>Nucleic Acids Res.</w:t>
      </w:r>
      <w:r w:rsidRPr="0015144D">
        <w:rPr>
          <w:rFonts w:cs="Times New Roman"/>
          <w:noProof/>
          <w:sz w:val="21"/>
          <w:szCs w:val="21"/>
        </w:rPr>
        <w:t xml:space="preserve"> 43, e47. doi:10.1093/nar/gkv007.</w:t>
      </w:r>
    </w:p>
    <w:p w14:paraId="33490675" w14:textId="77777777" w:rsidR="005C2C58" w:rsidRPr="0015144D" w:rsidRDefault="005C2C58" w:rsidP="005C2C58">
      <w:pPr>
        <w:autoSpaceDE w:val="0"/>
        <w:autoSpaceDN w:val="0"/>
        <w:adjustRightInd w:val="0"/>
        <w:ind w:left="480" w:hanging="480"/>
        <w:rPr>
          <w:rFonts w:cs="Times New Roman"/>
          <w:sz w:val="21"/>
          <w:szCs w:val="21"/>
        </w:rPr>
      </w:pPr>
      <w:r w:rsidRPr="0015144D">
        <w:rPr>
          <w:rFonts w:cs="Times New Roman"/>
          <w:sz w:val="21"/>
          <w:szCs w:val="21"/>
        </w:rPr>
        <w:fldChar w:fldCharType="end"/>
      </w:r>
    </w:p>
    <w:p w14:paraId="7B65BC41" w14:textId="77777777" w:rsidR="00DE23E8" w:rsidRPr="001549D3" w:rsidRDefault="00DE23E8" w:rsidP="00654E8F">
      <w:pPr>
        <w:spacing w:before="240"/>
      </w:pPr>
    </w:p>
    <w:sectPr w:rsidR="00DE23E8" w:rsidRPr="001549D3" w:rsidSect="0093429D">
      <w:headerReference w:type="even" r:id="rId8"/>
      <w:footerReference w:type="even" r:id="rId9"/>
      <w:footerReference w:type="default" r:id="rId10"/>
      <w:headerReference w:type="first" r:id="rId11"/>
      <w:pgSz w:w="12240" w:h="15840"/>
      <w:pgMar w:top="1138" w:right="1181" w:bottom="1138" w:left="128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07DE0E" w14:textId="77777777" w:rsidR="00184E0A" w:rsidRDefault="00184E0A" w:rsidP="00117666">
      <w:pPr>
        <w:spacing w:after="0"/>
      </w:pPr>
      <w:r>
        <w:separator/>
      </w:r>
    </w:p>
  </w:endnote>
  <w:endnote w:type="continuationSeparator" w:id="0">
    <w:p w14:paraId="011CB620" w14:textId="77777777" w:rsidR="00184E0A" w:rsidRDefault="00184E0A"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3025F" w14:textId="77777777" w:rsidR="00000000" w:rsidRPr="00577C4C" w:rsidRDefault="00C52A7B">
    <w:pPr>
      <w:rPr>
        <w:color w:val="C00000"/>
        <w:szCs w:val="24"/>
      </w:rPr>
    </w:pPr>
    <w:r>
      <w:rPr>
        <w:noProof/>
        <w:lang w:val="en-GB" w:eastAsia="en-GB"/>
      </w:rPr>
      <mc:AlternateContent>
        <mc:Choice Requires="wps">
          <w:drawing>
            <wp:anchor distT="0" distB="0" distL="114300" distR="114300" simplePos="0" relativeHeight="251659264" behindDoc="0" locked="0" layoutInCell="1" allowOverlap="1" wp14:anchorId="382EAD14" wp14:editId="71B2BC98">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50BC4D33" w14:textId="77777777" w:rsidR="00000000"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82EAD14" id="_x0000_t202" coordsize="21600,21600" o:spt="202" path="m,l,21600r21600,l21600,xe">
              <v:stroke joinstyle="miter"/>
              <v:path gradientshapeok="t" o:connecttype="rect"/>
            </v:shapetype>
            <v:shape id="Text Box 1"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" filled="f" stroked="f" strokeweight=".5pt">
              <v:textbox style="mso-fit-shape-to-text:t">
                <w:txbxContent>
                  <w:p w14:paraId="50BC4D33"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D6A35" w14:textId="77777777" w:rsidR="00000000" w:rsidRPr="00577C4C" w:rsidRDefault="00C52A7B">
    <w:pPr>
      <w:rPr>
        <w:b/>
        <w:sz w:val="20"/>
        <w:szCs w:val="24"/>
      </w:rPr>
    </w:pPr>
    <w:r>
      <w:rPr>
        <w:noProof/>
        <w:lang w:val="en-GB" w:eastAsia="en-GB"/>
      </w:rPr>
      <mc:AlternateContent>
        <mc:Choice Requires="wps">
          <w:drawing>
            <wp:anchor distT="0" distB="0" distL="114300" distR="114300" simplePos="0" relativeHeight="251646976" behindDoc="0" locked="0" layoutInCell="1" allowOverlap="1" wp14:anchorId="70F9F55F" wp14:editId="40473BEB">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570F0D09" w14:textId="77777777" w:rsidR="00000000"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0F9F55F" id="_x0000_t202" coordsize="21600,21600" o:spt="202" path="m,l,21600r21600,l21600,xe">
              <v:stroke joinstyle="miter"/>
              <v:path gradientshapeok="t" o:connecttype="rect"/>
            </v:shapetype>
            <v:shape id="Text Box 56" o:spid="_x0000_s1027" type="#_x0000_t202" style="position:absolute;margin-left:67.6pt;margin-top:0;width:118.8pt;height:31.1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" filled="f" stroked="f" strokeweight=".5pt">
              <v:textbox style="mso-fit-shape-to-text:t">
                <w:txbxContent>
                  <w:p w14:paraId="570F0D09"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A75B52" w14:textId="77777777" w:rsidR="00184E0A" w:rsidRDefault="00184E0A" w:rsidP="00117666">
      <w:pPr>
        <w:spacing w:after="0"/>
      </w:pPr>
      <w:r>
        <w:separator/>
      </w:r>
    </w:p>
  </w:footnote>
  <w:footnote w:type="continuationSeparator" w:id="0">
    <w:p w14:paraId="52B6053A" w14:textId="77777777" w:rsidR="00184E0A" w:rsidRDefault="00184E0A" w:rsidP="001176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EF00C" w14:textId="77777777" w:rsidR="00000000" w:rsidRPr="009151AA" w:rsidRDefault="00C52A7B">
    <w:pPr>
      <w:rPr>
        <w:rFonts w:cs="Times New Roman"/>
      </w:rPr>
    </w:pPr>
    <w:r w:rsidRPr="009151AA">
      <w:rPr>
        <w:rFonts w:cs="Times New Roman"/>
      </w:rPr>
      <w:ptab w:relativeTo="margin" w:alignment="center" w:leader="none"/>
    </w:r>
    <w:r w:rsidRPr="009151AA">
      <w:rPr>
        <w:rFonts w:cs="Times New Roman"/>
      </w:rPr>
      <w:ptab w:relativeTo="margin" w:alignment="right" w:leader="none"/>
    </w:r>
    <w:r w:rsidR="001549D3" w:rsidRPr="009151AA">
      <w:rPr>
        <w:rFonts w:cs="Times New Roman"/>
      </w:rPr>
      <w:t>Supplementary Material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D68C6" w14:textId="3597D377" w:rsidR="00000000" w:rsidRDefault="00C52A7B" w:rsidP="0093429D">
    <w:r w:rsidRPr="007E3148">
      <w:rPr>
        <w:b/>
      </w:rPr>
      <w:ptab w:relativeTo="margin" w:alignment="center" w:leader="none"/>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C0601A"/>
    <w:multiLevelType w:val="multilevel"/>
    <w:tmpl w:val="2D740DBE"/>
    <w:styleLink w:val="Headings"/>
    <w:lvl w:ilvl="0">
      <w:start w:val="1"/>
      <w:numFmt w:val="decimal"/>
      <w:pStyle w:val="1"/>
      <w:lvlText w:val="%1"/>
      <w:lvlJc w:val="left"/>
      <w:pPr>
        <w:tabs>
          <w:tab w:val="num" w:pos="567"/>
        </w:tabs>
        <w:ind w:left="567" w:hanging="567"/>
      </w:pPr>
      <w:rPr>
        <w:rFonts w:hint="default"/>
      </w:rPr>
    </w:lvl>
    <w:lvl w:ilvl="1">
      <w:start w:val="1"/>
      <w:numFmt w:val="decimal"/>
      <w:pStyle w:val="2"/>
      <w:lvlText w:val="%1.%2"/>
      <w:lvlJc w:val="left"/>
      <w:pPr>
        <w:tabs>
          <w:tab w:val="num" w:pos="567"/>
        </w:tabs>
        <w:ind w:left="567" w:hanging="567"/>
      </w:pPr>
      <w:rPr>
        <w:rFonts w:hint="default"/>
      </w:rPr>
    </w:lvl>
    <w:lvl w:ilvl="2">
      <w:start w:val="1"/>
      <w:numFmt w:val="decimal"/>
      <w:pStyle w:val="3"/>
      <w:lvlText w:val="%1.%2.%3"/>
      <w:lvlJc w:val="left"/>
      <w:pPr>
        <w:tabs>
          <w:tab w:val="num" w:pos="567"/>
        </w:tabs>
        <w:ind w:left="567" w:hanging="567"/>
      </w:pPr>
      <w:rPr>
        <w:rFonts w:hint="default"/>
      </w:rPr>
    </w:lvl>
    <w:lvl w:ilvl="3">
      <w:start w:val="1"/>
      <w:numFmt w:val="decimal"/>
      <w:pStyle w:val="4"/>
      <w:lvlText w:val="%1.%2.%3.%4"/>
      <w:lvlJc w:val="left"/>
      <w:pPr>
        <w:tabs>
          <w:tab w:val="num" w:pos="567"/>
        </w:tabs>
        <w:ind w:left="567" w:hanging="567"/>
      </w:pPr>
      <w:rPr>
        <w:rFonts w:hint="default"/>
      </w:rPr>
    </w:lvl>
    <w:lvl w:ilvl="4">
      <w:start w:val="1"/>
      <w:numFmt w:val="decimal"/>
      <w:pStyle w:val="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 w15:restartNumberingAfterBreak="0">
    <w:nsid w:val="225305B5"/>
    <w:multiLevelType w:val="hybridMultilevel"/>
    <w:tmpl w:val="4F8C24FA"/>
    <w:lvl w:ilvl="0" w:tplc="A9DCD718">
      <w:start w:val="1"/>
      <w:numFmt w:val="bullet"/>
      <w:pStyle w:val="a"/>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16cid:durableId="1040714609">
    <w:abstractNumId w:val="0"/>
  </w:num>
  <w:num w:numId="2" w16cid:durableId="84612052">
    <w:abstractNumId w:val="4"/>
  </w:num>
  <w:num w:numId="3" w16cid:durableId="1537935513">
    <w:abstractNumId w:val="1"/>
  </w:num>
  <w:num w:numId="4" w16cid:durableId="1532063430">
    <w:abstractNumId w:val="5"/>
  </w:num>
  <w:num w:numId="5" w16cid:durableId="9154757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6752547">
    <w:abstractNumId w:val="3"/>
  </w:num>
  <w:num w:numId="7" w16cid:durableId="993526692">
    <w:abstractNumId w:val="6"/>
  </w:num>
  <w:num w:numId="8" w16cid:durableId="400176466">
    <w:abstractNumId w:val="6"/>
  </w:num>
  <w:num w:numId="9" w16cid:durableId="537593071">
    <w:abstractNumId w:val="6"/>
  </w:num>
  <w:num w:numId="10" w16cid:durableId="1093088252">
    <w:abstractNumId w:val="6"/>
  </w:num>
  <w:num w:numId="11" w16cid:durableId="241794630">
    <w:abstractNumId w:val="6"/>
  </w:num>
  <w:num w:numId="12" w16cid:durableId="504783113">
    <w:abstractNumId w:val="6"/>
  </w:num>
  <w:num w:numId="13" w16cid:durableId="2138183498">
    <w:abstractNumId w:val="3"/>
  </w:num>
  <w:num w:numId="14" w16cid:durableId="665326400">
    <w:abstractNumId w:val="2"/>
  </w:num>
  <w:num w:numId="15" w16cid:durableId="2109620852">
    <w:abstractNumId w:val="2"/>
  </w:num>
  <w:num w:numId="16" w16cid:durableId="492573208">
    <w:abstractNumId w:val="2"/>
  </w:num>
  <w:num w:numId="17" w16cid:durableId="473790096">
    <w:abstractNumId w:val="2"/>
  </w:num>
  <w:num w:numId="18" w16cid:durableId="607931276">
    <w:abstractNumId w:val="2"/>
  </w:num>
  <w:num w:numId="19" w16cid:durableId="17716545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bordersDoNotSurroundHeader/>
  <w:bordersDoNotSurroundFooter/>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0B5"/>
    <w:rsid w:val="0001436A"/>
    <w:rsid w:val="00032127"/>
    <w:rsid w:val="00034304"/>
    <w:rsid w:val="00035434"/>
    <w:rsid w:val="00052A14"/>
    <w:rsid w:val="00077D53"/>
    <w:rsid w:val="000D5E00"/>
    <w:rsid w:val="00105FD9"/>
    <w:rsid w:val="00117666"/>
    <w:rsid w:val="001549D3"/>
    <w:rsid w:val="00160065"/>
    <w:rsid w:val="00177D84"/>
    <w:rsid w:val="00184CC0"/>
    <w:rsid w:val="00184E0A"/>
    <w:rsid w:val="00250DF8"/>
    <w:rsid w:val="00260095"/>
    <w:rsid w:val="00267AF2"/>
    <w:rsid w:val="00267D18"/>
    <w:rsid w:val="00274347"/>
    <w:rsid w:val="002868E2"/>
    <w:rsid w:val="002869C3"/>
    <w:rsid w:val="00287EB4"/>
    <w:rsid w:val="002936E4"/>
    <w:rsid w:val="00296540"/>
    <w:rsid w:val="002B4A57"/>
    <w:rsid w:val="002C74CA"/>
    <w:rsid w:val="003123F4"/>
    <w:rsid w:val="003264AF"/>
    <w:rsid w:val="00342C08"/>
    <w:rsid w:val="003544FB"/>
    <w:rsid w:val="003619B8"/>
    <w:rsid w:val="003663A0"/>
    <w:rsid w:val="003901A6"/>
    <w:rsid w:val="003D2F2D"/>
    <w:rsid w:val="00401590"/>
    <w:rsid w:val="00412ADA"/>
    <w:rsid w:val="004211C7"/>
    <w:rsid w:val="00435085"/>
    <w:rsid w:val="0044410D"/>
    <w:rsid w:val="00447801"/>
    <w:rsid w:val="00450D6C"/>
    <w:rsid w:val="00452E9C"/>
    <w:rsid w:val="004735C8"/>
    <w:rsid w:val="004947A6"/>
    <w:rsid w:val="004961FF"/>
    <w:rsid w:val="004C5677"/>
    <w:rsid w:val="004D60B3"/>
    <w:rsid w:val="00517A89"/>
    <w:rsid w:val="0052325F"/>
    <w:rsid w:val="005250F2"/>
    <w:rsid w:val="00593EEA"/>
    <w:rsid w:val="005A5EEE"/>
    <w:rsid w:val="005B1ABB"/>
    <w:rsid w:val="005C2C58"/>
    <w:rsid w:val="00617425"/>
    <w:rsid w:val="00624EA3"/>
    <w:rsid w:val="006375C7"/>
    <w:rsid w:val="00654E8F"/>
    <w:rsid w:val="00660D05"/>
    <w:rsid w:val="00661AAB"/>
    <w:rsid w:val="006820B1"/>
    <w:rsid w:val="006A6D19"/>
    <w:rsid w:val="006B7D14"/>
    <w:rsid w:val="006F406C"/>
    <w:rsid w:val="00701727"/>
    <w:rsid w:val="0070566C"/>
    <w:rsid w:val="00714C50"/>
    <w:rsid w:val="00725A7D"/>
    <w:rsid w:val="00734E77"/>
    <w:rsid w:val="007501BE"/>
    <w:rsid w:val="00790BB3"/>
    <w:rsid w:val="007C206C"/>
    <w:rsid w:val="00817DD6"/>
    <w:rsid w:val="00827B98"/>
    <w:rsid w:val="0083759F"/>
    <w:rsid w:val="008553AE"/>
    <w:rsid w:val="00885156"/>
    <w:rsid w:val="008A3126"/>
    <w:rsid w:val="008C24A5"/>
    <w:rsid w:val="00900C67"/>
    <w:rsid w:val="0090444B"/>
    <w:rsid w:val="009151AA"/>
    <w:rsid w:val="0093429D"/>
    <w:rsid w:val="00943573"/>
    <w:rsid w:val="00957EE3"/>
    <w:rsid w:val="00964134"/>
    <w:rsid w:val="00970F7D"/>
    <w:rsid w:val="00994A3D"/>
    <w:rsid w:val="009C2B12"/>
    <w:rsid w:val="00A142A5"/>
    <w:rsid w:val="00A174D9"/>
    <w:rsid w:val="00A601DB"/>
    <w:rsid w:val="00AA4D24"/>
    <w:rsid w:val="00AB6715"/>
    <w:rsid w:val="00AE7E40"/>
    <w:rsid w:val="00B1671E"/>
    <w:rsid w:val="00B25EB8"/>
    <w:rsid w:val="00B37F4D"/>
    <w:rsid w:val="00B5769F"/>
    <w:rsid w:val="00C52A7B"/>
    <w:rsid w:val="00C56BAF"/>
    <w:rsid w:val="00C679AA"/>
    <w:rsid w:val="00C75972"/>
    <w:rsid w:val="00CB1E9E"/>
    <w:rsid w:val="00CC4EF3"/>
    <w:rsid w:val="00CD066B"/>
    <w:rsid w:val="00CE4FEE"/>
    <w:rsid w:val="00D060CF"/>
    <w:rsid w:val="00D06C81"/>
    <w:rsid w:val="00D24834"/>
    <w:rsid w:val="00D96A7A"/>
    <w:rsid w:val="00DB59C3"/>
    <w:rsid w:val="00DC259A"/>
    <w:rsid w:val="00DE23E8"/>
    <w:rsid w:val="00E128ED"/>
    <w:rsid w:val="00E30F98"/>
    <w:rsid w:val="00E40931"/>
    <w:rsid w:val="00E52377"/>
    <w:rsid w:val="00E537AD"/>
    <w:rsid w:val="00E64E17"/>
    <w:rsid w:val="00E866C9"/>
    <w:rsid w:val="00E900A5"/>
    <w:rsid w:val="00EA3D3C"/>
    <w:rsid w:val="00EC090A"/>
    <w:rsid w:val="00ED20B5"/>
    <w:rsid w:val="00F46900"/>
    <w:rsid w:val="00F61D89"/>
    <w:rsid w:val="00FC58E1"/>
    <w:rsid w:val="00FE08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DB94A"/>
  <w15:docId w15:val="{88748FF8-5D22-488D-A39B-60AD93690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B6715"/>
    <w:pPr>
      <w:spacing w:before="120" w:after="240" w:line="240" w:lineRule="auto"/>
    </w:pPr>
    <w:rPr>
      <w:rFonts w:ascii="Times New Roman" w:hAnsi="Times New Roman"/>
      <w:sz w:val="24"/>
    </w:rPr>
  </w:style>
  <w:style w:type="paragraph" w:styleId="1">
    <w:name w:val="heading 1"/>
    <w:basedOn w:val="a"/>
    <w:next w:val="a0"/>
    <w:link w:val="10"/>
    <w:uiPriority w:val="2"/>
    <w:qFormat/>
    <w:rsid w:val="00AB6715"/>
    <w:pPr>
      <w:numPr>
        <w:numId w:val="19"/>
      </w:numPr>
      <w:spacing w:before="240"/>
      <w:contextualSpacing w:val="0"/>
      <w:outlineLvl w:val="0"/>
    </w:pPr>
    <w:rPr>
      <w:b/>
    </w:rPr>
  </w:style>
  <w:style w:type="paragraph" w:styleId="2">
    <w:name w:val="heading 2"/>
    <w:basedOn w:val="1"/>
    <w:next w:val="a0"/>
    <w:link w:val="20"/>
    <w:uiPriority w:val="2"/>
    <w:qFormat/>
    <w:rsid w:val="00AB6715"/>
    <w:pPr>
      <w:numPr>
        <w:ilvl w:val="1"/>
      </w:numPr>
      <w:spacing w:after="200"/>
      <w:outlineLvl w:val="1"/>
    </w:pPr>
  </w:style>
  <w:style w:type="paragraph" w:styleId="3">
    <w:name w:val="heading 3"/>
    <w:basedOn w:val="a0"/>
    <w:next w:val="a0"/>
    <w:link w:val="30"/>
    <w:uiPriority w:val="2"/>
    <w:qFormat/>
    <w:rsid w:val="00AB6715"/>
    <w:pPr>
      <w:keepNext/>
      <w:keepLines/>
      <w:numPr>
        <w:ilvl w:val="2"/>
        <w:numId w:val="19"/>
      </w:numPr>
      <w:spacing w:before="40" w:after="120"/>
      <w:outlineLvl w:val="2"/>
    </w:pPr>
    <w:rPr>
      <w:rFonts w:eastAsiaTheme="majorEastAsia" w:cstheme="majorBidi"/>
      <w:b/>
      <w:szCs w:val="24"/>
    </w:rPr>
  </w:style>
  <w:style w:type="paragraph" w:styleId="4">
    <w:name w:val="heading 4"/>
    <w:basedOn w:val="3"/>
    <w:next w:val="a0"/>
    <w:link w:val="40"/>
    <w:uiPriority w:val="2"/>
    <w:qFormat/>
    <w:rsid w:val="00AB6715"/>
    <w:pPr>
      <w:numPr>
        <w:ilvl w:val="3"/>
      </w:numPr>
      <w:outlineLvl w:val="3"/>
    </w:pPr>
    <w:rPr>
      <w:iCs/>
    </w:rPr>
  </w:style>
  <w:style w:type="paragraph" w:styleId="5">
    <w:name w:val="heading 5"/>
    <w:basedOn w:val="4"/>
    <w:next w:val="a0"/>
    <w:link w:val="50"/>
    <w:uiPriority w:val="2"/>
    <w:qFormat/>
    <w:rsid w:val="00AB6715"/>
    <w:pPr>
      <w:numPr>
        <w:ilvl w:val="4"/>
      </w:numPr>
      <w:outlineLvl w:val="4"/>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标题 1 字符"/>
    <w:basedOn w:val="a1"/>
    <w:link w:val="1"/>
    <w:uiPriority w:val="2"/>
    <w:rsid w:val="00AB6715"/>
    <w:rPr>
      <w:rFonts w:ascii="Times New Roman" w:eastAsia="Cambria" w:hAnsi="Times New Roman" w:cs="Times New Roman"/>
      <w:b/>
      <w:sz w:val="24"/>
      <w:szCs w:val="24"/>
    </w:rPr>
  </w:style>
  <w:style w:type="character" w:customStyle="1" w:styleId="20">
    <w:name w:val="标题 2 字符"/>
    <w:basedOn w:val="a1"/>
    <w:link w:val="2"/>
    <w:uiPriority w:val="2"/>
    <w:rsid w:val="00AB6715"/>
    <w:rPr>
      <w:rFonts w:ascii="Times New Roman" w:eastAsia="Cambria" w:hAnsi="Times New Roman" w:cs="Times New Roman"/>
      <w:b/>
      <w:sz w:val="24"/>
      <w:szCs w:val="24"/>
    </w:rPr>
  </w:style>
  <w:style w:type="paragraph" w:styleId="a4">
    <w:name w:val="Subtitle"/>
    <w:basedOn w:val="a0"/>
    <w:next w:val="a0"/>
    <w:link w:val="a5"/>
    <w:uiPriority w:val="99"/>
    <w:unhideWhenUsed/>
    <w:qFormat/>
    <w:rsid w:val="00AB6715"/>
    <w:pPr>
      <w:spacing w:before="240"/>
    </w:pPr>
    <w:rPr>
      <w:rFonts w:cs="Times New Roman"/>
      <w:b/>
      <w:szCs w:val="24"/>
    </w:rPr>
  </w:style>
  <w:style w:type="character" w:customStyle="1" w:styleId="a5">
    <w:name w:val="副标题 字符"/>
    <w:basedOn w:val="a1"/>
    <w:link w:val="a4"/>
    <w:uiPriority w:val="99"/>
    <w:rsid w:val="00AB6715"/>
    <w:rPr>
      <w:rFonts w:ascii="Times New Roman" w:hAnsi="Times New Roman" w:cs="Times New Roman"/>
      <w:b/>
      <w:sz w:val="24"/>
      <w:szCs w:val="24"/>
    </w:rPr>
  </w:style>
  <w:style w:type="paragraph" w:customStyle="1" w:styleId="AuthorList">
    <w:name w:val="Author List"/>
    <w:aliases w:val="Keywords,Abstract"/>
    <w:basedOn w:val="a4"/>
    <w:next w:val="a0"/>
    <w:uiPriority w:val="1"/>
    <w:qFormat/>
    <w:rsid w:val="00AB6715"/>
  </w:style>
  <w:style w:type="paragraph" w:styleId="a6">
    <w:name w:val="Balloon Text"/>
    <w:basedOn w:val="a0"/>
    <w:link w:val="a7"/>
    <w:uiPriority w:val="99"/>
    <w:semiHidden/>
    <w:unhideWhenUsed/>
    <w:rsid w:val="00AB6715"/>
    <w:pPr>
      <w:spacing w:after="0"/>
    </w:pPr>
    <w:rPr>
      <w:rFonts w:ascii="Tahoma" w:hAnsi="Tahoma" w:cs="Tahoma"/>
      <w:sz w:val="16"/>
      <w:szCs w:val="16"/>
    </w:rPr>
  </w:style>
  <w:style w:type="character" w:customStyle="1" w:styleId="a7">
    <w:name w:val="批注框文本 字符"/>
    <w:basedOn w:val="a1"/>
    <w:link w:val="a6"/>
    <w:uiPriority w:val="99"/>
    <w:semiHidden/>
    <w:rsid w:val="00AB6715"/>
    <w:rPr>
      <w:rFonts w:ascii="Tahoma" w:hAnsi="Tahoma" w:cs="Tahoma"/>
      <w:sz w:val="16"/>
      <w:szCs w:val="16"/>
    </w:rPr>
  </w:style>
  <w:style w:type="character" w:styleId="a8">
    <w:name w:val="Book Title"/>
    <w:basedOn w:val="a1"/>
    <w:uiPriority w:val="33"/>
    <w:qFormat/>
    <w:rsid w:val="00AB6715"/>
    <w:rPr>
      <w:rFonts w:ascii="Times New Roman" w:hAnsi="Times New Roman"/>
      <w:b/>
      <w:bCs/>
      <w:i/>
      <w:iCs/>
      <w:spacing w:val="5"/>
    </w:rPr>
  </w:style>
  <w:style w:type="paragraph" w:styleId="a9">
    <w:name w:val="caption"/>
    <w:basedOn w:val="a0"/>
    <w:next w:val="aa"/>
    <w:uiPriority w:val="35"/>
    <w:unhideWhenUsed/>
    <w:qFormat/>
    <w:rsid w:val="00AB6715"/>
    <w:pPr>
      <w:keepNext/>
    </w:pPr>
    <w:rPr>
      <w:rFonts w:cs="Times New Roman"/>
      <w:b/>
      <w:bCs/>
      <w:szCs w:val="24"/>
    </w:rPr>
  </w:style>
  <w:style w:type="paragraph" w:styleId="aa">
    <w:name w:val="No Spacing"/>
    <w:uiPriority w:val="99"/>
    <w:unhideWhenUsed/>
    <w:qFormat/>
    <w:rsid w:val="00AB6715"/>
    <w:pPr>
      <w:spacing w:after="0" w:line="240" w:lineRule="auto"/>
    </w:pPr>
    <w:rPr>
      <w:rFonts w:ascii="Times New Roman" w:hAnsi="Times New Roman"/>
      <w:sz w:val="24"/>
    </w:rPr>
  </w:style>
  <w:style w:type="character" w:styleId="ab">
    <w:name w:val="annotation reference"/>
    <w:basedOn w:val="a1"/>
    <w:uiPriority w:val="99"/>
    <w:semiHidden/>
    <w:unhideWhenUsed/>
    <w:rsid w:val="00AB6715"/>
    <w:rPr>
      <w:sz w:val="16"/>
      <w:szCs w:val="16"/>
    </w:rPr>
  </w:style>
  <w:style w:type="paragraph" w:styleId="ac">
    <w:name w:val="annotation text"/>
    <w:basedOn w:val="a0"/>
    <w:link w:val="ad"/>
    <w:uiPriority w:val="99"/>
    <w:semiHidden/>
    <w:unhideWhenUsed/>
    <w:rsid w:val="00AB6715"/>
    <w:rPr>
      <w:sz w:val="20"/>
      <w:szCs w:val="20"/>
    </w:rPr>
  </w:style>
  <w:style w:type="character" w:customStyle="1" w:styleId="ad">
    <w:name w:val="批注文字 字符"/>
    <w:basedOn w:val="a1"/>
    <w:link w:val="ac"/>
    <w:uiPriority w:val="99"/>
    <w:semiHidden/>
    <w:rsid w:val="00AB6715"/>
    <w:rPr>
      <w:rFonts w:ascii="Times New Roman" w:hAnsi="Times New Roman"/>
      <w:sz w:val="20"/>
      <w:szCs w:val="20"/>
    </w:rPr>
  </w:style>
  <w:style w:type="paragraph" w:styleId="ae">
    <w:name w:val="annotation subject"/>
    <w:basedOn w:val="ac"/>
    <w:next w:val="ac"/>
    <w:link w:val="af"/>
    <w:uiPriority w:val="99"/>
    <w:semiHidden/>
    <w:unhideWhenUsed/>
    <w:rsid w:val="00AB6715"/>
    <w:rPr>
      <w:b/>
      <w:bCs/>
    </w:rPr>
  </w:style>
  <w:style w:type="character" w:customStyle="1" w:styleId="af">
    <w:name w:val="批注主题 字符"/>
    <w:basedOn w:val="ad"/>
    <w:link w:val="ae"/>
    <w:uiPriority w:val="99"/>
    <w:semiHidden/>
    <w:rsid w:val="00AB6715"/>
    <w:rPr>
      <w:rFonts w:ascii="Times New Roman" w:hAnsi="Times New Roman"/>
      <w:b/>
      <w:bCs/>
      <w:sz w:val="20"/>
      <w:szCs w:val="20"/>
    </w:rPr>
  </w:style>
  <w:style w:type="character" w:styleId="af0">
    <w:name w:val="Emphasis"/>
    <w:basedOn w:val="a1"/>
    <w:uiPriority w:val="20"/>
    <w:qFormat/>
    <w:rsid w:val="00AB6715"/>
    <w:rPr>
      <w:rFonts w:ascii="Times New Roman" w:hAnsi="Times New Roman"/>
      <w:i/>
      <w:iCs/>
    </w:rPr>
  </w:style>
  <w:style w:type="character" w:styleId="af1">
    <w:name w:val="endnote reference"/>
    <w:basedOn w:val="a1"/>
    <w:uiPriority w:val="99"/>
    <w:semiHidden/>
    <w:unhideWhenUsed/>
    <w:rsid w:val="00AB6715"/>
    <w:rPr>
      <w:vertAlign w:val="superscript"/>
    </w:rPr>
  </w:style>
  <w:style w:type="paragraph" w:styleId="af2">
    <w:name w:val="endnote text"/>
    <w:basedOn w:val="a0"/>
    <w:link w:val="af3"/>
    <w:uiPriority w:val="99"/>
    <w:semiHidden/>
    <w:unhideWhenUsed/>
    <w:rsid w:val="00AB6715"/>
    <w:pPr>
      <w:spacing w:after="0"/>
    </w:pPr>
    <w:rPr>
      <w:sz w:val="20"/>
      <w:szCs w:val="20"/>
    </w:rPr>
  </w:style>
  <w:style w:type="character" w:customStyle="1" w:styleId="af3">
    <w:name w:val="尾注文本 字符"/>
    <w:basedOn w:val="a1"/>
    <w:link w:val="af2"/>
    <w:uiPriority w:val="99"/>
    <w:semiHidden/>
    <w:rsid w:val="00AB6715"/>
    <w:rPr>
      <w:rFonts w:ascii="Times New Roman" w:hAnsi="Times New Roman"/>
      <w:sz w:val="20"/>
      <w:szCs w:val="20"/>
    </w:rPr>
  </w:style>
  <w:style w:type="character" w:styleId="af4">
    <w:name w:val="FollowedHyperlink"/>
    <w:basedOn w:val="a1"/>
    <w:uiPriority w:val="99"/>
    <w:semiHidden/>
    <w:unhideWhenUsed/>
    <w:rsid w:val="00AB6715"/>
    <w:rPr>
      <w:color w:val="800080" w:themeColor="followedHyperlink"/>
      <w:u w:val="single"/>
    </w:rPr>
  </w:style>
  <w:style w:type="paragraph" w:styleId="af5">
    <w:name w:val="footer"/>
    <w:basedOn w:val="a0"/>
    <w:link w:val="af6"/>
    <w:uiPriority w:val="99"/>
    <w:unhideWhenUsed/>
    <w:rsid w:val="00AB6715"/>
    <w:pPr>
      <w:tabs>
        <w:tab w:val="center" w:pos="4844"/>
        <w:tab w:val="right" w:pos="9689"/>
      </w:tabs>
      <w:spacing w:after="0"/>
    </w:pPr>
  </w:style>
  <w:style w:type="character" w:customStyle="1" w:styleId="af6">
    <w:name w:val="页脚 字符"/>
    <w:basedOn w:val="a1"/>
    <w:link w:val="af5"/>
    <w:uiPriority w:val="99"/>
    <w:rsid w:val="00AB6715"/>
    <w:rPr>
      <w:rFonts w:ascii="Times New Roman" w:hAnsi="Times New Roman"/>
      <w:sz w:val="24"/>
    </w:rPr>
  </w:style>
  <w:style w:type="character" w:styleId="af7">
    <w:name w:val="footnote reference"/>
    <w:basedOn w:val="a1"/>
    <w:uiPriority w:val="99"/>
    <w:semiHidden/>
    <w:unhideWhenUsed/>
    <w:rsid w:val="00AB6715"/>
    <w:rPr>
      <w:vertAlign w:val="superscript"/>
    </w:rPr>
  </w:style>
  <w:style w:type="paragraph" w:styleId="af8">
    <w:name w:val="footnote text"/>
    <w:basedOn w:val="a0"/>
    <w:link w:val="af9"/>
    <w:uiPriority w:val="99"/>
    <w:semiHidden/>
    <w:unhideWhenUsed/>
    <w:rsid w:val="00AB6715"/>
    <w:pPr>
      <w:spacing w:after="0"/>
    </w:pPr>
    <w:rPr>
      <w:sz w:val="20"/>
      <w:szCs w:val="20"/>
    </w:rPr>
  </w:style>
  <w:style w:type="character" w:customStyle="1" w:styleId="af9">
    <w:name w:val="脚注文本 字符"/>
    <w:basedOn w:val="a1"/>
    <w:link w:val="af8"/>
    <w:uiPriority w:val="99"/>
    <w:semiHidden/>
    <w:rsid w:val="00AB6715"/>
    <w:rPr>
      <w:rFonts w:ascii="Times New Roman" w:hAnsi="Times New Roman"/>
      <w:sz w:val="20"/>
      <w:szCs w:val="20"/>
    </w:rPr>
  </w:style>
  <w:style w:type="paragraph" w:styleId="afa">
    <w:name w:val="header"/>
    <w:basedOn w:val="a0"/>
    <w:link w:val="afb"/>
    <w:uiPriority w:val="99"/>
    <w:unhideWhenUsed/>
    <w:rsid w:val="00AB6715"/>
    <w:pPr>
      <w:tabs>
        <w:tab w:val="center" w:pos="4844"/>
        <w:tab w:val="right" w:pos="9689"/>
      </w:tabs>
    </w:pPr>
    <w:rPr>
      <w:b/>
    </w:rPr>
  </w:style>
  <w:style w:type="character" w:customStyle="1" w:styleId="afb">
    <w:name w:val="页眉 字符"/>
    <w:basedOn w:val="a1"/>
    <w:link w:val="afa"/>
    <w:uiPriority w:val="99"/>
    <w:rsid w:val="00AB6715"/>
    <w:rPr>
      <w:rFonts w:ascii="Times New Roman" w:hAnsi="Times New Roman"/>
      <w:b/>
      <w:sz w:val="24"/>
    </w:rPr>
  </w:style>
  <w:style w:type="paragraph" w:styleId="a">
    <w:name w:val="List Paragraph"/>
    <w:basedOn w:val="a0"/>
    <w:uiPriority w:val="3"/>
    <w:qFormat/>
    <w:rsid w:val="00AB6715"/>
    <w:pPr>
      <w:numPr>
        <w:numId w:val="13"/>
      </w:numPr>
      <w:contextualSpacing/>
    </w:pPr>
    <w:rPr>
      <w:rFonts w:eastAsia="Cambria" w:cs="Times New Roman"/>
      <w:szCs w:val="24"/>
    </w:rPr>
  </w:style>
  <w:style w:type="numbering" w:customStyle="1" w:styleId="Headings">
    <w:name w:val="Headings"/>
    <w:uiPriority w:val="99"/>
    <w:rsid w:val="00AB6715"/>
    <w:pPr>
      <w:numPr>
        <w:numId w:val="14"/>
      </w:numPr>
    </w:pPr>
  </w:style>
  <w:style w:type="character" w:styleId="afc">
    <w:name w:val="Hyperlink"/>
    <w:basedOn w:val="a1"/>
    <w:uiPriority w:val="99"/>
    <w:unhideWhenUsed/>
    <w:rsid w:val="00AB6715"/>
    <w:rPr>
      <w:color w:val="0000FF"/>
      <w:u w:val="single"/>
    </w:rPr>
  </w:style>
  <w:style w:type="character" w:styleId="afd">
    <w:name w:val="Intense Emphasis"/>
    <w:basedOn w:val="a1"/>
    <w:uiPriority w:val="21"/>
    <w:unhideWhenUsed/>
    <w:rsid w:val="00AB6715"/>
    <w:rPr>
      <w:rFonts w:ascii="Times New Roman" w:hAnsi="Times New Roman"/>
      <w:i/>
      <w:iCs/>
      <w:color w:val="auto"/>
    </w:rPr>
  </w:style>
  <w:style w:type="character" w:styleId="afe">
    <w:name w:val="Intense Reference"/>
    <w:basedOn w:val="a1"/>
    <w:uiPriority w:val="32"/>
    <w:qFormat/>
    <w:rsid w:val="00AB6715"/>
    <w:rPr>
      <w:b/>
      <w:bCs/>
      <w:smallCaps/>
      <w:color w:val="auto"/>
      <w:spacing w:val="5"/>
    </w:rPr>
  </w:style>
  <w:style w:type="character" w:styleId="aff">
    <w:name w:val="line number"/>
    <w:basedOn w:val="a1"/>
    <w:uiPriority w:val="99"/>
    <w:semiHidden/>
    <w:unhideWhenUsed/>
    <w:rsid w:val="00AB6715"/>
  </w:style>
  <w:style w:type="character" w:customStyle="1" w:styleId="30">
    <w:name w:val="标题 3 字符"/>
    <w:basedOn w:val="a1"/>
    <w:link w:val="3"/>
    <w:uiPriority w:val="2"/>
    <w:rsid w:val="00AB6715"/>
    <w:rPr>
      <w:rFonts w:ascii="Times New Roman" w:eastAsiaTheme="majorEastAsia" w:hAnsi="Times New Roman" w:cstheme="majorBidi"/>
      <w:b/>
      <w:sz w:val="24"/>
      <w:szCs w:val="24"/>
    </w:rPr>
  </w:style>
  <w:style w:type="character" w:customStyle="1" w:styleId="40">
    <w:name w:val="标题 4 字符"/>
    <w:basedOn w:val="a1"/>
    <w:link w:val="4"/>
    <w:uiPriority w:val="2"/>
    <w:rsid w:val="00AB6715"/>
    <w:rPr>
      <w:rFonts w:ascii="Times New Roman" w:eastAsiaTheme="majorEastAsia" w:hAnsi="Times New Roman" w:cstheme="majorBidi"/>
      <w:b/>
      <w:iCs/>
      <w:sz w:val="24"/>
      <w:szCs w:val="24"/>
    </w:rPr>
  </w:style>
  <w:style w:type="character" w:customStyle="1" w:styleId="50">
    <w:name w:val="标题 5 字符"/>
    <w:basedOn w:val="a1"/>
    <w:link w:val="5"/>
    <w:uiPriority w:val="2"/>
    <w:rsid w:val="00AB6715"/>
    <w:rPr>
      <w:rFonts w:ascii="Times New Roman" w:eastAsiaTheme="majorEastAsia" w:hAnsi="Times New Roman" w:cstheme="majorBidi"/>
      <w:b/>
      <w:iCs/>
      <w:sz w:val="24"/>
      <w:szCs w:val="24"/>
    </w:rPr>
  </w:style>
  <w:style w:type="paragraph" w:styleId="aff0">
    <w:name w:val="Normal (Web)"/>
    <w:basedOn w:val="a0"/>
    <w:uiPriority w:val="99"/>
    <w:unhideWhenUsed/>
    <w:rsid w:val="00AB6715"/>
    <w:pPr>
      <w:spacing w:before="100" w:beforeAutospacing="1" w:after="100" w:afterAutospacing="1"/>
    </w:pPr>
    <w:rPr>
      <w:rFonts w:eastAsia="Times New Roman" w:cs="Times New Roman"/>
      <w:szCs w:val="24"/>
    </w:rPr>
  </w:style>
  <w:style w:type="paragraph" w:styleId="aff1">
    <w:name w:val="Quote"/>
    <w:basedOn w:val="a0"/>
    <w:next w:val="a0"/>
    <w:link w:val="aff2"/>
    <w:uiPriority w:val="29"/>
    <w:qFormat/>
    <w:rsid w:val="00AB6715"/>
    <w:pPr>
      <w:spacing w:before="200" w:after="160"/>
      <w:ind w:left="864" w:right="864"/>
      <w:jc w:val="center"/>
    </w:pPr>
    <w:rPr>
      <w:i/>
      <w:iCs/>
      <w:color w:val="404040" w:themeColor="text1" w:themeTint="BF"/>
    </w:rPr>
  </w:style>
  <w:style w:type="character" w:customStyle="1" w:styleId="aff2">
    <w:name w:val="引用 字符"/>
    <w:basedOn w:val="a1"/>
    <w:link w:val="aff1"/>
    <w:uiPriority w:val="29"/>
    <w:rsid w:val="00AB6715"/>
    <w:rPr>
      <w:rFonts w:ascii="Times New Roman" w:hAnsi="Times New Roman"/>
      <w:i/>
      <w:iCs/>
      <w:color w:val="404040" w:themeColor="text1" w:themeTint="BF"/>
      <w:sz w:val="24"/>
    </w:rPr>
  </w:style>
  <w:style w:type="character" w:styleId="aff3">
    <w:name w:val="Strong"/>
    <w:basedOn w:val="a1"/>
    <w:uiPriority w:val="22"/>
    <w:qFormat/>
    <w:rsid w:val="00AB6715"/>
    <w:rPr>
      <w:rFonts w:ascii="Times New Roman" w:hAnsi="Times New Roman"/>
      <w:b/>
      <w:bCs/>
    </w:rPr>
  </w:style>
  <w:style w:type="character" w:styleId="aff4">
    <w:name w:val="Subtle Emphasis"/>
    <w:basedOn w:val="a1"/>
    <w:uiPriority w:val="19"/>
    <w:qFormat/>
    <w:rsid w:val="00AB6715"/>
    <w:rPr>
      <w:rFonts w:ascii="Times New Roman" w:hAnsi="Times New Roman"/>
      <w:i/>
      <w:iCs/>
      <w:color w:val="404040" w:themeColor="text1" w:themeTint="BF"/>
    </w:rPr>
  </w:style>
  <w:style w:type="table" w:styleId="aff5">
    <w:name w:val="Table Grid"/>
    <w:basedOn w:val="a2"/>
    <w:uiPriority w:val="59"/>
    <w:rsid w:val="00AB6715"/>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Title"/>
    <w:basedOn w:val="a0"/>
    <w:next w:val="a0"/>
    <w:link w:val="aff7"/>
    <w:qFormat/>
    <w:rsid w:val="00AB6715"/>
    <w:pPr>
      <w:suppressLineNumbers/>
      <w:spacing w:before="240" w:after="360"/>
      <w:jc w:val="center"/>
    </w:pPr>
    <w:rPr>
      <w:rFonts w:cs="Times New Roman"/>
      <w:b/>
      <w:sz w:val="32"/>
      <w:szCs w:val="32"/>
    </w:rPr>
  </w:style>
  <w:style w:type="character" w:customStyle="1" w:styleId="aff7">
    <w:name w:val="标题 字符"/>
    <w:basedOn w:val="a1"/>
    <w:link w:val="aff6"/>
    <w:rsid w:val="00AB6715"/>
    <w:rPr>
      <w:rFonts w:ascii="Times New Roman" w:hAnsi="Times New Roman" w:cs="Times New Roman"/>
      <w:b/>
      <w:sz w:val="32"/>
      <w:szCs w:val="32"/>
    </w:rPr>
  </w:style>
  <w:style w:type="paragraph" w:customStyle="1" w:styleId="SupplementaryMaterial">
    <w:name w:val="Supplementary Material"/>
    <w:basedOn w:val="aff6"/>
    <w:next w:val="aff6"/>
    <w:qFormat/>
    <w:rsid w:val="0001436A"/>
    <w:pPr>
      <w:spacing w:after="120"/>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hua.stocco\Documents\Templates\Frontiers_Word_Templ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7A95B22-B4E8-4C8E-ABCB-1E2B9143F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C:\Users\joshua.stocco\Documents\Templates\Frontiers_Word_Templates\Supplementary_Material.dotx</Template>
  <TotalTime>34</TotalTime>
  <Pages>2</Pages>
  <Words>2698</Words>
  <Characters>15384</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Frontiers Media SA</dc:creator>
  <cp:lastModifiedBy>q z</cp:lastModifiedBy>
  <cp:revision>47</cp:revision>
  <cp:lastPrinted>2013-10-03T12:51:00Z</cp:lastPrinted>
  <dcterms:created xsi:type="dcterms:W3CDTF">2018-11-23T08:58:00Z</dcterms:created>
  <dcterms:modified xsi:type="dcterms:W3CDTF">2024-05-18T08:23:00Z</dcterms:modified>
</cp:coreProperties>
</file>