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Supplemental Table 2.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The proportion of the top 10 species distributed at the genus level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3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426"/>
        <w:gridCol w:w="1426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Firmicutes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70.15%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71.61%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Bacteroidota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17.38%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15.79%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Proteobacteria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5.66%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6.24%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Actinobacteriota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4.90%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3.26%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Verrucomicrobiota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Desulfobacterota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Fusobacteriota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Cyanobacteria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Synergistota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Patescibacteria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Unassigned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TVhODAxMzU2ODdjMzEzMDk5ZWVkZmUyYzllZDcifQ=="/>
  </w:docVars>
  <w:rsids>
    <w:rsidRoot w:val="05322DF8"/>
    <w:rsid w:val="05322DF8"/>
    <w:rsid w:val="3E02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2024-03-19T07:08:00Z</dcterms:created>
  <dc:creator>追梦^O^</dc:creator>
  <cp:lastModifiedBy>追梦^O^</cp:lastModifiedBy>
  <dcterms:modified xsi:type="dcterms:W3CDTF">2024-04-23T07:55:18Z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26FDCCA5ED8C48D9905000CA1229A5F1_11</vt:lpwstr>
  </property>
</Properties>
</file>