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1AF05" w14:textId="77777777" w:rsidR="007304F6" w:rsidRDefault="007304F6" w:rsidP="007304F6">
      <w:pPr>
        <w:spacing w:line="480" w:lineRule="auto"/>
        <w:rPr>
          <w:rFonts w:ascii="Arial" w:hAnsi="Arial" w:cs="Arial"/>
          <w:sz w:val="18"/>
          <w:szCs w:val="20"/>
        </w:rPr>
      </w:pPr>
      <w:r>
        <w:rPr>
          <w:noProof/>
        </w:rPr>
        <w:drawing>
          <wp:inline distT="0" distB="0" distL="0" distR="0" wp14:anchorId="466660C3" wp14:editId="609AFCA5">
            <wp:extent cx="5274310" cy="2501900"/>
            <wp:effectExtent l="0" t="0" r="2540" b="0"/>
            <wp:docPr id="15996110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110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4441C" w14:textId="77777777" w:rsidR="007304F6" w:rsidRPr="00021E3B" w:rsidRDefault="007304F6" w:rsidP="007304F6">
      <w:pPr>
        <w:rPr>
          <w:rFonts w:ascii="Arial" w:hAnsi="Arial" w:cs="Arial"/>
          <w:sz w:val="18"/>
          <w:szCs w:val="20"/>
        </w:rPr>
      </w:pPr>
      <w:bookmarkStart w:id="0" w:name="_Hlk137833814"/>
      <w:r w:rsidRPr="00021E3B">
        <w:rPr>
          <w:rFonts w:ascii="Arial" w:hAnsi="Arial" w:cs="Arial"/>
          <w:sz w:val="18"/>
          <w:szCs w:val="20"/>
        </w:rPr>
        <w:t>Supplementary Figure 1</w:t>
      </w:r>
      <w:bookmarkEnd w:id="0"/>
      <w:r w:rsidRPr="00021E3B">
        <w:rPr>
          <w:rFonts w:ascii="Arial" w:hAnsi="Arial" w:cs="Arial"/>
          <w:sz w:val="18"/>
          <w:szCs w:val="20"/>
        </w:rPr>
        <w:t xml:space="preserve"> Flow diagram for this study cohort</w:t>
      </w:r>
      <w:r>
        <w:rPr>
          <w:rFonts w:ascii="Arial" w:hAnsi="Arial" w:cs="Arial"/>
          <w:sz w:val="18"/>
          <w:szCs w:val="20"/>
        </w:rPr>
        <w:t>.</w:t>
      </w:r>
    </w:p>
    <w:p w14:paraId="2105B23A" w14:textId="77777777" w:rsidR="007304F6" w:rsidRDefault="007304F6" w:rsidP="007304F6">
      <w:pPr>
        <w:spacing w:line="480" w:lineRule="auto"/>
        <w:rPr>
          <w:rFonts w:ascii="Arial" w:hAnsi="Arial" w:cs="Arial"/>
          <w:sz w:val="18"/>
          <w:szCs w:val="20"/>
        </w:rPr>
      </w:pPr>
    </w:p>
    <w:p w14:paraId="72931C8E" w14:textId="77777777" w:rsidR="007304F6" w:rsidRDefault="007304F6" w:rsidP="007304F6">
      <w:pPr>
        <w:spacing w:line="480" w:lineRule="auto"/>
        <w:rPr>
          <w:rFonts w:ascii="Arial" w:hAnsi="Arial" w:cs="Arial"/>
          <w:sz w:val="18"/>
          <w:szCs w:val="20"/>
        </w:rPr>
      </w:pPr>
    </w:p>
    <w:p w14:paraId="10BB6A5A" w14:textId="77777777" w:rsidR="007304F6" w:rsidRDefault="007304F6" w:rsidP="007304F6">
      <w:pPr>
        <w:spacing w:line="480" w:lineRule="auto"/>
        <w:rPr>
          <w:rFonts w:ascii="Arial" w:hAnsi="Arial" w:cs="Arial"/>
          <w:sz w:val="18"/>
          <w:szCs w:val="20"/>
        </w:rPr>
      </w:pPr>
    </w:p>
    <w:p w14:paraId="00EBAE6E" w14:textId="77777777" w:rsidR="007304F6" w:rsidRPr="00976507" w:rsidRDefault="007304F6" w:rsidP="007304F6">
      <w:pPr>
        <w:spacing w:line="480" w:lineRule="auto"/>
        <w:rPr>
          <w:rFonts w:ascii="Arial" w:hAnsi="Arial" w:cs="Arial"/>
          <w:sz w:val="18"/>
          <w:szCs w:val="20"/>
        </w:rPr>
      </w:pPr>
    </w:p>
    <w:p w14:paraId="6C8F5A1F" w14:textId="77777777" w:rsidR="007304F6" w:rsidRPr="00E22984" w:rsidRDefault="007304F6" w:rsidP="007304F6">
      <w:pPr>
        <w:widowControl/>
        <w:shd w:val="clear" w:color="auto" w:fill="FCFCFC"/>
        <w:spacing w:line="480" w:lineRule="auto"/>
        <w:jc w:val="left"/>
        <w:outlineLvl w:val="2"/>
        <w:rPr>
          <w:rFonts w:ascii="Georgia" w:eastAsia="宋体" w:hAnsi="Georgia" w:cs="宋体"/>
          <w:color w:val="333333"/>
          <w:kern w:val="0"/>
          <w:sz w:val="27"/>
          <w:szCs w:val="27"/>
        </w:rPr>
      </w:pPr>
    </w:p>
    <w:p w14:paraId="52813EE3" w14:textId="77777777" w:rsidR="007304F6" w:rsidRDefault="007304F6" w:rsidP="007304F6">
      <w:pPr>
        <w:spacing w:line="480" w:lineRule="auto"/>
        <w:rPr>
          <w:rFonts w:ascii="Arial" w:hAnsi="Arial" w:cs="Arial"/>
          <w:sz w:val="18"/>
          <w:szCs w:val="20"/>
        </w:rPr>
      </w:pPr>
      <w:r>
        <w:rPr>
          <w:noProof/>
        </w:rPr>
        <w:drawing>
          <wp:inline distT="0" distB="0" distL="0" distR="0" wp14:anchorId="34DB1DAF" wp14:editId="550E90F3">
            <wp:extent cx="3446846" cy="2358762"/>
            <wp:effectExtent l="0" t="0" r="1270" b="3810"/>
            <wp:docPr id="13260964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0964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0337" cy="236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677EF" w14:textId="347CC8DD" w:rsidR="007304F6" w:rsidRPr="00021E3B" w:rsidRDefault="007304F6" w:rsidP="007304F6">
      <w:pPr>
        <w:rPr>
          <w:rFonts w:ascii="Arial" w:hAnsi="Arial" w:cs="Arial"/>
          <w:sz w:val="18"/>
          <w:szCs w:val="20"/>
        </w:rPr>
      </w:pPr>
      <w:r w:rsidRPr="00021E3B">
        <w:rPr>
          <w:rFonts w:ascii="Arial" w:hAnsi="Arial" w:cs="Arial"/>
          <w:sz w:val="18"/>
          <w:szCs w:val="20"/>
        </w:rPr>
        <w:t xml:space="preserve">Supplementary Figure 2 Trends </w:t>
      </w:r>
      <w:r w:rsidR="004E520E">
        <w:rPr>
          <w:rFonts w:ascii="Arial" w:hAnsi="Arial" w:cs="Arial" w:hint="eastAsia"/>
          <w:sz w:val="18"/>
          <w:szCs w:val="20"/>
        </w:rPr>
        <w:t>of</w:t>
      </w:r>
      <w:r w:rsidR="004E520E" w:rsidRPr="00021E3B">
        <w:rPr>
          <w:rFonts w:ascii="Arial" w:hAnsi="Arial" w:cs="Arial"/>
          <w:sz w:val="18"/>
          <w:szCs w:val="20"/>
        </w:rPr>
        <w:t xml:space="preserve"> </w:t>
      </w:r>
      <w:r w:rsidRPr="00021E3B">
        <w:rPr>
          <w:rFonts w:ascii="Arial" w:hAnsi="Arial" w:cs="Arial" w:hint="eastAsia"/>
          <w:sz w:val="18"/>
          <w:szCs w:val="20"/>
        </w:rPr>
        <w:t>t</w:t>
      </w:r>
      <w:r w:rsidRPr="00021E3B">
        <w:rPr>
          <w:rFonts w:ascii="Arial" w:hAnsi="Arial" w:cs="Arial"/>
          <w:sz w:val="18"/>
          <w:szCs w:val="20"/>
        </w:rPr>
        <w:t xml:space="preserve">he proportion of </w:t>
      </w:r>
      <w:r w:rsidR="004E520E" w:rsidRPr="00021E3B">
        <w:rPr>
          <w:rFonts w:ascii="Arial" w:hAnsi="Arial" w:cs="Arial"/>
          <w:sz w:val="18"/>
          <w:szCs w:val="20"/>
        </w:rPr>
        <w:t xml:space="preserve">metaplastic breast cancer </w:t>
      </w:r>
      <w:r w:rsidR="004E520E" w:rsidRPr="00292CA6">
        <w:rPr>
          <w:rFonts w:ascii="Arial" w:hAnsi="Arial" w:cs="Arial"/>
          <w:sz w:val="18"/>
          <w:szCs w:val="20"/>
        </w:rPr>
        <w:t xml:space="preserve">patients </w:t>
      </w:r>
      <w:r w:rsidR="004E520E">
        <w:rPr>
          <w:rFonts w:ascii="Arial" w:hAnsi="Arial" w:cs="Arial" w:hint="eastAsia"/>
          <w:sz w:val="18"/>
          <w:szCs w:val="20"/>
        </w:rPr>
        <w:t xml:space="preserve">with </w:t>
      </w:r>
      <w:r w:rsidR="00FB17ED" w:rsidRPr="00292CA6">
        <w:rPr>
          <w:rFonts w:ascii="Arial" w:hAnsi="Arial" w:cs="Arial"/>
          <w:sz w:val="18"/>
          <w:szCs w:val="20"/>
        </w:rPr>
        <w:t>different</w:t>
      </w:r>
      <w:r w:rsidR="00FB17ED" w:rsidRPr="00021E3B">
        <w:rPr>
          <w:rFonts w:ascii="Arial" w:hAnsi="Arial" w:cs="Arial"/>
          <w:sz w:val="18"/>
          <w:szCs w:val="20"/>
        </w:rPr>
        <w:t xml:space="preserve"> </w:t>
      </w:r>
      <w:r w:rsidRPr="00021E3B">
        <w:rPr>
          <w:rFonts w:ascii="Arial" w:hAnsi="Arial" w:cs="Arial"/>
          <w:sz w:val="18"/>
          <w:szCs w:val="20"/>
        </w:rPr>
        <w:t>hormone receptor status</w:t>
      </w:r>
      <w:r w:rsidR="00FB17ED">
        <w:rPr>
          <w:rFonts w:ascii="Arial" w:hAnsi="Arial" w:cs="Arial" w:hint="eastAsia"/>
          <w:sz w:val="18"/>
          <w:szCs w:val="20"/>
        </w:rPr>
        <w:t xml:space="preserve">es </w:t>
      </w:r>
      <w:r w:rsidRPr="00021E3B">
        <w:rPr>
          <w:rFonts w:ascii="Arial" w:hAnsi="Arial" w:cs="Arial"/>
          <w:sz w:val="18"/>
          <w:szCs w:val="20"/>
        </w:rPr>
        <w:t>(P= 0.004)</w:t>
      </w:r>
      <w:r>
        <w:rPr>
          <w:rFonts w:ascii="Arial" w:hAnsi="Arial" w:cs="Arial"/>
          <w:sz w:val="18"/>
          <w:szCs w:val="20"/>
        </w:rPr>
        <w:t>.</w:t>
      </w:r>
    </w:p>
    <w:p w14:paraId="6743F41F" w14:textId="77777777" w:rsidR="007304F6" w:rsidRPr="00FB17ED" w:rsidRDefault="007304F6" w:rsidP="007304F6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</w:rPr>
      </w:pPr>
    </w:p>
    <w:p w14:paraId="34F94379" w14:textId="77777777" w:rsidR="007304F6" w:rsidRPr="004E520E" w:rsidRDefault="007304F6" w:rsidP="007304F6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</w:rPr>
      </w:pPr>
    </w:p>
    <w:p w14:paraId="599E363F" w14:textId="77777777" w:rsidR="007304F6" w:rsidRDefault="007304F6" w:rsidP="007304F6">
      <w:pPr>
        <w:spacing w:line="480" w:lineRule="auto"/>
        <w:rPr>
          <w:rFonts w:ascii="Arial" w:hAnsi="Arial" w:cs="Arial"/>
          <w:sz w:val="18"/>
          <w:szCs w:val="20"/>
        </w:rPr>
      </w:pPr>
      <w:r>
        <w:rPr>
          <w:noProof/>
        </w:rPr>
        <w:lastRenderedPageBreak/>
        <w:drawing>
          <wp:inline distT="0" distB="0" distL="0" distR="0" wp14:anchorId="2ADB93F8" wp14:editId="44C854D4">
            <wp:extent cx="5274310" cy="2632075"/>
            <wp:effectExtent l="0" t="0" r="2540" b="0"/>
            <wp:docPr id="7604368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368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3FF0E" w14:textId="3DAC0A68" w:rsidR="007304F6" w:rsidRPr="00021E3B" w:rsidRDefault="007304F6" w:rsidP="007304F6">
      <w:pPr>
        <w:rPr>
          <w:rFonts w:ascii="Arial" w:hAnsi="Arial" w:cs="Arial"/>
          <w:sz w:val="18"/>
          <w:szCs w:val="20"/>
        </w:rPr>
      </w:pPr>
      <w:bookmarkStart w:id="1" w:name="_Hlk145277863"/>
      <w:r w:rsidRPr="00021E3B">
        <w:rPr>
          <w:rFonts w:ascii="Arial" w:hAnsi="Arial" w:cs="Arial"/>
          <w:sz w:val="18"/>
          <w:szCs w:val="20"/>
        </w:rPr>
        <w:t xml:space="preserve">Supplementary </w:t>
      </w:r>
      <w:bookmarkEnd w:id="1"/>
      <w:r w:rsidRPr="00021E3B">
        <w:rPr>
          <w:rFonts w:ascii="Arial" w:hAnsi="Arial" w:cs="Arial"/>
          <w:sz w:val="18"/>
          <w:szCs w:val="20"/>
        </w:rPr>
        <w:t xml:space="preserve">Figure 3 </w:t>
      </w:r>
      <w:r w:rsidR="00C76080">
        <w:rPr>
          <w:rFonts w:ascii="Arial" w:hAnsi="Arial" w:cs="Arial" w:hint="eastAsia"/>
          <w:sz w:val="18"/>
          <w:szCs w:val="20"/>
        </w:rPr>
        <w:t>S</w:t>
      </w:r>
      <w:r w:rsidRPr="00021E3B">
        <w:rPr>
          <w:rFonts w:ascii="Arial" w:hAnsi="Arial" w:cs="Arial"/>
          <w:sz w:val="18"/>
          <w:szCs w:val="20"/>
        </w:rPr>
        <w:t>urvival trend</w:t>
      </w:r>
      <w:r w:rsidR="00C76080">
        <w:rPr>
          <w:rFonts w:ascii="Arial" w:hAnsi="Arial" w:cs="Arial" w:hint="eastAsia"/>
          <w:sz w:val="18"/>
          <w:szCs w:val="20"/>
        </w:rPr>
        <w:t>s</w:t>
      </w:r>
      <w:r w:rsidRPr="00021E3B">
        <w:rPr>
          <w:rFonts w:ascii="Arial" w:hAnsi="Arial" w:cs="Arial"/>
          <w:sz w:val="18"/>
          <w:szCs w:val="20"/>
        </w:rPr>
        <w:t xml:space="preserve"> of all metaplastic breast cancer patients</w:t>
      </w:r>
      <w:r>
        <w:rPr>
          <w:rFonts w:ascii="Arial" w:hAnsi="Arial" w:cs="Arial" w:hint="eastAsia"/>
          <w:sz w:val="18"/>
          <w:szCs w:val="20"/>
        </w:rPr>
        <w:t>.</w:t>
      </w:r>
      <w:r>
        <w:rPr>
          <w:rFonts w:ascii="Arial" w:hAnsi="Arial" w:cs="Arial"/>
          <w:sz w:val="18"/>
          <w:szCs w:val="20"/>
        </w:rPr>
        <w:t xml:space="preserve"> </w:t>
      </w:r>
      <w:r w:rsidRPr="002B44F2">
        <w:rPr>
          <w:rFonts w:ascii="Arial" w:hAnsi="Arial" w:cs="Arial"/>
          <w:sz w:val="18"/>
          <w:szCs w:val="20"/>
        </w:rPr>
        <w:t>(a)</w:t>
      </w:r>
      <w:r w:rsidR="00C76080">
        <w:rPr>
          <w:rFonts w:ascii="Arial" w:hAnsi="Arial" w:cs="Arial" w:hint="eastAsia"/>
          <w:sz w:val="18"/>
          <w:szCs w:val="20"/>
        </w:rPr>
        <w:t>Five</w:t>
      </w:r>
      <w:r w:rsidRPr="00021E3B">
        <w:rPr>
          <w:rFonts w:ascii="Arial" w:hAnsi="Arial" w:cs="Arial"/>
          <w:sz w:val="18"/>
          <w:szCs w:val="20"/>
        </w:rPr>
        <w:t>-year o</w:t>
      </w:r>
      <w:r w:rsidRPr="00021E3B">
        <w:rPr>
          <w:rFonts w:ascii="Arial" w:hAnsi="Arial" w:cs="Arial" w:hint="eastAsia"/>
          <w:sz w:val="18"/>
          <w:szCs w:val="20"/>
        </w:rPr>
        <w:t>ver</w:t>
      </w:r>
      <w:r w:rsidRPr="00021E3B">
        <w:rPr>
          <w:rFonts w:ascii="Arial" w:hAnsi="Arial" w:cs="Arial"/>
          <w:sz w:val="18"/>
          <w:szCs w:val="20"/>
        </w:rPr>
        <w:t xml:space="preserve">all survival; (b) </w:t>
      </w:r>
      <w:r w:rsidR="00C76080">
        <w:rPr>
          <w:rFonts w:ascii="Arial" w:hAnsi="Arial" w:cs="Arial" w:hint="eastAsia"/>
          <w:sz w:val="18"/>
          <w:szCs w:val="20"/>
        </w:rPr>
        <w:t>five</w:t>
      </w:r>
      <w:r w:rsidRPr="00021E3B">
        <w:rPr>
          <w:rFonts w:ascii="Arial" w:hAnsi="Arial" w:cs="Arial"/>
          <w:sz w:val="18"/>
          <w:szCs w:val="20"/>
        </w:rPr>
        <w:t>-year breast cancer-specific survival. P-value</w:t>
      </w:r>
      <w:r w:rsidR="00C76080">
        <w:rPr>
          <w:rFonts w:ascii="Arial" w:hAnsi="Arial" w:cs="Arial" w:hint="eastAsia"/>
          <w:sz w:val="18"/>
          <w:szCs w:val="20"/>
        </w:rPr>
        <w:t>s</w:t>
      </w:r>
      <w:r w:rsidRPr="00021E3B">
        <w:rPr>
          <w:rFonts w:ascii="Arial" w:hAnsi="Arial" w:cs="Arial"/>
          <w:sz w:val="18"/>
          <w:szCs w:val="20"/>
        </w:rPr>
        <w:t xml:space="preserve"> </w:t>
      </w:r>
      <w:r w:rsidR="00C76080" w:rsidRPr="00021E3B">
        <w:rPr>
          <w:rFonts w:ascii="Arial" w:hAnsi="Arial" w:cs="Arial"/>
          <w:sz w:val="18"/>
          <w:szCs w:val="20"/>
        </w:rPr>
        <w:t>w</w:t>
      </w:r>
      <w:r w:rsidR="00C76080">
        <w:rPr>
          <w:rFonts w:ascii="Arial" w:hAnsi="Arial" w:cs="Arial" w:hint="eastAsia"/>
          <w:sz w:val="18"/>
          <w:szCs w:val="20"/>
        </w:rPr>
        <w:t>ere</w:t>
      </w:r>
      <w:r w:rsidR="00C76080" w:rsidRPr="00021E3B">
        <w:rPr>
          <w:rFonts w:ascii="Arial" w:hAnsi="Arial" w:cs="Arial"/>
          <w:sz w:val="18"/>
          <w:szCs w:val="20"/>
        </w:rPr>
        <w:t xml:space="preserve"> </w:t>
      </w:r>
      <w:r w:rsidRPr="00021E3B">
        <w:rPr>
          <w:rFonts w:ascii="Arial" w:hAnsi="Arial" w:cs="Arial"/>
          <w:sz w:val="18"/>
          <w:szCs w:val="20"/>
        </w:rPr>
        <w:t xml:space="preserve">determined </w:t>
      </w:r>
      <w:r w:rsidR="00C76080">
        <w:rPr>
          <w:rFonts w:ascii="Arial" w:hAnsi="Arial" w:cs="Arial" w:hint="eastAsia"/>
          <w:sz w:val="18"/>
          <w:szCs w:val="20"/>
        </w:rPr>
        <w:t>via</w:t>
      </w:r>
      <w:r w:rsidRPr="00021E3B">
        <w:rPr>
          <w:rFonts w:ascii="Arial" w:hAnsi="Arial" w:cs="Arial"/>
          <w:sz w:val="18"/>
          <w:szCs w:val="20"/>
        </w:rPr>
        <w:t xml:space="preserve"> </w:t>
      </w:r>
      <w:r w:rsidR="00C76080">
        <w:rPr>
          <w:rFonts w:ascii="Arial" w:hAnsi="Arial" w:cs="Arial" w:hint="eastAsia"/>
          <w:sz w:val="18"/>
          <w:szCs w:val="20"/>
        </w:rPr>
        <w:t xml:space="preserve">the </w:t>
      </w:r>
      <w:r w:rsidRPr="00021E3B">
        <w:rPr>
          <w:rFonts w:ascii="Arial" w:hAnsi="Arial" w:cs="Arial"/>
          <w:sz w:val="18"/>
          <w:szCs w:val="20"/>
        </w:rPr>
        <w:t>univariate log-rank test.</w:t>
      </w:r>
    </w:p>
    <w:p w14:paraId="39AC92B4" w14:textId="77777777" w:rsidR="007304F6" w:rsidRPr="00E22984" w:rsidRDefault="007304F6" w:rsidP="007304F6">
      <w:pPr>
        <w:spacing w:line="480" w:lineRule="auto"/>
        <w:rPr>
          <w:rFonts w:ascii="Arial" w:hAnsi="Arial" w:cs="Arial"/>
        </w:rPr>
      </w:pPr>
    </w:p>
    <w:p w14:paraId="2C84DC55" w14:textId="77777777" w:rsidR="007304F6" w:rsidRDefault="007304F6" w:rsidP="007304F6">
      <w:pPr>
        <w:spacing w:line="480" w:lineRule="auto"/>
        <w:rPr>
          <w:rFonts w:ascii="Arial" w:hAnsi="Arial" w:cs="Arial"/>
          <w:sz w:val="18"/>
          <w:szCs w:val="20"/>
        </w:rPr>
      </w:pPr>
      <w:r>
        <w:rPr>
          <w:noProof/>
        </w:rPr>
        <w:drawing>
          <wp:inline distT="0" distB="0" distL="0" distR="0" wp14:anchorId="546B2AA5" wp14:editId="2E4FEFC8">
            <wp:extent cx="5274310" cy="2650490"/>
            <wp:effectExtent l="0" t="0" r="2540" b="0"/>
            <wp:docPr id="17819260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260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573A9" w14:textId="3C27C1F9" w:rsidR="007304F6" w:rsidRPr="0026238B" w:rsidRDefault="007304F6" w:rsidP="007304F6">
      <w:pPr>
        <w:rPr>
          <w:rFonts w:ascii="Arial" w:hAnsi="Arial" w:cs="Arial"/>
          <w:sz w:val="18"/>
          <w:szCs w:val="20"/>
        </w:rPr>
      </w:pPr>
      <w:r w:rsidRPr="002B44F2">
        <w:rPr>
          <w:rFonts w:ascii="Arial" w:hAnsi="Arial" w:cs="Arial"/>
          <w:sz w:val="18"/>
          <w:szCs w:val="20"/>
        </w:rPr>
        <w:t>Supplementary Figure 4 The survival of metaplastic breast cancer patients with different hormone receptor status</w:t>
      </w:r>
      <w:r>
        <w:rPr>
          <w:rFonts w:ascii="Arial" w:hAnsi="Arial" w:cs="Arial" w:hint="eastAsia"/>
          <w:sz w:val="18"/>
          <w:szCs w:val="20"/>
        </w:rPr>
        <w:t>es</w:t>
      </w:r>
      <w:r w:rsidRPr="002B44F2">
        <w:rPr>
          <w:rFonts w:ascii="Arial" w:hAnsi="Arial" w:cs="Arial"/>
          <w:sz w:val="18"/>
          <w:szCs w:val="20"/>
        </w:rPr>
        <w:t>.</w:t>
      </w:r>
      <w:bookmarkStart w:id="2" w:name="_Hlk152542811"/>
      <w:r>
        <w:rPr>
          <w:rFonts w:ascii="Arial" w:hAnsi="Arial" w:cs="Arial"/>
          <w:sz w:val="18"/>
          <w:szCs w:val="20"/>
        </w:rPr>
        <w:t xml:space="preserve"> </w:t>
      </w:r>
      <w:r w:rsidRPr="002B44F2">
        <w:rPr>
          <w:rFonts w:ascii="Arial" w:hAnsi="Arial" w:cs="Arial"/>
          <w:sz w:val="18"/>
          <w:szCs w:val="20"/>
        </w:rPr>
        <w:t xml:space="preserve">(a) </w:t>
      </w:r>
      <w:bookmarkEnd w:id="2"/>
      <w:r w:rsidR="00C76080">
        <w:rPr>
          <w:rFonts w:ascii="Arial" w:hAnsi="Arial" w:cs="Arial" w:hint="eastAsia"/>
          <w:sz w:val="18"/>
          <w:szCs w:val="20"/>
        </w:rPr>
        <w:t>Five</w:t>
      </w:r>
      <w:r w:rsidRPr="002B44F2">
        <w:rPr>
          <w:rFonts w:ascii="Arial" w:hAnsi="Arial" w:cs="Arial"/>
          <w:sz w:val="18"/>
          <w:szCs w:val="20"/>
        </w:rPr>
        <w:t>-year o</w:t>
      </w:r>
      <w:r w:rsidRPr="002B44F2">
        <w:rPr>
          <w:rFonts w:ascii="Arial" w:hAnsi="Arial" w:cs="Arial" w:hint="eastAsia"/>
          <w:sz w:val="18"/>
          <w:szCs w:val="20"/>
        </w:rPr>
        <w:t>ver</w:t>
      </w:r>
      <w:r w:rsidRPr="002B44F2">
        <w:rPr>
          <w:rFonts w:ascii="Arial" w:hAnsi="Arial" w:cs="Arial"/>
          <w:sz w:val="18"/>
          <w:szCs w:val="20"/>
        </w:rPr>
        <w:t xml:space="preserve">all survival; (b) </w:t>
      </w:r>
      <w:r w:rsidR="00C76080">
        <w:rPr>
          <w:rFonts w:ascii="Arial" w:hAnsi="Arial" w:cs="Arial" w:hint="eastAsia"/>
          <w:sz w:val="18"/>
          <w:szCs w:val="20"/>
        </w:rPr>
        <w:t>five</w:t>
      </w:r>
      <w:r w:rsidRPr="002B44F2">
        <w:rPr>
          <w:rFonts w:ascii="Arial" w:hAnsi="Arial" w:cs="Arial"/>
          <w:sz w:val="18"/>
          <w:szCs w:val="20"/>
        </w:rPr>
        <w:t>-year breast cancer-specific survival. P-value</w:t>
      </w:r>
      <w:r w:rsidR="00C76080">
        <w:rPr>
          <w:rFonts w:ascii="Arial" w:hAnsi="Arial" w:cs="Arial" w:hint="eastAsia"/>
          <w:sz w:val="18"/>
          <w:szCs w:val="20"/>
        </w:rPr>
        <w:t>s</w:t>
      </w:r>
      <w:r w:rsidRPr="002B44F2">
        <w:rPr>
          <w:rFonts w:ascii="Arial" w:hAnsi="Arial" w:cs="Arial"/>
          <w:sz w:val="18"/>
          <w:szCs w:val="20"/>
        </w:rPr>
        <w:t xml:space="preserve"> </w:t>
      </w:r>
      <w:r w:rsidR="00C76080" w:rsidRPr="002B44F2">
        <w:rPr>
          <w:rFonts w:ascii="Arial" w:hAnsi="Arial" w:cs="Arial"/>
          <w:sz w:val="18"/>
          <w:szCs w:val="20"/>
        </w:rPr>
        <w:t>w</w:t>
      </w:r>
      <w:r w:rsidR="00C76080">
        <w:rPr>
          <w:rFonts w:ascii="Arial" w:hAnsi="Arial" w:cs="Arial" w:hint="eastAsia"/>
          <w:sz w:val="18"/>
          <w:szCs w:val="20"/>
        </w:rPr>
        <w:t>ere</w:t>
      </w:r>
      <w:r w:rsidR="00C76080" w:rsidRPr="002B44F2">
        <w:rPr>
          <w:rFonts w:ascii="Arial" w:hAnsi="Arial" w:cs="Arial"/>
          <w:sz w:val="18"/>
          <w:szCs w:val="20"/>
        </w:rPr>
        <w:t xml:space="preserve"> </w:t>
      </w:r>
      <w:r w:rsidRPr="002B44F2">
        <w:rPr>
          <w:rFonts w:ascii="Arial" w:hAnsi="Arial" w:cs="Arial"/>
          <w:sz w:val="18"/>
          <w:szCs w:val="20"/>
        </w:rPr>
        <w:t xml:space="preserve">determined </w:t>
      </w:r>
      <w:r w:rsidR="00C76080">
        <w:rPr>
          <w:rFonts w:ascii="Arial" w:hAnsi="Arial" w:cs="Arial" w:hint="eastAsia"/>
          <w:sz w:val="18"/>
          <w:szCs w:val="20"/>
        </w:rPr>
        <w:t>via the</w:t>
      </w:r>
      <w:r w:rsidRPr="002B44F2">
        <w:rPr>
          <w:rFonts w:ascii="Arial" w:hAnsi="Arial" w:cs="Arial"/>
          <w:sz w:val="18"/>
          <w:szCs w:val="20"/>
        </w:rPr>
        <w:t xml:space="preserve"> univariate log-rank test</w:t>
      </w:r>
      <w:r w:rsidRPr="002B44F2">
        <w:rPr>
          <w:rFonts w:ascii="Arial" w:hAnsi="Arial" w:cs="Arial" w:hint="eastAsia"/>
          <w:sz w:val="18"/>
          <w:szCs w:val="20"/>
        </w:rPr>
        <w:t>.</w:t>
      </w:r>
    </w:p>
    <w:p w14:paraId="6C32D882" w14:textId="77777777" w:rsidR="007304F6" w:rsidRPr="00C76080" w:rsidRDefault="007304F6" w:rsidP="007304F6">
      <w:pPr>
        <w:spacing w:line="480" w:lineRule="auto"/>
        <w:rPr>
          <w:rFonts w:ascii="Arial" w:hAnsi="Arial" w:cs="Arial"/>
          <w:sz w:val="18"/>
          <w:szCs w:val="20"/>
        </w:rPr>
      </w:pPr>
    </w:p>
    <w:p w14:paraId="75A8E351" w14:textId="77777777" w:rsidR="007304F6" w:rsidRDefault="007304F6" w:rsidP="007304F6">
      <w:pPr>
        <w:spacing w:line="480" w:lineRule="auto"/>
        <w:rPr>
          <w:rFonts w:ascii="Arial" w:hAnsi="Arial" w:cs="Arial"/>
          <w:sz w:val="18"/>
          <w:szCs w:val="20"/>
        </w:rPr>
      </w:pPr>
    </w:p>
    <w:p w14:paraId="6B259E5F" w14:textId="77777777" w:rsidR="007304F6" w:rsidRDefault="007304F6" w:rsidP="007304F6">
      <w:pPr>
        <w:spacing w:line="480" w:lineRule="auto"/>
        <w:rPr>
          <w:rFonts w:ascii="Arial" w:hAnsi="Arial" w:cs="Arial"/>
          <w:sz w:val="18"/>
          <w:szCs w:val="20"/>
        </w:rPr>
      </w:pPr>
      <w:r>
        <w:rPr>
          <w:noProof/>
        </w:rPr>
        <w:lastRenderedPageBreak/>
        <w:drawing>
          <wp:inline distT="0" distB="0" distL="0" distR="0" wp14:anchorId="4BAE9E74" wp14:editId="050196F8">
            <wp:extent cx="5274310" cy="3474720"/>
            <wp:effectExtent l="0" t="0" r="2540" b="0"/>
            <wp:docPr id="13294326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43269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99DC5" w14:textId="0AA678F1" w:rsidR="007304F6" w:rsidRDefault="007304F6" w:rsidP="007304F6">
      <w:pPr>
        <w:rPr>
          <w:rFonts w:ascii="Arial" w:hAnsi="Arial" w:cs="Arial"/>
          <w:sz w:val="18"/>
          <w:szCs w:val="20"/>
        </w:rPr>
      </w:pPr>
      <w:bookmarkStart w:id="3" w:name="_Hlk145513329"/>
      <w:r w:rsidRPr="00202B6E">
        <w:rPr>
          <w:rFonts w:ascii="Arial" w:hAnsi="Arial" w:cs="Arial"/>
          <w:sz w:val="18"/>
          <w:szCs w:val="20"/>
        </w:rPr>
        <w:t>Supplementary Figure 5</w:t>
      </w:r>
      <w:bookmarkEnd w:id="3"/>
      <w:r w:rsidRPr="00202B6E">
        <w:rPr>
          <w:rFonts w:ascii="Arial" w:hAnsi="Arial" w:cs="Arial"/>
          <w:sz w:val="18"/>
          <w:szCs w:val="20"/>
        </w:rPr>
        <w:t xml:space="preserve"> The survival of metaplastic breast cancer patients </w:t>
      </w:r>
      <w:bookmarkStart w:id="4" w:name="_Hlk145512624"/>
      <w:r w:rsidRPr="00202B6E">
        <w:rPr>
          <w:rFonts w:ascii="Arial" w:hAnsi="Arial" w:cs="Arial"/>
          <w:sz w:val="18"/>
          <w:szCs w:val="20"/>
        </w:rPr>
        <w:t>by race groupings</w:t>
      </w:r>
      <w:bookmarkEnd w:id="4"/>
      <w:r>
        <w:rPr>
          <w:rFonts w:ascii="Arial" w:hAnsi="Arial" w:cs="Arial" w:hint="eastAsia"/>
          <w:sz w:val="18"/>
          <w:szCs w:val="20"/>
        </w:rPr>
        <w:t>.</w:t>
      </w:r>
      <w:r w:rsidRPr="00202B6E">
        <w:rPr>
          <w:rFonts w:ascii="Arial" w:hAnsi="Arial" w:cs="Arial"/>
          <w:sz w:val="18"/>
          <w:szCs w:val="20"/>
        </w:rPr>
        <w:t xml:space="preserve"> (a, b) </w:t>
      </w:r>
      <w:r w:rsidR="00893469">
        <w:rPr>
          <w:rFonts w:ascii="Arial" w:hAnsi="Arial" w:cs="Arial" w:hint="eastAsia"/>
          <w:sz w:val="18"/>
          <w:szCs w:val="20"/>
        </w:rPr>
        <w:t>Five</w:t>
      </w:r>
      <w:r w:rsidRPr="00202B6E">
        <w:rPr>
          <w:rFonts w:ascii="Arial" w:hAnsi="Arial" w:cs="Arial"/>
          <w:sz w:val="18"/>
          <w:szCs w:val="20"/>
        </w:rPr>
        <w:t>-year o</w:t>
      </w:r>
      <w:r w:rsidRPr="00202B6E">
        <w:rPr>
          <w:rFonts w:ascii="Arial" w:hAnsi="Arial" w:cs="Arial" w:hint="eastAsia"/>
          <w:sz w:val="18"/>
          <w:szCs w:val="20"/>
        </w:rPr>
        <w:t>ver</w:t>
      </w:r>
      <w:r w:rsidRPr="00202B6E">
        <w:rPr>
          <w:rFonts w:ascii="Arial" w:hAnsi="Arial" w:cs="Arial"/>
          <w:sz w:val="18"/>
          <w:szCs w:val="20"/>
        </w:rPr>
        <w:t xml:space="preserve">all survival and breast cancer-specific survival of </w:t>
      </w:r>
      <w:r w:rsidR="00893469" w:rsidRPr="002B44F2">
        <w:rPr>
          <w:rFonts w:ascii="Arial" w:hAnsi="Arial" w:cs="Arial"/>
          <w:sz w:val="18"/>
          <w:szCs w:val="20"/>
        </w:rPr>
        <w:t>hormone receptor</w:t>
      </w:r>
      <w:r w:rsidR="00C91CE7">
        <w:rPr>
          <w:rFonts w:ascii="Arial" w:hAnsi="Arial" w:cs="Arial" w:hint="eastAsia"/>
          <w:sz w:val="18"/>
          <w:szCs w:val="20"/>
        </w:rPr>
        <w:t>-</w:t>
      </w:r>
      <w:r w:rsidRPr="00202B6E">
        <w:rPr>
          <w:rFonts w:ascii="Arial" w:hAnsi="Arial" w:cs="Arial"/>
          <w:sz w:val="18"/>
          <w:szCs w:val="20"/>
        </w:rPr>
        <w:t>negative patients by race groupings; (c, d)</w:t>
      </w:r>
      <w:r w:rsidR="00FE5830">
        <w:rPr>
          <w:rFonts w:ascii="Arial" w:hAnsi="Arial" w:cs="Arial" w:hint="eastAsia"/>
          <w:sz w:val="18"/>
          <w:szCs w:val="20"/>
        </w:rPr>
        <w:t xml:space="preserve"> </w:t>
      </w:r>
      <w:r w:rsidR="00893469">
        <w:rPr>
          <w:rFonts w:ascii="Arial" w:hAnsi="Arial" w:cs="Arial" w:hint="eastAsia"/>
          <w:sz w:val="18"/>
          <w:szCs w:val="20"/>
        </w:rPr>
        <w:t>five</w:t>
      </w:r>
      <w:r w:rsidRPr="00202B6E">
        <w:rPr>
          <w:rFonts w:ascii="Arial" w:hAnsi="Arial" w:cs="Arial"/>
          <w:sz w:val="18"/>
          <w:szCs w:val="20"/>
        </w:rPr>
        <w:t>-year o</w:t>
      </w:r>
      <w:r w:rsidRPr="00202B6E">
        <w:rPr>
          <w:rFonts w:ascii="Arial" w:hAnsi="Arial" w:cs="Arial" w:hint="eastAsia"/>
          <w:sz w:val="18"/>
          <w:szCs w:val="20"/>
        </w:rPr>
        <w:t>ver</w:t>
      </w:r>
      <w:r w:rsidRPr="00202B6E">
        <w:rPr>
          <w:rFonts w:ascii="Arial" w:hAnsi="Arial" w:cs="Arial"/>
          <w:sz w:val="18"/>
          <w:szCs w:val="20"/>
        </w:rPr>
        <w:t xml:space="preserve">all survival and breast cancer-specific survival of </w:t>
      </w:r>
      <w:r w:rsidR="00893469" w:rsidRPr="002B44F2">
        <w:rPr>
          <w:rFonts w:ascii="Arial" w:hAnsi="Arial" w:cs="Arial"/>
          <w:sz w:val="18"/>
          <w:szCs w:val="20"/>
        </w:rPr>
        <w:t>hormone receptor</w:t>
      </w:r>
      <w:r w:rsidR="00C91CE7">
        <w:rPr>
          <w:rFonts w:ascii="Arial" w:hAnsi="Arial" w:cs="Arial" w:hint="eastAsia"/>
          <w:sz w:val="18"/>
          <w:szCs w:val="20"/>
        </w:rPr>
        <w:t>-</w:t>
      </w:r>
      <w:r w:rsidRPr="00202B6E">
        <w:rPr>
          <w:rFonts w:ascii="Arial" w:hAnsi="Arial" w:cs="Arial"/>
          <w:sz w:val="18"/>
          <w:szCs w:val="20"/>
        </w:rPr>
        <w:t>positive patients by race groupings. P-value</w:t>
      </w:r>
      <w:r w:rsidR="00893469">
        <w:rPr>
          <w:rFonts w:ascii="Arial" w:hAnsi="Arial" w:cs="Arial" w:hint="eastAsia"/>
          <w:sz w:val="18"/>
          <w:szCs w:val="20"/>
        </w:rPr>
        <w:t>s</w:t>
      </w:r>
      <w:r w:rsidRPr="00202B6E">
        <w:rPr>
          <w:rFonts w:ascii="Arial" w:hAnsi="Arial" w:cs="Arial"/>
          <w:sz w:val="18"/>
          <w:szCs w:val="20"/>
        </w:rPr>
        <w:t xml:space="preserve"> </w:t>
      </w:r>
      <w:r w:rsidR="00893469" w:rsidRPr="00202B6E">
        <w:rPr>
          <w:rFonts w:ascii="Arial" w:hAnsi="Arial" w:cs="Arial"/>
          <w:sz w:val="18"/>
          <w:szCs w:val="20"/>
        </w:rPr>
        <w:t>w</w:t>
      </w:r>
      <w:r w:rsidR="00893469">
        <w:rPr>
          <w:rFonts w:ascii="Arial" w:hAnsi="Arial" w:cs="Arial" w:hint="eastAsia"/>
          <w:sz w:val="18"/>
          <w:szCs w:val="20"/>
        </w:rPr>
        <w:t xml:space="preserve">ere </w:t>
      </w:r>
      <w:r w:rsidRPr="00202B6E">
        <w:rPr>
          <w:rFonts w:ascii="Arial" w:hAnsi="Arial" w:cs="Arial"/>
          <w:sz w:val="18"/>
          <w:szCs w:val="20"/>
        </w:rPr>
        <w:t xml:space="preserve">determined </w:t>
      </w:r>
      <w:r w:rsidR="00893469">
        <w:rPr>
          <w:rFonts w:ascii="Arial" w:hAnsi="Arial" w:cs="Arial" w:hint="eastAsia"/>
          <w:sz w:val="18"/>
          <w:szCs w:val="20"/>
        </w:rPr>
        <w:t>via</w:t>
      </w:r>
      <w:r w:rsidR="00893469" w:rsidRPr="00202B6E">
        <w:rPr>
          <w:rFonts w:ascii="Arial" w:hAnsi="Arial" w:cs="Arial"/>
          <w:sz w:val="18"/>
          <w:szCs w:val="20"/>
        </w:rPr>
        <w:t xml:space="preserve"> </w:t>
      </w:r>
      <w:r w:rsidRPr="00202B6E">
        <w:rPr>
          <w:rFonts w:ascii="Arial" w:hAnsi="Arial" w:cs="Arial"/>
          <w:sz w:val="18"/>
          <w:szCs w:val="20"/>
        </w:rPr>
        <w:t>univariate log-rank test.</w:t>
      </w:r>
    </w:p>
    <w:p w14:paraId="0161A43A" w14:textId="77777777" w:rsidR="00FC33DF" w:rsidRPr="00893469" w:rsidRDefault="00FC33DF">
      <w:pPr>
        <w:rPr>
          <w:rFonts w:hint="eastAsia"/>
        </w:rPr>
      </w:pPr>
    </w:p>
    <w:sectPr w:rsidR="00FC33DF" w:rsidRPr="00893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DC43D" w14:textId="77777777" w:rsidR="00304804" w:rsidRDefault="00304804" w:rsidP="007304F6">
      <w:pPr>
        <w:rPr>
          <w:rFonts w:hint="eastAsia"/>
        </w:rPr>
      </w:pPr>
      <w:r>
        <w:separator/>
      </w:r>
    </w:p>
  </w:endnote>
  <w:endnote w:type="continuationSeparator" w:id="0">
    <w:p w14:paraId="079F0A29" w14:textId="77777777" w:rsidR="00304804" w:rsidRDefault="00304804" w:rsidP="007304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D6507" w14:textId="77777777" w:rsidR="00304804" w:rsidRDefault="00304804" w:rsidP="007304F6">
      <w:pPr>
        <w:rPr>
          <w:rFonts w:hint="eastAsia"/>
        </w:rPr>
      </w:pPr>
      <w:r>
        <w:separator/>
      </w:r>
    </w:p>
  </w:footnote>
  <w:footnote w:type="continuationSeparator" w:id="0">
    <w:p w14:paraId="7C522B6B" w14:textId="77777777" w:rsidR="00304804" w:rsidRDefault="00304804" w:rsidP="007304F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trackRevisions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382"/>
    <w:rsid w:val="000B40DC"/>
    <w:rsid w:val="001340B0"/>
    <w:rsid w:val="00304804"/>
    <w:rsid w:val="003E5A8E"/>
    <w:rsid w:val="004E520E"/>
    <w:rsid w:val="007304F6"/>
    <w:rsid w:val="00893469"/>
    <w:rsid w:val="0094773C"/>
    <w:rsid w:val="00B07D41"/>
    <w:rsid w:val="00B34650"/>
    <w:rsid w:val="00C76080"/>
    <w:rsid w:val="00C91CE7"/>
    <w:rsid w:val="00D136A9"/>
    <w:rsid w:val="00DB01C7"/>
    <w:rsid w:val="00E52382"/>
    <w:rsid w:val="00FB17ED"/>
    <w:rsid w:val="00FC33DF"/>
    <w:rsid w:val="00FD3BCB"/>
    <w:rsid w:val="00FE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1FAF4"/>
  <w15:chartTrackingRefBased/>
  <w15:docId w15:val="{959594CF-24FE-471E-A74D-38A5F750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4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4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04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0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04F6"/>
    <w:rPr>
      <w:sz w:val="18"/>
      <w:szCs w:val="18"/>
    </w:rPr>
  </w:style>
  <w:style w:type="paragraph" w:styleId="a7">
    <w:name w:val="Revision"/>
    <w:hidden/>
    <w:uiPriority w:val="99"/>
    <w:semiHidden/>
    <w:rsid w:val="00C76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Yinlong Yang</dc:creator>
  <cp:keywords/>
  <dc:description/>
  <cp:lastModifiedBy>Yinlong Yang</cp:lastModifiedBy>
  <cp:revision>9</cp:revision>
  <dcterms:created xsi:type="dcterms:W3CDTF">2024-04-01T15:26:00Z</dcterms:created>
  <dcterms:modified xsi:type="dcterms:W3CDTF">2024-11-10T11:03:00Z</dcterms:modified>
</cp:coreProperties>
</file>