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7022E" w14:textId="77777777" w:rsidR="000D7FBA" w:rsidRDefault="000D7FBA" w:rsidP="000D7FBA">
      <w:pPr>
        <w:spacing w:after="0"/>
        <w:jc w:val="both"/>
        <w:rPr>
          <w:rFonts w:ascii="Times New Roman" w:hAnsi="Times New Roman" w:cs="Times New Roman"/>
          <w:b/>
          <w:bCs/>
          <w:sz w:val="24"/>
          <w:szCs w:val="24"/>
        </w:rPr>
      </w:pPr>
      <w:r>
        <w:rPr>
          <w:rFonts w:ascii="Times New Roman" w:hAnsi="Times New Roman" w:cs="Times New Roman"/>
          <w:b/>
          <w:bCs/>
          <w:sz w:val="24"/>
          <w:szCs w:val="24"/>
        </w:rPr>
        <w:t>Table 1</w:t>
      </w:r>
      <w:r>
        <w:rPr>
          <w:rFonts w:ascii="Times New Roman" w:hAnsi="Times New Roman" w:cs="Times New Roman"/>
          <w:sz w:val="24"/>
          <w:szCs w:val="24"/>
        </w:rPr>
        <w:t xml:space="preserve"> Categorization of studied variables and their operational descriptions.</w:t>
      </w:r>
    </w:p>
    <w:tbl>
      <w:tblPr>
        <w:tblStyle w:val="TableGrid"/>
        <w:tblW w:w="11520" w:type="dxa"/>
        <w:tblInd w:w="-1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0"/>
        <w:gridCol w:w="3600"/>
        <w:gridCol w:w="3870"/>
      </w:tblGrid>
      <w:tr w:rsidR="000D7FBA" w14:paraId="57A4DA93" w14:textId="77777777" w:rsidTr="000D7FBA">
        <w:trPr>
          <w:trHeight w:val="303"/>
        </w:trPr>
        <w:tc>
          <w:tcPr>
            <w:tcW w:w="4050" w:type="dxa"/>
            <w:tcBorders>
              <w:top w:val="single" w:sz="12" w:space="0" w:color="A5A5A5" w:themeColor="accent3"/>
              <w:left w:val="nil"/>
              <w:bottom w:val="single" w:sz="12" w:space="0" w:color="A5A5A5" w:themeColor="accent3"/>
              <w:right w:val="nil"/>
            </w:tcBorders>
            <w:hideMark/>
          </w:tcPr>
          <w:p w14:paraId="62DB4DC4" w14:textId="77777777" w:rsidR="000D7FBA" w:rsidRDefault="000D7FBA">
            <w:pPr>
              <w:rPr>
                <w:rFonts w:ascii="Times New Roman" w:hAnsi="Times New Roman" w:cs="Times New Roman"/>
                <w:b/>
                <w:bCs/>
              </w:rPr>
            </w:pPr>
            <w:r>
              <w:rPr>
                <w:rFonts w:ascii="Times New Roman" w:hAnsi="Times New Roman" w:cs="Times New Roman"/>
                <w:b/>
                <w:bCs/>
              </w:rPr>
              <w:t xml:space="preserve">Variables </w:t>
            </w:r>
          </w:p>
        </w:tc>
        <w:tc>
          <w:tcPr>
            <w:tcW w:w="3600" w:type="dxa"/>
            <w:tcBorders>
              <w:top w:val="single" w:sz="12" w:space="0" w:color="A5A5A5" w:themeColor="accent3"/>
              <w:left w:val="nil"/>
              <w:bottom w:val="single" w:sz="12" w:space="0" w:color="A5A5A5" w:themeColor="accent3"/>
              <w:right w:val="nil"/>
            </w:tcBorders>
            <w:hideMark/>
          </w:tcPr>
          <w:p w14:paraId="124334BE" w14:textId="77777777" w:rsidR="000D7FBA" w:rsidRDefault="000D7FBA">
            <w:pPr>
              <w:rPr>
                <w:rFonts w:ascii="Times New Roman" w:hAnsi="Times New Roman" w:cs="Times New Roman"/>
                <w:b/>
                <w:bCs/>
              </w:rPr>
            </w:pPr>
            <w:r>
              <w:rPr>
                <w:rFonts w:ascii="Times New Roman" w:hAnsi="Times New Roman" w:cs="Times New Roman"/>
                <w:b/>
                <w:bCs/>
              </w:rPr>
              <w:t xml:space="preserve">Descriptions </w:t>
            </w:r>
          </w:p>
        </w:tc>
        <w:tc>
          <w:tcPr>
            <w:tcW w:w="3870" w:type="dxa"/>
            <w:tcBorders>
              <w:top w:val="single" w:sz="12" w:space="0" w:color="A5A5A5" w:themeColor="accent3"/>
              <w:left w:val="nil"/>
              <w:bottom w:val="single" w:sz="12" w:space="0" w:color="A5A5A5" w:themeColor="accent3"/>
              <w:right w:val="nil"/>
            </w:tcBorders>
            <w:hideMark/>
          </w:tcPr>
          <w:p w14:paraId="374B1D03" w14:textId="77777777" w:rsidR="000D7FBA" w:rsidRDefault="000D7FBA">
            <w:pPr>
              <w:rPr>
                <w:rFonts w:ascii="Times New Roman" w:hAnsi="Times New Roman" w:cs="Times New Roman"/>
                <w:b/>
                <w:bCs/>
              </w:rPr>
            </w:pPr>
            <w:r>
              <w:rPr>
                <w:rFonts w:ascii="Times New Roman" w:hAnsi="Times New Roman" w:cs="Times New Roman"/>
                <w:b/>
                <w:bCs/>
              </w:rPr>
              <w:t xml:space="preserve">Categorizations  </w:t>
            </w:r>
          </w:p>
        </w:tc>
      </w:tr>
      <w:tr w:rsidR="000D7FBA" w14:paraId="4FD0DFF6" w14:textId="77777777" w:rsidTr="000D7FBA">
        <w:tc>
          <w:tcPr>
            <w:tcW w:w="11520" w:type="dxa"/>
            <w:gridSpan w:val="3"/>
            <w:tcBorders>
              <w:top w:val="single" w:sz="12" w:space="0" w:color="A5A5A5" w:themeColor="accent3"/>
              <w:left w:val="nil"/>
              <w:bottom w:val="nil"/>
              <w:right w:val="nil"/>
            </w:tcBorders>
            <w:hideMark/>
          </w:tcPr>
          <w:p w14:paraId="6A62151D" w14:textId="77777777" w:rsidR="000D7FBA" w:rsidRDefault="000D7FBA">
            <w:pPr>
              <w:rPr>
                <w:rFonts w:ascii="Times New Roman" w:hAnsi="Times New Roman" w:cs="Times New Roman"/>
              </w:rPr>
            </w:pPr>
            <w:r>
              <w:rPr>
                <w:rFonts w:ascii="Times New Roman" w:hAnsi="Times New Roman" w:cs="Times New Roman"/>
                <w:b/>
                <w:bCs/>
              </w:rPr>
              <w:t>External Environmental  Factors</w:t>
            </w:r>
          </w:p>
        </w:tc>
      </w:tr>
      <w:tr w:rsidR="000D7FBA" w14:paraId="4469D610" w14:textId="77777777" w:rsidTr="000D7FBA">
        <w:tc>
          <w:tcPr>
            <w:tcW w:w="4050" w:type="dxa"/>
            <w:hideMark/>
          </w:tcPr>
          <w:p w14:paraId="1B2CC5D3" w14:textId="77777777" w:rsidR="000D7FBA" w:rsidRDefault="000D7FBA">
            <w:pPr>
              <w:rPr>
                <w:rFonts w:ascii="Times New Roman" w:hAnsi="Times New Roman" w:cs="Times New Roman"/>
              </w:rPr>
            </w:pPr>
            <w:r>
              <w:rPr>
                <w:rFonts w:ascii="Times New Roman" w:hAnsi="Times New Roman" w:cs="Times New Roman"/>
              </w:rPr>
              <w:t>Region</w:t>
            </w:r>
          </w:p>
        </w:tc>
        <w:tc>
          <w:tcPr>
            <w:tcW w:w="3600" w:type="dxa"/>
            <w:hideMark/>
          </w:tcPr>
          <w:p w14:paraId="1FADE0E2" w14:textId="77777777" w:rsidR="000D7FBA" w:rsidRDefault="000D7FBA">
            <w:pPr>
              <w:jc w:val="both"/>
              <w:rPr>
                <w:rFonts w:ascii="Times New Roman" w:hAnsi="Times New Roman" w:cs="Times New Roman"/>
              </w:rPr>
            </w:pPr>
            <w:r>
              <w:rPr>
                <w:rFonts w:ascii="Times New Roman" w:hAnsi="Times New Roman" w:cs="Times New Roman"/>
              </w:rPr>
              <w:t xml:space="preserve">The original geographical region of the interviewed women </w:t>
            </w:r>
          </w:p>
        </w:tc>
        <w:tc>
          <w:tcPr>
            <w:tcW w:w="3870" w:type="dxa"/>
            <w:hideMark/>
          </w:tcPr>
          <w:p w14:paraId="6C98FE8A" w14:textId="77777777" w:rsidR="000D7FBA" w:rsidRDefault="000D7FBA">
            <w:pPr>
              <w:jc w:val="both"/>
              <w:rPr>
                <w:rFonts w:ascii="Times New Roman" w:hAnsi="Times New Roman" w:cs="Times New Roman"/>
              </w:rPr>
            </w:pPr>
            <w:r>
              <w:rPr>
                <w:rFonts w:ascii="Times New Roman" w:hAnsi="Times New Roman" w:cs="Times New Roman"/>
              </w:rPr>
              <w:t>The survey data recoded the region variable as continuous, counting the 18 pre-civil war regions of Somalia. But for this study, we assigned all 18 regions separately per their geographical bases. This was based on four categorizations: Northwest (Awdal, Woqooyi Galbeed, Togdheer, Sool, and Sanaag), Central (Galgaduud, Hiraan, Middle Shabelle, and Banadir), Northeast (Bari, Nugaal, and Mudug) and South (Bay, Bakool, Gedo, and Lower Juba) regions.</w:t>
            </w:r>
          </w:p>
        </w:tc>
      </w:tr>
      <w:tr w:rsidR="000D7FBA" w14:paraId="6F5BD209" w14:textId="77777777" w:rsidTr="000D7FBA">
        <w:tc>
          <w:tcPr>
            <w:tcW w:w="4050" w:type="dxa"/>
            <w:hideMark/>
          </w:tcPr>
          <w:p w14:paraId="2B460D3D" w14:textId="77777777" w:rsidR="000D7FBA" w:rsidRDefault="000D7FBA">
            <w:pPr>
              <w:rPr>
                <w:rFonts w:ascii="Times New Roman" w:hAnsi="Times New Roman" w:cs="Times New Roman"/>
              </w:rPr>
            </w:pPr>
            <w:r>
              <w:rPr>
                <w:rFonts w:ascii="Times New Roman" w:hAnsi="Times New Roman" w:cs="Times New Roman"/>
              </w:rPr>
              <w:t xml:space="preserve">Place of residence </w:t>
            </w:r>
          </w:p>
        </w:tc>
        <w:tc>
          <w:tcPr>
            <w:tcW w:w="3600" w:type="dxa"/>
            <w:hideMark/>
          </w:tcPr>
          <w:p w14:paraId="3976A671" w14:textId="77777777" w:rsidR="000D7FBA" w:rsidRDefault="000D7FBA">
            <w:pPr>
              <w:jc w:val="both"/>
              <w:rPr>
                <w:rFonts w:ascii="Times New Roman" w:hAnsi="Times New Roman" w:cs="Times New Roman"/>
              </w:rPr>
            </w:pPr>
            <w:r>
              <w:rPr>
                <w:rFonts w:ascii="Times New Roman" w:hAnsi="Times New Roman" w:cs="Times New Roman"/>
              </w:rPr>
              <w:t xml:space="preserve">Current place of women/respondent’s settlement  </w:t>
            </w:r>
          </w:p>
        </w:tc>
        <w:tc>
          <w:tcPr>
            <w:tcW w:w="3870" w:type="dxa"/>
            <w:hideMark/>
          </w:tcPr>
          <w:p w14:paraId="17DC0941" w14:textId="77777777" w:rsidR="000D7FBA" w:rsidRDefault="000D7FBA">
            <w:pPr>
              <w:jc w:val="both"/>
              <w:rPr>
                <w:rFonts w:ascii="Times New Roman" w:hAnsi="Times New Roman" w:cs="Times New Roman"/>
              </w:rPr>
            </w:pPr>
            <w:r>
              <w:rPr>
                <w:rFonts w:ascii="Times New Roman" w:hAnsi="Times New Roman" w:cs="Times New Roman"/>
              </w:rPr>
              <w:t>The SHDS categorized this variable into three categories: urban, rural, and nomadic. We maintained this original categorization.</w:t>
            </w:r>
          </w:p>
        </w:tc>
      </w:tr>
      <w:tr w:rsidR="000D7FBA" w14:paraId="7506C939" w14:textId="77777777" w:rsidTr="000D7FBA">
        <w:tc>
          <w:tcPr>
            <w:tcW w:w="11520" w:type="dxa"/>
            <w:gridSpan w:val="3"/>
            <w:hideMark/>
          </w:tcPr>
          <w:p w14:paraId="309591CA" w14:textId="77777777" w:rsidR="000D7FBA" w:rsidRDefault="000D7FBA">
            <w:pPr>
              <w:jc w:val="both"/>
              <w:rPr>
                <w:rFonts w:ascii="Times New Roman" w:hAnsi="Times New Roman" w:cs="Times New Roman"/>
              </w:rPr>
            </w:pPr>
            <w:r>
              <w:rPr>
                <w:rFonts w:ascii="Times New Roman" w:hAnsi="Times New Roman" w:cs="Times New Roman"/>
                <w:b/>
                <w:bCs/>
              </w:rPr>
              <w:t xml:space="preserve">Predisposing Factors </w:t>
            </w:r>
          </w:p>
        </w:tc>
      </w:tr>
      <w:tr w:rsidR="000D7FBA" w14:paraId="36172568" w14:textId="77777777" w:rsidTr="000D7FBA">
        <w:tc>
          <w:tcPr>
            <w:tcW w:w="4050" w:type="dxa"/>
            <w:hideMark/>
          </w:tcPr>
          <w:p w14:paraId="20627D8E" w14:textId="77777777" w:rsidR="000D7FBA" w:rsidRDefault="000D7FBA">
            <w:pPr>
              <w:rPr>
                <w:rFonts w:ascii="Times New Roman" w:hAnsi="Times New Roman" w:cs="Times New Roman"/>
              </w:rPr>
            </w:pPr>
            <w:r>
              <w:rPr>
                <w:rFonts w:ascii="Times New Roman" w:hAnsi="Times New Roman" w:cs="Times New Roman"/>
              </w:rPr>
              <w:t>Age</w:t>
            </w:r>
          </w:p>
        </w:tc>
        <w:tc>
          <w:tcPr>
            <w:tcW w:w="3600" w:type="dxa"/>
            <w:hideMark/>
          </w:tcPr>
          <w:p w14:paraId="7D776F26" w14:textId="77777777" w:rsidR="000D7FBA" w:rsidRDefault="000D7FBA">
            <w:pPr>
              <w:jc w:val="both"/>
              <w:rPr>
                <w:rFonts w:ascii="Times New Roman" w:hAnsi="Times New Roman" w:cs="Times New Roman"/>
              </w:rPr>
            </w:pPr>
            <w:r>
              <w:rPr>
                <w:rFonts w:ascii="Times New Roman" w:hAnsi="Times New Roman" w:cs="Times New Roman"/>
              </w:rPr>
              <w:t>Age in years of the woman at the time of her last delivery</w:t>
            </w:r>
          </w:p>
        </w:tc>
        <w:tc>
          <w:tcPr>
            <w:tcW w:w="3870" w:type="dxa"/>
            <w:hideMark/>
          </w:tcPr>
          <w:p w14:paraId="69EFF858" w14:textId="77777777" w:rsidR="000D7FBA" w:rsidRDefault="000D7FBA">
            <w:pPr>
              <w:jc w:val="both"/>
              <w:rPr>
                <w:rFonts w:ascii="Times New Roman" w:hAnsi="Times New Roman" w:cs="Times New Roman"/>
              </w:rPr>
            </w:pPr>
            <w:r>
              <w:rPr>
                <w:rFonts w:ascii="Times New Roman" w:hAnsi="Times New Roman" w:cs="Times New Roman"/>
              </w:rPr>
              <w:t>According to survey data, the age variable was a continuous variable ranging from 15 to 49 years. However, to summarize, we recoded into three categories: 15–24, 25–34, and 35–49 years.</w:t>
            </w:r>
          </w:p>
        </w:tc>
      </w:tr>
      <w:tr w:rsidR="000D7FBA" w14:paraId="5F599367" w14:textId="77777777" w:rsidTr="000D7FBA">
        <w:tc>
          <w:tcPr>
            <w:tcW w:w="4050" w:type="dxa"/>
            <w:hideMark/>
          </w:tcPr>
          <w:p w14:paraId="3102CDAA" w14:textId="77777777" w:rsidR="000D7FBA" w:rsidRDefault="000D7FBA">
            <w:pPr>
              <w:rPr>
                <w:rFonts w:ascii="Times New Roman" w:hAnsi="Times New Roman" w:cs="Times New Roman"/>
              </w:rPr>
            </w:pPr>
            <w:r>
              <w:rPr>
                <w:rFonts w:ascii="Times New Roman" w:hAnsi="Times New Roman" w:cs="Times New Roman"/>
              </w:rPr>
              <w:t xml:space="preserve">Mother’s age at first birth </w:t>
            </w:r>
          </w:p>
        </w:tc>
        <w:tc>
          <w:tcPr>
            <w:tcW w:w="3600" w:type="dxa"/>
            <w:hideMark/>
          </w:tcPr>
          <w:p w14:paraId="5398C627" w14:textId="77777777" w:rsidR="000D7FBA" w:rsidRDefault="000D7FBA">
            <w:pPr>
              <w:jc w:val="both"/>
              <w:rPr>
                <w:rFonts w:ascii="Times New Roman" w:hAnsi="Times New Roman" w:cs="Times New Roman"/>
              </w:rPr>
            </w:pPr>
            <w:r>
              <w:rPr>
                <w:rFonts w:ascii="Times New Roman" w:hAnsi="Times New Roman" w:cs="Times New Roman"/>
              </w:rPr>
              <w:t xml:space="preserve">Respondent’s age in years at the time of her first delivery </w:t>
            </w:r>
          </w:p>
        </w:tc>
        <w:tc>
          <w:tcPr>
            <w:tcW w:w="3870" w:type="dxa"/>
            <w:hideMark/>
          </w:tcPr>
          <w:p w14:paraId="26F6A661" w14:textId="77777777" w:rsidR="000D7FBA" w:rsidRDefault="000D7FBA">
            <w:pPr>
              <w:jc w:val="both"/>
              <w:rPr>
                <w:rFonts w:ascii="Times New Roman" w:hAnsi="Times New Roman" w:cs="Times New Roman"/>
              </w:rPr>
            </w:pPr>
            <w:r>
              <w:rPr>
                <w:rFonts w:ascii="Times New Roman" w:hAnsi="Times New Roman" w:cs="Times New Roman"/>
              </w:rPr>
              <w:t>According to survey data, the respondent’s age at first birth was continuous. Thus, we recoded it into two categories: 15–24 and 25–49 years.</w:t>
            </w:r>
          </w:p>
        </w:tc>
      </w:tr>
      <w:tr w:rsidR="000D7FBA" w14:paraId="5A7FC5E7" w14:textId="77777777" w:rsidTr="000D7FBA">
        <w:tc>
          <w:tcPr>
            <w:tcW w:w="4050" w:type="dxa"/>
            <w:hideMark/>
          </w:tcPr>
          <w:p w14:paraId="0A78D127" w14:textId="77777777" w:rsidR="000D7FBA" w:rsidRDefault="000D7FBA">
            <w:pPr>
              <w:rPr>
                <w:rFonts w:ascii="Times New Roman" w:hAnsi="Times New Roman" w:cs="Times New Roman"/>
              </w:rPr>
            </w:pPr>
            <w:r>
              <w:rPr>
                <w:rFonts w:ascii="Times New Roman" w:hAnsi="Times New Roman" w:cs="Times New Roman"/>
              </w:rPr>
              <w:t xml:space="preserve">Marital status </w:t>
            </w:r>
          </w:p>
        </w:tc>
        <w:tc>
          <w:tcPr>
            <w:tcW w:w="3600" w:type="dxa"/>
            <w:hideMark/>
          </w:tcPr>
          <w:p w14:paraId="57FC8CE0" w14:textId="77777777" w:rsidR="000D7FBA" w:rsidRDefault="000D7FBA">
            <w:pPr>
              <w:jc w:val="both"/>
              <w:rPr>
                <w:rFonts w:ascii="Times New Roman" w:hAnsi="Times New Roman" w:cs="Times New Roman"/>
              </w:rPr>
            </w:pPr>
            <w:r>
              <w:rPr>
                <w:rFonts w:ascii="Times New Roman" w:hAnsi="Times New Roman" w:cs="Times New Roman"/>
              </w:rPr>
              <w:t xml:space="preserve">Women who are legally married to a male partner </w:t>
            </w:r>
          </w:p>
        </w:tc>
        <w:tc>
          <w:tcPr>
            <w:tcW w:w="3870" w:type="dxa"/>
            <w:hideMark/>
          </w:tcPr>
          <w:p w14:paraId="0EB540B3" w14:textId="77777777" w:rsidR="000D7FBA" w:rsidRDefault="000D7FBA">
            <w:pPr>
              <w:jc w:val="both"/>
              <w:rPr>
                <w:rFonts w:ascii="Times New Roman" w:hAnsi="Times New Roman" w:cs="Times New Roman"/>
              </w:rPr>
            </w:pPr>
            <w:r>
              <w:rPr>
                <w:rFonts w:ascii="Times New Roman" w:hAnsi="Times New Roman" w:cs="Times New Roman"/>
              </w:rPr>
              <w:t>Married, divorced, and widowed. Original categorizations were maintained.</w:t>
            </w:r>
          </w:p>
        </w:tc>
      </w:tr>
      <w:tr w:rsidR="000D7FBA" w14:paraId="5F1F69EE" w14:textId="77777777" w:rsidTr="000D7FBA">
        <w:tc>
          <w:tcPr>
            <w:tcW w:w="4050" w:type="dxa"/>
            <w:hideMark/>
          </w:tcPr>
          <w:p w14:paraId="72D81591" w14:textId="77777777" w:rsidR="000D7FBA" w:rsidRDefault="000D7FBA">
            <w:pPr>
              <w:rPr>
                <w:rFonts w:ascii="Times New Roman" w:hAnsi="Times New Roman" w:cs="Times New Roman"/>
              </w:rPr>
            </w:pPr>
            <w:r>
              <w:rPr>
                <w:rFonts w:ascii="Times New Roman" w:hAnsi="Times New Roman" w:cs="Times New Roman"/>
              </w:rPr>
              <w:t xml:space="preserve">Education </w:t>
            </w:r>
          </w:p>
        </w:tc>
        <w:tc>
          <w:tcPr>
            <w:tcW w:w="3600" w:type="dxa"/>
            <w:hideMark/>
          </w:tcPr>
          <w:p w14:paraId="66C05608" w14:textId="77777777" w:rsidR="000D7FBA" w:rsidRDefault="000D7FBA">
            <w:pPr>
              <w:jc w:val="both"/>
              <w:rPr>
                <w:rFonts w:ascii="Times New Roman" w:hAnsi="Times New Roman" w:cs="Times New Roman"/>
              </w:rPr>
            </w:pPr>
            <w:r>
              <w:rPr>
                <w:rFonts w:ascii="Times New Roman" w:hAnsi="Times New Roman" w:cs="Times New Roman"/>
              </w:rPr>
              <w:t>Women’s level of education based on the number of schooling years completed</w:t>
            </w:r>
          </w:p>
        </w:tc>
        <w:tc>
          <w:tcPr>
            <w:tcW w:w="3870" w:type="dxa"/>
            <w:hideMark/>
          </w:tcPr>
          <w:p w14:paraId="7BB16292" w14:textId="77777777" w:rsidR="000D7FBA" w:rsidRDefault="000D7FBA">
            <w:pPr>
              <w:jc w:val="both"/>
              <w:rPr>
                <w:rFonts w:ascii="Times New Roman" w:hAnsi="Times New Roman" w:cs="Times New Roman"/>
              </w:rPr>
            </w:pPr>
            <w:r>
              <w:rPr>
                <w:rFonts w:ascii="Times New Roman" w:hAnsi="Times New Roman" w:cs="Times New Roman"/>
              </w:rPr>
              <w:t xml:space="preserve">No level of education, primary education (those with basic education), secondary education or higher (those who did up to 12 grade or higher, e.g., university level). </w:t>
            </w:r>
          </w:p>
        </w:tc>
      </w:tr>
      <w:tr w:rsidR="000D7FBA" w14:paraId="4F3B8827" w14:textId="77777777" w:rsidTr="000D7FBA">
        <w:tc>
          <w:tcPr>
            <w:tcW w:w="4050" w:type="dxa"/>
            <w:hideMark/>
          </w:tcPr>
          <w:p w14:paraId="532FC912" w14:textId="77777777" w:rsidR="000D7FBA" w:rsidRDefault="000D7FBA">
            <w:pPr>
              <w:rPr>
                <w:rFonts w:ascii="Times New Roman" w:hAnsi="Times New Roman" w:cs="Times New Roman"/>
              </w:rPr>
            </w:pPr>
            <w:r>
              <w:rPr>
                <w:rFonts w:ascii="Times New Roman" w:hAnsi="Times New Roman" w:cs="Times New Roman"/>
              </w:rPr>
              <w:t xml:space="preserve">Wealth quintile </w:t>
            </w:r>
          </w:p>
        </w:tc>
        <w:tc>
          <w:tcPr>
            <w:tcW w:w="3600" w:type="dxa"/>
            <w:hideMark/>
          </w:tcPr>
          <w:p w14:paraId="6B4189CF" w14:textId="77777777" w:rsidR="000D7FBA" w:rsidRDefault="000D7FBA">
            <w:pPr>
              <w:jc w:val="both"/>
              <w:rPr>
                <w:rFonts w:ascii="Times New Roman" w:hAnsi="Times New Roman" w:cs="Times New Roman"/>
              </w:rPr>
            </w:pPr>
            <w:r>
              <w:rPr>
                <w:rFonts w:ascii="Times New Roman" w:hAnsi="Times New Roman" w:cs="Times New Roman"/>
              </w:rPr>
              <w:t xml:space="preserve">The SHDS 2020 collected information on dwelling and household assets and consumer goods ownership as a measure of wealth quintile through generated principal component analysis. The full details relating to scoring and standardization of wealth components can be located in the 2020 SHDS final report </w:t>
            </w:r>
            <w:r>
              <w:rPr>
                <w:rFonts w:ascii="Times New Roman" w:hAnsi="Times New Roman" w:cs="Times New Roman"/>
              </w:rPr>
              <w:fldChar w:fldCharType="begin"/>
            </w:r>
            <w:r>
              <w:rPr>
                <w:rFonts w:ascii="Times New Roman" w:hAnsi="Times New Roman" w:cs="Times New Roman"/>
              </w:rPr>
              <w:instrText xml:space="preserve"> ADDIN EN.CITE &lt;EndNote&gt;&lt;Cite&gt;&lt;Author&gt;Somalia National Bureau of Statistics&lt;/Author&gt;&lt;Year&gt;2020&lt;/Year&gt;&lt;RecNum&gt;1&lt;/RecNum&gt;&lt;DisplayText&gt;[3]&lt;/DisplayText&gt;&lt;record&gt;&lt;rec-number&gt;1&lt;/rec-number&gt;&lt;foreign-keys&gt;&lt;key app="EN" db-id="vr59sfzw75ztr6e9te6vdar5szv20e92dwzr" timestamp="1679537541"&gt;1&lt;/key&gt;&lt;/foreign-keys&gt;&lt;ref-type name="Journal Article"&gt;17&lt;/ref-type&gt;&lt;contributors&gt;&lt;authors&gt;&lt;author&gt;Somalia National Bureau of Statistics, Federal Government of Somalia. &lt;/author&gt;&lt;/authors&gt;&lt;/contributors&gt;&lt;titles&gt;&lt;title&gt;The Somali Health and Demographic Survey 2020.&lt;/title&gt;&lt;/titles&gt;&lt;dates&gt;&lt;year&gt;2020&lt;/year&gt;&lt;/dates&gt;&lt;urls&gt;&lt;/urls&gt;&lt;/record&gt;&lt;/Cite&gt;&lt;/EndNote&gt;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[3]</w:t>
            </w:r>
            <w:r>
              <w:rPr>
                <w:rFonts w:ascii="Times New Roman" w:hAnsi="Times New Roman" w:cs="Times New Roman"/>
              </w:rPr>
              <w:fldChar w:fldCharType="end"/>
            </w:r>
            <w:r>
              <w:rPr>
                <w:rFonts w:ascii="Times New Roman" w:hAnsi="Times New Roman" w:cs="Times New Roman"/>
              </w:rPr>
              <w:t xml:space="preserve">. </w:t>
            </w:r>
          </w:p>
        </w:tc>
        <w:tc>
          <w:tcPr>
            <w:tcW w:w="3870" w:type="dxa"/>
            <w:hideMark/>
          </w:tcPr>
          <w:p w14:paraId="4C50B4F9" w14:textId="77777777" w:rsidR="000D7FBA" w:rsidRDefault="000D7FBA">
            <w:pPr>
              <w:jc w:val="both"/>
              <w:rPr>
                <w:rFonts w:ascii="Times New Roman" w:hAnsi="Times New Roman" w:cs="Times New Roman"/>
              </w:rPr>
            </w:pPr>
            <w:r>
              <w:rPr>
                <w:rFonts w:ascii="Times New Roman" w:hAnsi="Times New Roman" w:cs="Times New Roman"/>
              </w:rPr>
              <w:t>The survey divided the wealth quintile into five categories from the lowest (one) to the highest (five). For this study, we categorize it into three. Poor (combining categories one and two), middle (combining categories three and four), and rich (representing category five).</w:t>
            </w:r>
          </w:p>
        </w:tc>
      </w:tr>
      <w:tr w:rsidR="000D7FBA" w14:paraId="362F127D" w14:textId="77777777" w:rsidTr="000D7FBA">
        <w:trPr>
          <w:trHeight w:val="1044"/>
        </w:trPr>
        <w:tc>
          <w:tcPr>
            <w:tcW w:w="4050" w:type="dxa"/>
            <w:tcBorders>
              <w:top w:val="nil"/>
              <w:left w:val="nil"/>
              <w:bottom w:val="single" w:sz="12" w:space="0" w:color="A5A5A5" w:themeColor="accent3"/>
              <w:right w:val="nil"/>
            </w:tcBorders>
            <w:hideMark/>
          </w:tcPr>
          <w:p w14:paraId="39E315E3" w14:textId="77777777" w:rsidR="000D7FBA" w:rsidRDefault="000D7FBA">
            <w:pPr>
              <w:rPr>
                <w:rFonts w:ascii="Times New Roman" w:hAnsi="Times New Roman" w:cs="Times New Roman"/>
              </w:rPr>
            </w:pPr>
            <w:r>
              <w:rPr>
                <w:rFonts w:ascii="Times New Roman" w:hAnsi="Times New Roman" w:cs="Times New Roman"/>
              </w:rPr>
              <w:t xml:space="preserve">Parity </w:t>
            </w:r>
          </w:p>
        </w:tc>
        <w:tc>
          <w:tcPr>
            <w:tcW w:w="3600" w:type="dxa"/>
            <w:tcBorders>
              <w:top w:val="nil"/>
              <w:left w:val="nil"/>
              <w:bottom w:val="single" w:sz="12" w:space="0" w:color="A5A5A5" w:themeColor="accent3"/>
              <w:right w:val="nil"/>
            </w:tcBorders>
            <w:hideMark/>
          </w:tcPr>
          <w:p w14:paraId="57CB7783" w14:textId="77777777" w:rsidR="000D7FBA" w:rsidRDefault="000D7FBA">
            <w:pPr>
              <w:jc w:val="both"/>
              <w:rPr>
                <w:rFonts w:ascii="Times New Roman" w:hAnsi="Times New Roman" w:cs="Times New Roman"/>
              </w:rPr>
            </w:pPr>
            <w:r>
              <w:rPr>
                <w:rFonts w:ascii="Times New Roman" w:hAnsi="Times New Roman" w:cs="Times New Roman"/>
                <w:shd w:val="clear" w:color="auto" w:fill="FFFFFF"/>
              </w:rPr>
              <w:t xml:space="preserve">Total children ever delivered by the interviewed woman </w:t>
            </w:r>
          </w:p>
        </w:tc>
        <w:tc>
          <w:tcPr>
            <w:tcW w:w="3870" w:type="dxa"/>
            <w:tcBorders>
              <w:top w:val="nil"/>
              <w:left w:val="nil"/>
              <w:bottom w:val="single" w:sz="12" w:space="0" w:color="A5A5A5" w:themeColor="accent3"/>
              <w:right w:val="nil"/>
            </w:tcBorders>
            <w:hideMark/>
          </w:tcPr>
          <w:p w14:paraId="33B4B275" w14:textId="77777777" w:rsidR="000D7FBA" w:rsidRDefault="000D7FBA">
            <w:pPr>
              <w:jc w:val="both"/>
              <w:rPr>
                <w:rFonts w:ascii="Times New Roman" w:hAnsi="Times New Roman" w:cs="Times New Roman"/>
              </w:rPr>
            </w:pPr>
            <w:r>
              <w:rPr>
                <w:rFonts w:ascii="Times New Roman" w:hAnsi="Times New Roman" w:cs="Times New Roman"/>
              </w:rPr>
              <w:t>This was recorded as a discrete variable ranging from 0–17 in the survey data. For simplicity of the analysis, we put it into three categories: ≤2, 3, ≥3</w:t>
            </w:r>
            <w:r>
              <w:rPr>
                <w:rFonts w:ascii="Times New Roman" w:hAnsi="Times New Roman" w:cs="Times New Roman"/>
                <w:vertAlign w:val="superscript"/>
              </w:rPr>
              <w:t>+</w:t>
            </w:r>
            <w:r>
              <w:rPr>
                <w:rFonts w:ascii="Times New Roman" w:hAnsi="Times New Roman" w:cs="Times New Roman"/>
              </w:rPr>
              <w:t>.</w:t>
            </w:r>
          </w:p>
        </w:tc>
      </w:tr>
      <w:tr w:rsidR="000D7FBA" w14:paraId="6139C6CC" w14:textId="77777777" w:rsidTr="000D7FBA">
        <w:tc>
          <w:tcPr>
            <w:tcW w:w="4050" w:type="dxa"/>
            <w:tcBorders>
              <w:top w:val="single" w:sz="12" w:space="0" w:color="A5A5A5" w:themeColor="accent3"/>
              <w:left w:val="nil"/>
              <w:bottom w:val="nil"/>
              <w:right w:val="nil"/>
            </w:tcBorders>
          </w:tcPr>
          <w:p w14:paraId="46E51309" w14:textId="77777777" w:rsidR="000D7FBA" w:rsidRDefault="000D7FBA">
            <w:pPr>
              <w:jc w:val="right"/>
              <w:rPr>
                <w:rFonts w:ascii="Times New Roman" w:hAnsi="Times New Roman" w:cs="Times New Roman"/>
              </w:rPr>
            </w:pPr>
          </w:p>
        </w:tc>
        <w:tc>
          <w:tcPr>
            <w:tcW w:w="3600" w:type="dxa"/>
            <w:tcBorders>
              <w:top w:val="single" w:sz="12" w:space="0" w:color="A5A5A5" w:themeColor="accent3"/>
              <w:left w:val="nil"/>
              <w:bottom w:val="nil"/>
              <w:right w:val="nil"/>
            </w:tcBorders>
          </w:tcPr>
          <w:p w14:paraId="5D182100" w14:textId="77777777" w:rsidR="000D7FBA" w:rsidRDefault="000D7FBA">
            <w:pPr>
              <w:jc w:val="both"/>
              <w:rPr>
                <w:rFonts w:ascii="Times New Roman" w:hAnsi="Times New Roman" w:cs="Times New Roman"/>
                <w:shd w:val="clear" w:color="auto" w:fill="FFFFFF"/>
              </w:rPr>
            </w:pPr>
          </w:p>
        </w:tc>
        <w:tc>
          <w:tcPr>
            <w:tcW w:w="3870" w:type="dxa"/>
            <w:tcBorders>
              <w:top w:val="single" w:sz="12" w:space="0" w:color="A5A5A5" w:themeColor="accent3"/>
              <w:left w:val="nil"/>
              <w:bottom w:val="nil"/>
              <w:right w:val="nil"/>
            </w:tcBorders>
            <w:hideMark/>
          </w:tcPr>
          <w:p w14:paraId="01B6E9F3" w14:textId="77777777" w:rsidR="000D7FBA" w:rsidRDefault="000D7FBA">
            <w:pPr>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(Continued)</w:t>
            </w:r>
          </w:p>
        </w:tc>
      </w:tr>
    </w:tbl>
    <w:p w14:paraId="26D06082" w14:textId="77777777" w:rsidR="000D7FBA" w:rsidRDefault="000D7FBA" w:rsidP="000D7FBA"/>
    <w:tbl>
      <w:tblPr>
        <w:tblStyle w:val="TableGrid"/>
        <w:tblpPr w:leftFromText="180" w:rightFromText="180" w:vertAnchor="text" w:horzAnchor="margin" w:tblpXSpec="center" w:tblpY="31"/>
        <w:tblW w:w="1170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3870"/>
        <w:gridCol w:w="4050"/>
      </w:tblGrid>
      <w:tr w:rsidR="000D7FBA" w14:paraId="1B7429EF" w14:textId="77777777" w:rsidTr="008E4C45">
        <w:tc>
          <w:tcPr>
            <w:tcW w:w="3780" w:type="dxa"/>
            <w:tcBorders>
              <w:top w:val="nil"/>
              <w:left w:val="nil"/>
              <w:bottom w:val="single" w:sz="12" w:space="0" w:color="A5A5A5" w:themeColor="accent3"/>
              <w:right w:val="nil"/>
            </w:tcBorders>
            <w:hideMark/>
          </w:tcPr>
          <w:p w14:paraId="2313349F" w14:textId="77777777" w:rsidR="000D7FBA" w:rsidRDefault="000D7FBA" w:rsidP="00031302">
            <w:pPr>
              <w:rPr>
                <w:rFonts w:ascii="Times New Roman" w:hAnsi="Times New Roman" w:cs="Times New Roman"/>
              </w:rPr>
            </w:pPr>
            <w:r>
              <w:rPr>
                <w:rFonts w:ascii="Times New Roman" w:hAnsi="Times New Roman" w:cs="Times New Roman"/>
                <w:b/>
                <w:bCs/>
                <w:sz w:val="24"/>
                <w:szCs w:val="24"/>
              </w:rPr>
              <w:lastRenderedPageBreak/>
              <w:t>Table 1</w:t>
            </w:r>
            <w:r>
              <w:rPr>
                <w:rFonts w:ascii="Times New Roman" w:hAnsi="Times New Roman" w:cs="Times New Roman"/>
                <w:sz w:val="24"/>
                <w:szCs w:val="24"/>
              </w:rPr>
              <w:t xml:space="preserve"> </w:t>
            </w:r>
            <w:r>
              <w:rPr>
                <w:rFonts w:ascii="Times New Roman" w:hAnsi="Times New Roman" w:cs="Times New Roman"/>
              </w:rPr>
              <w:t>(Continued)</w:t>
            </w:r>
          </w:p>
        </w:tc>
        <w:tc>
          <w:tcPr>
            <w:tcW w:w="3870" w:type="dxa"/>
            <w:tcBorders>
              <w:top w:val="nil"/>
              <w:left w:val="nil"/>
              <w:bottom w:val="single" w:sz="12" w:space="0" w:color="A5A5A5" w:themeColor="accent3"/>
              <w:right w:val="nil"/>
            </w:tcBorders>
          </w:tcPr>
          <w:p w14:paraId="32D66B20" w14:textId="77777777" w:rsidR="000D7FBA" w:rsidRDefault="000D7FBA" w:rsidP="00031302">
            <w:pPr>
              <w:jc w:val="both"/>
              <w:rPr>
                <w:rFonts w:ascii="Times New Roman" w:hAnsi="Times New Roman" w:cs="Times New Roman"/>
              </w:rPr>
            </w:pPr>
          </w:p>
        </w:tc>
        <w:tc>
          <w:tcPr>
            <w:tcW w:w="4050" w:type="dxa"/>
            <w:tcBorders>
              <w:top w:val="nil"/>
              <w:left w:val="nil"/>
              <w:bottom w:val="single" w:sz="12" w:space="0" w:color="A5A5A5" w:themeColor="accent3"/>
              <w:right w:val="nil"/>
            </w:tcBorders>
          </w:tcPr>
          <w:p w14:paraId="66D88506" w14:textId="77777777" w:rsidR="000D7FBA" w:rsidRDefault="000D7FBA" w:rsidP="00031302">
            <w:pPr>
              <w:jc w:val="both"/>
              <w:rPr>
                <w:rFonts w:ascii="Times New Roman" w:hAnsi="Times New Roman" w:cs="Times New Roman"/>
              </w:rPr>
            </w:pPr>
          </w:p>
        </w:tc>
      </w:tr>
      <w:tr w:rsidR="000D7FBA" w14:paraId="3250C8DF" w14:textId="77777777" w:rsidTr="008E4C45">
        <w:tc>
          <w:tcPr>
            <w:tcW w:w="3780" w:type="dxa"/>
            <w:tcBorders>
              <w:top w:val="single" w:sz="12" w:space="0" w:color="A5A5A5" w:themeColor="accent3"/>
              <w:left w:val="nil"/>
              <w:bottom w:val="single" w:sz="12" w:space="0" w:color="A5A5A5" w:themeColor="accent3"/>
              <w:right w:val="nil"/>
            </w:tcBorders>
            <w:hideMark/>
          </w:tcPr>
          <w:p w14:paraId="52798373" w14:textId="77777777" w:rsidR="000D7FBA" w:rsidRDefault="000D7FBA" w:rsidP="00031302">
            <w:pPr>
              <w:rPr>
                <w:rFonts w:ascii="Times New Roman" w:hAnsi="Times New Roman" w:cs="Times New Roman"/>
              </w:rPr>
            </w:pPr>
            <w:r>
              <w:rPr>
                <w:rFonts w:ascii="Times New Roman" w:hAnsi="Times New Roman" w:cs="Times New Roman"/>
                <w:b/>
                <w:bCs/>
              </w:rPr>
              <w:t xml:space="preserve">Variables </w:t>
            </w:r>
          </w:p>
        </w:tc>
        <w:tc>
          <w:tcPr>
            <w:tcW w:w="3870" w:type="dxa"/>
            <w:tcBorders>
              <w:top w:val="single" w:sz="12" w:space="0" w:color="A5A5A5" w:themeColor="accent3"/>
              <w:left w:val="nil"/>
              <w:bottom w:val="single" w:sz="12" w:space="0" w:color="A5A5A5" w:themeColor="accent3"/>
              <w:right w:val="nil"/>
            </w:tcBorders>
            <w:hideMark/>
          </w:tcPr>
          <w:p w14:paraId="1AB4B383" w14:textId="77777777" w:rsidR="000D7FBA" w:rsidRDefault="000D7FBA" w:rsidP="00031302">
            <w:pPr>
              <w:jc w:val="both"/>
              <w:rPr>
                <w:rFonts w:ascii="Times New Roman" w:hAnsi="Times New Roman" w:cs="Times New Roman"/>
              </w:rPr>
            </w:pPr>
            <w:r>
              <w:rPr>
                <w:rFonts w:ascii="Times New Roman" w:hAnsi="Times New Roman" w:cs="Times New Roman"/>
                <w:b/>
                <w:bCs/>
              </w:rPr>
              <w:t xml:space="preserve">Descriptions </w:t>
            </w:r>
          </w:p>
        </w:tc>
        <w:tc>
          <w:tcPr>
            <w:tcW w:w="4050" w:type="dxa"/>
            <w:tcBorders>
              <w:top w:val="single" w:sz="12" w:space="0" w:color="A5A5A5" w:themeColor="accent3"/>
              <w:left w:val="nil"/>
              <w:bottom w:val="single" w:sz="12" w:space="0" w:color="A5A5A5" w:themeColor="accent3"/>
              <w:right w:val="nil"/>
            </w:tcBorders>
            <w:hideMark/>
          </w:tcPr>
          <w:p w14:paraId="21576F2D" w14:textId="77777777" w:rsidR="000D7FBA" w:rsidRDefault="000D7FBA" w:rsidP="00031302">
            <w:pPr>
              <w:jc w:val="both"/>
              <w:rPr>
                <w:rFonts w:ascii="Times New Roman" w:hAnsi="Times New Roman" w:cs="Times New Roman"/>
              </w:rPr>
            </w:pPr>
            <w:r>
              <w:rPr>
                <w:rFonts w:ascii="Times New Roman" w:hAnsi="Times New Roman" w:cs="Times New Roman"/>
                <w:b/>
                <w:bCs/>
              </w:rPr>
              <w:t xml:space="preserve">Categorizations  </w:t>
            </w:r>
          </w:p>
        </w:tc>
      </w:tr>
      <w:tr w:rsidR="000D7FBA" w14:paraId="654351E2" w14:textId="77777777" w:rsidTr="008E4C45">
        <w:tc>
          <w:tcPr>
            <w:tcW w:w="3780" w:type="dxa"/>
            <w:tcBorders>
              <w:top w:val="single" w:sz="12" w:space="0" w:color="A5A5A5" w:themeColor="accent3"/>
              <w:left w:val="nil"/>
              <w:bottom w:val="nil"/>
              <w:right w:val="nil"/>
            </w:tcBorders>
            <w:hideMark/>
          </w:tcPr>
          <w:p w14:paraId="6036DD57" w14:textId="77777777" w:rsidR="000D7FBA" w:rsidRDefault="000D7FBA" w:rsidP="00031302">
            <w:pPr>
              <w:rPr>
                <w:rFonts w:ascii="Times New Roman" w:hAnsi="Times New Roman" w:cs="Times New Roman"/>
              </w:rPr>
            </w:pPr>
            <w:r>
              <w:rPr>
                <w:rFonts w:ascii="Times New Roman" w:hAnsi="Times New Roman" w:cs="Times New Roman"/>
              </w:rPr>
              <w:t>Exposure to media</w:t>
            </w:r>
          </w:p>
        </w:tc>
        <w:tc>
          <w:tcPr>
            <w:tcW w:w="3870" w:type="dxa"/>
            <w:tcBorders>
              <w:top w:val="single" w:sz="12" w:space="0" w:color="A5A5A5" w:themeColor="accent3"/>
              <w:left w:val="nil"/>
              <w:bottom w:val="nil"/>
              <w:right w:val="nil"/>
            </w:tcBorders>
            <w:hideMark/>
          </w:tcPr>
          <w:p w14:paraId="33D633A4" w14:textId="77777777" w:rsidR="000D7FBA" w:rsidRDefault="000D7FBA" w:rsidP="00031302">
            <w:pPr>
              <w:jc w:val="both"/>
              <w:rPr>
                <w:rFonts w:ascii="Times New Roman" w:hAnsi="Times New Roman" w:cs="Times New Roman"/>
              </w:rPr>
            </w:pPr>
            <w:r>
              <w:rPr>
                <w:rFonts w:ascii="Times New Roman" w:hAnsi="Times New Roman" w:cs="Times New Roman"/>
              </w:rPr>
              <w:t>The probability to “read newspapers or magazines”, “listen to the radio”, or “watch television”.</w:t>
            </w:r>
          </w:p>
        </w:tc>
        <w:tc>
          <w:tcPr>
            <w:tcW w:w="4050" w:type="dxa"/>
            <w:tcBorders>
              <w:top w:val="single" w:sz="12" w:space="0" w:color="A5A5A5" w:themeColor="accent3"/>
              <w:left w:val="nil"/>
              <w:bottom w:val="nil"/>
              <w:right w:val="nil"/>
            </w:tcBorders>
            <w:hideMark/>
          </w:tcPr>
          <w:p w14:paraId="3B87D6AC" w14:textId="77777777" w:rsidR="000D7FBA" w:rsidRDefault="000D7FBA" w:rsidP="00031302">
            <w:pPr>
              <w:jc w:val="both"/>
              <w:rPr>
                <w:rFonts w:ascii="Times New Roman" w:hAnsi="Times New Roman" w:cs="Times New Roman"/>
              </w:rPr>
            </w:pPr>
            <w:r>
              <w:rPr>
                <w:rFonts w:ascii="Times New Roman" w:hAnsi="Times New Roman" w:cs="Times New Roman"/>
              </w:rPr>
              <w:t>According to the SHDS survey data, media exposure was categorized into three: “read newspapers or magazines”, “listen to the radio” and “watch television”, weekly or at least once a week, less than once a week, or not at all. For better analysis, we dichotomize the predictor variable media exposure into “exposure to media” and “not exposure to media.” We recoded it as (0) not exposure to media and (1) yes; exposure to media.</w:t>
            </w:r>
          </w:p>
        </w:tc>
      </w:tr>
      <w:tr w:rsidR="000D7FBA" w14:paraId="5319D973" w14:textId="77777777" w:rsidTr="008E4C45">
        <w:tc>
          <w:tcPr>
            <w:tcW w:w="3780" w:type="dxa"/>
            <w:hideMark/>
          </w:tcPr>
          <w:p w14:paraId="62A93D4A" w14:textId="77777777" w:rsidR="000D7FBA" w:rsidRDefault="000D7FBA" w:rsidP="00031302">
            <w:pPr>
              <w:rPr>
                <w:rFonts w:ascii="Times New Roman" w:hAnsi="Times New Roman" w:cs="Times New Roman"/>
              </w:rPr>
            </w:pPr>
            <w:r>
              <w:rPr>
                <w:rFonts w:ascii="Times New Roman" w:hAnsi="Times New Roman" w:cs="Times New Roman"/>
              </w:rPr>
              <w:t xml:space="preserve">Birth order </w:t>
            </w:r>
          </w:p>
        </w:tc>
        <w:tc>
          <w:tcPr>
            <w:tcW w:w="3870" w:type="dxa"/>
            <w:hideMark/>
          </w:tcPr>
          <w:p w14:paraId="11A13932" w14:textId="77777777" w:rsidR="000D7FBA" w:rsidRDefault="000D7FBA" w:rsidP="00031302">
            <w:pPr>
              <w:jc w:val="both"/>
              <w:rPr>
                <w:rFonts w:ascii="Times New Roman" w:hAnsi="Times New Roman" w:cs="Times New Roman"/>
                <w:shd w:val="clear" w:color="auto" w:fill="FFFFFF"/>
              </w:rPr>
            </w:pPr>
            <w:r>
              <w:rPr>
                <w:rFonts w:ascii="Times New Roman" w:hAnsi="Times New Roman" w:cs="Times New Roman"/>
              </w:rPr>
              <w:t>The birth order number in which the children were born by the respondent</w:t>
            </w:r>
          </w:p>
        </w:tc>
        <w:tc>
          <w:tcPr>
            <w:tcW w:w="4050" w:type="dxa"/>
            <w:hideMark/>
          </w:tcPr>
          <w:p w14:paraId="711BE98F" w14:textId="77777777" w:rsidR="000D7FBA" w:rsidRDefault="000D7FBA" w:rsidP="00031302">
            <w:pPr>
              <w:jc w:val="both"/>
              <w:rPr>
                <w:rFonts w:ascii="Times New Roman" w:hAnsi="Times New Roman" w:cs="Times New Roman"/>
              </w:rPr>
            </w:pPr>
            <w:r>
              <w:rPr>
                <w:rFonts w:ascii="Times New Roman" w:hAnsi="Times New Roman" w:cs="Times New Roman"/>
              </w:rPr>
              <w:t>This was recorded as a discrete variable ranging from 1 to 18 in the main survey data. For simplicity of analysis, we put them into three categories:</w:t>
            </w:r>
          </w:p>
          <w:p w14:paraId="56DC0E35" w14:textId="77777777" w:rsidR="000D7FBA" w:rsidRDefault="000D7FBA" w:rsidP="00031302">
            <w:pPr>
              <w:jc w:val="both"/>
              <w:rPr>
                <w:rFonts w:ascii="Times New Roman" w:hAnsi="Times New Roman" w:cs="Times New Roman"/>
              </w:rPr>
            </w:pPr>
            <w:r>
              <w:rPr>
                <w:rFonts w:ascii="Times New Roman" w:hAnsi="Times New Roman" w:cs="Times New Roman"/>
              </w:rPr>
              <w:t>1, 2–3, ≥3</w:t>
            </w:r>
            <w:r>
              <w:rPr>
                <w:rFonts w:ascii="Times New Roman" w:hAnsi="Times New Roman" w:cs="Times New Roman"/>
                <w:vertAlign w:val="superscript"/>
              </w:rPr>
              <w:t>+</w:t>
            </w:r>
          </w:p>
        </w:tc>
      </w:tr>
      <w:tr w:rsidR="000D7FBA" w14:paraId="292ECFDF" w14:textId="77777777" w:rsidTr="008E4C45">
        <w:tc>
          <w:tcPr>
            <w:tcW w:w="11700" w:type="dxa"/>
            <w:gridSpan w:val="3"/>
            <w:hideMark/>
          </w:tcPr>
          <w:p w14:paraId="21B7F496" w14:textId="77777777" w:rsidR="000D7FBA" w:rsidRDefault="000D7FBA" w:rsidP="00031302">
            <w:pPr>
              <w:rPr>
                <w:rFonts w:ascii="Times New Roman" w:hAnsi="Times New Roman" w:cs="Times New Roman"/>
              </w:rPr>
            </w:pPr>
            <w:r>
              <w:rPr>
                <w:rFonts w:ascii="Times New Roman" w:hAnsi="Times New Roman" w:cs="Times New Roman"/>
                <w:b/>
                <w:bCs/>
              </w:rPr>
              <w:t xml:space="preserve">Enabling Factors </w:t>
            </w:r>
          </w:p>
        </w:tc>
      </w:tr>
      <w:tr w:rsidR="000D7FBA" w14:paraId="5770F3D5" w14:textId="77777777" w:rsidTr="008E4C45">
        <w:tc>
          <w:tcPr>
            <w:tcW w:w="3780" w:type="dxa"/>
            <w:hideMark/>
          </w:tcPr>
          <w:p w14:paraId="03E96C64" w14:textId="77777777" w:rsidR="000D7FBA" w:rsidRDefault="000D7FBA" w:rsidP="00031302">
            <w:pPr>
              <w:rPr>
                <w:rFonts w:ascii="Times New Roman" w:hAnsi="Times New Roman" w:cs="Times New Roman"/>
              </w:rPr>
            </w:pPr>
            <w:r>
              <w:rPr>
                <w:rFonts w:ascii="Times New Roman" w:hAnsi="Times New Roman" w:cs="Times New Roman"/>
              </w:rPr>
              <w:t xml:space="preserve">Maternal autonomy </w:t>
            </w:r>
          </w:p>
        </w:tc>
        <w:tc>
          <w:tcPr>
            <w:tcW w:w="3870" w:type="dxa"/>
            <w:hideMark/>
          </w:tcPr>
          <w:p w14:paraId="2CEFEBA8" w14:textId="77777777" w:rsidR="000D7FBA" w:rsidRDefault="000D7FBA" w:rsidP="00031302">
            <w:pPr>
              <w:jc w:val="both"/>
              <w:rPr>
                <w:rFonts w:ascii="Times New Roman" w:hAnsi="Times New Roman" w:cs="Times New Roman"/>
              </w:rPr>
            </w:pPr>
            <w:r>
              <w:rPr>
                <w:rFonts w:ascii="Times New Roman" w:hAnsi="Times New Roman" w:cs="Times New Roman"/>
              </w:rPr>
              <w:t xml:space="preserve">A woman’s ability to decide on or be responsible for her own healthcare decisions </w:t>
            </w:r>
          </w:p>
        </w:tc>
        <w:tc>
          <w:tcPr>
            <w:tcW w:w="4050" w:type="dxa"/>
            <w:hideMark/>
          </w:tcPr>
          <w:p w14:paraId="0B304FC5" w14:textId="77777777" w:rsidR="000D7FBA" w:rsidRDefault="000D7FBA" w:rsidP="00031302">
            <w:pPr>
              <w:jc w:val="both"/>
              <w:rPr>
                <w:rFonts w:ascii="Times New Roman" w:hAnsi="Times New Roman" w:cs="Times New Roman"/>
              </w:rPr>
            </w:pPr>
            <w:r>
              <w:rPr>
                <w:rFonts w:ascii="Times New Roman" w:hAnsi="Times New Roman" w:cs="Times New Roman"/>
              </w:rPr>
              <w:t xml:space="preserve">The variable was made from the question “person who usually decides on respondents’ health care.”  The survey uses six categories, but we streamlined them into three: the respondent, her husband, and others (including in-laws or someone else). </w:t>
            </w:r>
          </w:p>
        </w:tc>
      </w:tr>
      <w:tr w:rsidR="000D7FBA" w14:paraId="32B4EF0E" w14:textId="77777777" w:rsidTr="008E4C45">
        <w:tc>
          <w:tcPr>
            <w:tcW w:w="3780" w:type="dxa"/>
            <w:hideMark/>
          </w:tcPr>
          <w:p w14:paraId="23472638" w14:textId="77777777" w:rsidR="000D7FBA" w:rsidRDefault="000D7FBA" w:rsidP="00031302">
            <w:pPr>
              <w:rPr>
                <w:rFonts w:ascii="Times New Roman" w:hAnsi="Times New Roman" w:cs="Times New Roman"/>
              </w:rPr>
            </w:pPr>
            <w:r>
              <w:rPr>
                <w:rFonts w:ascii="Times New Roman" w:hAnsi="Times New Roman" w:cs="Times New Roman"/>
              </w:rPr>
              <w:t>Sex of the household head</w:t>
            </w:r>
          </w:p>
        </w:tc>
        <w:tc>
          <w:tcPr>
            <w:tcW w:w="3870" w:type="dxa"/>
            <w:hideMark/>
          </w:tcPr>
          <w:p w14:paraId="7B920523" w14:textId="77777777" w:rsidR="000D7FBA" w:rsidRDefault="000D7FBA" w:rsidP="00031302">
            <w:pPr>
              <w:jc w:val="both"/>
              <w:rPr>
                <w:rFonts w:ascii="Times New Roman" w:hAnsi="Times New Roman" w:cs="Times New Roman"/>
              </w:rPr>
            </w:pPr>
            <w:r>
              <w:rPr>
                <w:rFonts w:ascii="Times New Roman" w:hAnsi="Times New Roman" w:cs="Times New Roman"/>
              </w:rPr>
              <w:t>A person who makes major household decisions</w:t>
            </w:r>
          </w:p>
        </w:tc>
        <w:tc>
          <w:tcPr>
            <w:tcW w:w="4050" w:type="dxa"/>
            <w:hideMark/>
          </w:tcPr>
          <w:p w14:paraId="2BDC04E7" w14:textId="77777777" w:rsidR="000D7FBA" w:rsidRDefault="000D7FBA" w:rsidP="00031302">
            <w:pPr>
              <w:jc w:val="both"/>
              <w:rPr>
                <w:rFonts w:ascii="Times New Roman" w:hAnsi="Times New Roman" w:cs="Times New Roman"/>
              </w:rPr>
            </w:pPr>
            <w:r>
              <w:rPr>
                <w:rFonts w:ascii="Times New Roman" w:hAnsi="Times New Roman" w:cs="Times New Roman"/>
              </w:rPr>
              <w:t xml:space="preserve">This was coded as one if the decision maker was male and two if female. We retained the original categorization. </w:t>
            </w:r>
          </w:p>
        </w:tc>
      </w:tr>
      <w:tr w:rsidR="000D7FBA" w14:paraId="7DC8DA50" w14:textId="77777777" w:rsidTr="008E4C45">
        <w:tc>
          <w:tcPr>
            <w:tcW w:w="3780" w:type="dxa"/>
            <w:hideMark/>
          </w:tcPr>
          <w:p w14:paraId="6243BD75" w14:textId="77777777" w:rsidR="000D7FBA" w:rsidRDefault="000D7FBA" w:rsidP="00031302">
            <w:pPr>
              <w:rPr>
                <w:rFonts w:ascii="Times New Roman" w:hAnsi="Times New Roman" w:cs="Times New Roman"/>
              </w:rPr>
            </w:pPr>
            <w:r>
              <w:rPr>
                <w:rFonts w:ascii="Times New Roman" w:hAnsi="Times New Roman" w:cs="Times New Roman"/>
              </w:rPr>
              <w:t>Distance to the healthcare facility</w:t>
            </w:r>
          </w:p>
        </w:tc>
        <w:tc>
          <w:tcPr>
            <w:tcW w:w="3870" w:type="dxa"/>
            <w:hideMark/>
          </w:tcPr>
          <w:p w14:paraId="5BC81562" w14:textId="77777777" w:rsidR="000D7FBA" w:rsidRDefault="000D7FBA" w:rsidP="00031302">
            <w:pPr>
              <w:jc w:val="both"/>
              <w:rPr>
                <w:rFonts w:ascii="Times New Roman" w:hAnsi="Times New Roman" w:cs="Times New Roman"/>
              </w:rPr>
            </w:pPr>
            <w:r>
              <w:rPr>
                <w:rFonts w:ascii="Times New Roman" w:hAnsi="Times New Roman" w:cs="Times New Roman"/>
              </w:rPr>
              <w:t xml:space="preserve">Time to get to the nearest health institution/facility for medical advice or treatment </w:t>
            </w:r>
          </w:p>
        </w:tc>
        <w:tc>
          <w:tcPr>
            <w:tcW w:w="4050" w:type="dxa"/>
            <w:hideMark/>
          </w:tcPr>
          <w:p w14:paraId="25E92F50" w14:textId="77777777" w:rsidR="000D7FBA" w:rsidRDefault="000D7FBA" w:rsidP="00031302">
            <w:pPr>
              <w:jc w:val="both"/>
              <w:rPr>
                <w:rFonts w:ascii="Times New Roman" w:hAnsi="Times New Roman" w:cs="Times New Roman"/>
              </w:rPr>
            </w:pPr>
            <w:r>
              <w:rPr>
                <w:rFonts w:ascii="Times New Roman" w:hAnsi="Times New Roman" w:cs="Times New Roman"/>
              </w:rPr>
              <w:t>According to the survey, whether “the distance to the health facility” was a big problem was asked of the women. It was coded as one if the distance was a big problem and two if it was not. We retain the use of this original coding.</w:t>
            </w:r>
          </w:p>
        </w:tc>
      </w:tr>
      <w:tr w:rsidR="000D7FBA" w14:paraId="79B50C51" w14:textId="77777777" w:rsidTr="008E4C45">
        <w:tc>
          <w:tcPr>
            <w:tcW w:w="3780" w:type="dxa"/>
            <w:hideMark/>
          </w:tcPr>
          <w:p w14:paraId="1D6C2F7E" w14:textId="77777777" w:rsidR="000D7FBA" w:rsidRDefault="000D7FBA" w:rsidP="00031302">
            <w:pPr>
              <w:rPr>
                <w:rFonts w:ascii="Times New Roman" w:hAnsi="Times New Roman" w:cs="Times New Roman"/>
              </w:rPr>
            </w:pPr>
            <w:r>
              <w:rPr>
                <w:rFonts w:ascii="Times New Roman" w:hAnsi="Times New Roman" w:cs="Times New Roman"/>
              </w:rPr>
              <w:t xml:space="preserve">Getting money required for the treatment </w:t>
            </w:r>
          </w:p>
        </w:tc>
        <w:tc>
          <w:tcPr>
            <w:tcW w:w="3870" w:type="dxa"/>
            <w:hideMark/>
          </w:tcPr>
          <w:p w14:paraId="5A66B523" w14:textId="77777777" w:rsidR="000D7FBA" w:rsidRDefault="000D7FBA" w:rsidP="00031302">
            <w:pPr>
              <w:jc w:val="both"/>
              <w:rPr>
                <w:rFonts w:ascii="Times New Roman" w:hAnsi="Times New Roman" w:cs="Times New Roman"/>
              </w:rPr>
            </w:pPr>
            <w:r>
              <w:rPr>
                <w:rFonts w:ascii="Times New Roman" w:hAnsi="Times New Roman" w:cs="Times New Roman"/>
              </w:rPr>
              <w:t xml:space="preserve">Not getting medical advice/ treatment needed due to financial means or restrictions </w:t>
            </w:r>
          </w:p>
        </w:tc>
        <w:tc>
          <w:tcPr>
            <w:tcW w:w="4050" w:type="dxa"/>
            <w:hideMark/>
          </w:tcPr>
          <w:p w14:paraId="313FDAAE" w14:textId="77777777" w:rsidR="000D7FBA" w:rsidRDefault="000D7FBA" w:rsidP="00031302">
            <w:pPr>
              <w:jc w:val="both"/>
              <w:rPr>
                <w:rFonts w:ascii="Times New Roman" w:hAnsi="Times New Roman" w:cs="Times New Roman"/>
              </w:rPr>
            </w:pPr>
            <w:r>
              <w:rPr>
                <w:rFonts w:ascii="Times New Roman" w:hAnsi="Times New Roman" w:cs="Times New Roman"/>
              </w:rPr>
              <w:t>According to the survey, whether “getting the money needed for advice or treatment” was a big problem was asked of the women, and it was coded as one of this is a big problem and two if not. We retain the use of this original coding.</w:t>
            </w:r>
          </w:p>
        </w:tc>
      </w:tr>
      <w:tr w:rsidR="000D7FBA" w14:paraId="03BE9111" w14:textId="77777777" w:rsidTr="008E4C45">
        <w:tc>
          <w:tcPr>
            <w:tcW w:w="3780" w:type="dxa"/>
            <w:hideMark/>
          </w:tcPr>
          <w:p w14:paraId="31A667BA" w14:textId="588E3345" w:rsidR="000D7FBA" w:rsidRDefault="000D7FBA" w:rsidP="00031302">
            <w:pPr>
              <w:rPr>
                <w:rFonts w:ascii="Times New Roman" w:hAnsi="Times New Roman" w:cs="Times New Roman"/>
              </w:rPr>
            </w:pPr>
            <w:bookmarkStart w:id="0" w:name="_Hlk136977848"/>
            <w:r>
              <w:rPr>
                <w:rFonts w:ascii="Times New Roman" w:hAnsi="Times New Roman" w:cs="Times New Roman"/>
              </w:rPr>
              <w:t>The need for someone to go with the treatment facility</w:t>
            </w:r>
            <w:bookmarkEnd w:id="0"/>
          </w:p>
        </w:tc>
        <w:tc>
          <w:tcPr>
            <w:tcW w:w="3870" w:type="dxa"/>
            <w:hideMark/>
          </w:tcPr>
          <w:p w14:paraId="57E61E6A" w14:textId="77777777" w:rsidR="000D7FBA" w:rsidRDefault="000D7FBA" w:rsidP="00031302">
            <w:pPr>
              <w:jc w:val="both"/>
              <w:rPr>
                <w:rFonts w:ascii="Times New Roman" w:hAnsi="Times New Roman" w:cs="Times New Roman"/>
              </w:rPr>
            </w:pPr>
            <w:r>
              <w:rPr>
                <w:rFonts w:ascii="Times New Roman" w:hAnsi="Times New Roman" w:cs="Times New Roman"/>
              </w:rPr>
              <w:t>The need for someone (companionship)  to go with to the healthcare facility for medical advice or treatment</w:t>
            </w:r>
          </w:p>
        </w:tc>
        <w:tc>
          <w:tcPr>
            <w:tcW w:w="4050" w:type="dxa"/>
            <w:hideMark/>
          </w:tcPr>
          <w:p w14:paraId="3229AC2A" w14:textId="77777777" w:rsidR="000D7FBA" w:rsidRDefault="000D7FBA" w:rsidP="00031302">
            <w:pPr>
              <w:jc w:val="both"/>
              <w:rPr>
                <w:rFonts w:ascii="Times New Roman" w:hAnsi="Times New Roman" w:cs="Times New Roman"/>
              </w:rPr>
            </w:pPr>
            <w:r>
              <w:rPr>
                <w:rFonts w:ascii="Times New Roman" w:hAnsi="Times New Roman" w:cs="Times New Roman"/>
              </w:rPr>
              <w:t>According to the survey, whether “not wanting to go alone” for medical treatment is a big problem was asked of the women. It was coded as one if this is a big problem and two if not. We retain the use of this original coding.</w:t>
            </w:r>
          </w:p>
        </w:tc>
      </w:tr>
      <w:tr w:rsidR="000D7FBA" w14:paraId="033AF9E8" w14:textId="77777777" w:rsidTr="008E4C45">
        <w:trPr>
          <w:trHeight w:val="68"/>
        </w:trPr>
        <w:tc>
          <w:tcPr>
            <w:tcW w:w="11700" w:type="dxa"/>
            <w:gridSpan w:val="3"/>
            <w:hideMark/>
          </w:tcPr>
          <w:p w14:paraId="40CFE96E" w14:textId="77777777" w:rsidR="000D7FBA" w:rsidRDefault="000D7FBA" w:rsidP="00031302">
            <w:pPr>
              <w:rPr>
                <w:rFonts w:ascii="Times New Roman" w:hAnsi="Times New Roman" w:cs="Times New Roman"/>
              </w:rPr>
            </w:pPr>
            <w:r>
              <w:rPr>
                <w:rFonts w:ascii="Times New Roman" w:hAnsi="Times New Roman" w:cs="Times New Roman"/>
                <w:b/>
                <w:bCs/>
              </w:rPr>
              <w:t>Need Factors</w:t>
            </w:r>
          </w:p>
        </w:tc>
      </w:tr>
      <w:tr w:rsidR="000D7FBA" w14:paraId="2A6B8EEB" w14:textId="77777777" w:rsidTr="008E4C45">
        <w:trPr>
          <w:trHeight w:val="90"/>
        </w:trPr>
        <w:tc>
          <w:tcPr>
            <w:tcW w:w="3780" w:type="dxa"/>
            <w:tcBorders>
              <w:top w:val="nil"/>
              <w:left w:val="nil"/>
              <w:bottom w:val="single" w:sz="12" w:space="0" w:color="A5A5A5" w:themeColor="accent3"/>
              <w:right w:val="nil"/>
            </w:tcBorders>
            <w:hideMark/>
          </w:tcPr>
          <w:p w14:paraId="0891DDB3" w14:textId="77777777" w:rsidR="000D7FBA" w:rsidRDefault="000D7FBA" w:rsidP="00031302">
            <w:pPr>
              <w:rPr>
                <w:rFonts w:ascii="Times New Roman" w:hAnsi="Times New Roman" w:cs="Times New Roman"/>
              </w:rPr>
            </w:pPr>
            <w:r>
              <w:rPr>
                <w:rFonts w:ascii="Times New Roman" w:hAnsi="Times New Roman" w:cs="Times New Roman"/>
              </w:rPr>
              <w:t xml:space="preserve">Frequency of ANC visits </w:t>
            </w:r>
          </w:p>
        </w:tc>
        <w:tc>
          <w:tcPr>
            <w:tcW w:w="3870" w:type="dxa"/>
            <w:tcBorders>
              <w:top w:val="nil"/>
              <w:left w:val="nil"/>
              <w:bottom w:val="single" w:sz="12" w:space="0" w:color="A5A5A5" w:themeColor="accent3"/>
              <w:right w:val="nil"/>
            </w:tcBorders>
            <w:hideMark/>
          </w:tcPr>
          <w:p w14:paraId="5EF2DA25" w14:textId="7C768898" w:rsidR="000D7FBA" w:rsidRDefault="000D7FBA" w:rsidP="00031302">
            <w:pPr>
              <w:jc w:val="both"/>
              <w:rPr>
                <w:rFonts w:ascii="Times New Roman" w:hAnsi="Times New Roman" w:cs="Times New Roman"/>
              </w:rPr>
            </w:pPr>
            <w:r>
              <w:rPr>
                <w:rFonts w:ascii="Times New Roman" w:hAnsi="Times New Roman" w:cs="Times New Roman"/>
              </w:rPr>
              <w:t xml:space="preserve">The number of times the mother received ANC during her most recent pregnancy that ended in live delivery in five years prior the survey being conducted  </w:t>
            </w:r>
          </w:p>
        </w:tc>
        <w:tc>
          <w:tcPr>
            <w:tcW w:w="4050" w:type="dxa"/>
            <w:tcBorders>
              <w:top w:val="nil"/>
              <w:left w:val="nil"/>
              <w:bottom w:val="single" w:sz="12" w:space="0" w:color="A5A5A5" w:themeColor="accent3"/>
              <w:right w:val="nil"/>
            </w:tcBorders>
            <w:hideMark/>
          </w:tcPr>
          <w:p w14:paraId="25A79E2B" w14:textId="3AE91C4D" w:rsidR="008E4C45" w:rsidRDefault="000D7FBA" w:rsidP="00031302">
            <w:pPr>
              <w:jc w:val="both"/>
              <w:rPr>
                <w:rFonts w:ascii="Times New Roman" w:hAnsi="Times New Roman" w:cs="Times New Roman"/>
              </w:rPr>
            </w:pPr>
            <w:r>
              <w:rPr>
                <w:rFonts w:ascii="Times New Roman" w:hAnsi="Times New Roman" w:cs="Times New Roman"/>
              </w:rPr>
              <w:t>The survey categorized this variable into four categories: none, one visit, two–three visits, and four or more visits. We maintained this original categorization.</w:t>
            </w:r>
          </w:p>
        </w:tc>
      </w:tr>
    </w:tbl>
    <w:p w14:paraId="7B56A928" w14:textId="68C15767" w:rsidR="000D7FBA" w:rsidRDefault="00694C77" w:rsidP="00694C77">
      <w:pPr>
        <w:spacing w:after="0"/>
        <w:jc w:val="right"/>
      </w:pPr>
      <w:r>
        <w:rPr>
          <w:rFonts w:ascii="Times New Roman" w:hAnsi="Times New Roman" w:cs="Times New Roman"/>
        </w:rPr>
        <w:t>(Continued)</w:t>
      </w:r>
    </w:p>
    <w:tbl>
      <w:tblPr>
        <w:tblStyle w:val="TableGrid"/>
        <w:tblW w:w="11520" w:type="dxa"/>
        <w:tblInd w:w="-1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0"/>
        <w:gridCol w:w="3600"/>
        <w:gridCol w:w="3870"/>
      </w:tblGrid>
      <w:tr w:rsidR="000D7FBA" w14:paraId="6D6F6B60" w14:textId="77777777" w:rsidTr="000D7FBA">
        <w:tc>
          <w:tcPr>
            <w:tcW w:w="4050" w:type="dxa"/>
            <w:tcBorders>
              <w:top w:val="nil"/>
              <w:left w:val="nil"/>
              <w:bottom w:val="single" w:sz="12" w:space="0" w:color="A5A5A5" w:themeColor="accent3"/>
              <w:right w:val="nil"/>
            </w:tcBorders>
            <w:hideMark/>
          </w:tcPr>
          <w:p w14:paraId="46A450ED" w14:textId="77777777" w:rsidR="000D7FBA" w:rsidRDefault="000D7FBA">
            <w:pPr>
              <w:rPr>
                <w:rFonts w:ascii="Times New Roman" w:hAnsi="Times New Roman" w:cs="Times New Roman"/>
              </w:rPr>
            </w:pPr>
            <w:r>
              <w:rPr>
                <w:rFonts w:ascii="Times New Roman" w:hAnsi="Times New Roman" w:cs="Times New Roman"/>
                <w:b/>
                <w:bCs/>
                <w:sz w:val="24"/>
                <w:szCs w:val="24"/>
              </w:rPr>
              <w:lastRenderedPageBreak/>
              <w:t>Table 1</w:t>
            </w:r>
            <w:r>
              <w:rPr>
                <w:rFonts w:ascii="Times New Roman" w:hAnsi="Times New Roman" w:cs="Times New Roman"/>
                <w:sz w:val="24"/>
                <w:szCs w:val="24"/>
              </w:rPr>
              <w:t xml:space="preserve"> </w:t>
            </w:r>
            <w:r>
              <w:rPr>
                <w:rFonts w:ascii="Times New Roman" w:hAnsi="Times New Roman" w:cs="Times New Roman"/>
              </w:rPr>
              <w:t>(Continued)</w:t>
            </w:r>
          </w:p>
        </w:tc>
        <w:tc>
          <w:tcPr>
            <w:tcW w:w="3600" w:type="dxa"/>
            <w:tcBorders>
              <w:top w:val="nil"/>
              <w:left w:val="nil"/>
              <w:bottom w:val="single" w:sz="12" w:space="0" w:color="A5A5A5" w:themeColor="accent3"/>
              <w:right w:val="nil"/>
            </w:tcBorders>
          </w:tcPr>
          <w:p w14:paraId="28C1756E" w14:textId="77777777" w:rsidR="000D7FBA" w:rsidRDefault="000D7FBA">
            <w:pPr>
              <w:jc w:val="both"/>
              <w:rPr>
                <w:rFonts w:ascii="Times New Roman" w:hAnsi="Times New Roman" w:cs="Times New Roman"/>
              </w:rPr>
            </w:pPr>
          </w:p>
        </w:tc>
        <w:tc>
          <w:tcPr>
            <w:tcW w:w="3870" w:type="dxa"/>
            <w:tcBorders>
              <w:top w:val="nil"/>
              <w:left w:val="nil"/>
              <w:bottom w:val="single" w:sz="12" w:space="0" w:color="A5A5A5" w:themeColor="accent3"/>
              <w:right w:val="nil"/>
            </w:tcBorders>
          </w:tcPr>
          <w:p w14:paraId="20C2D4EE" w14:textId="77777777" w:rsidR="000D7FBA" w:rsidRDefault="000D7FBA">
            <w:pPr>
              <w:jc w:val="both"/>
              <w:rPr>
                <w:rFonts w:ascii="Times New Roman" w:hAnsi="Times New Roman" w:cs="Times New Roman"/>
              </w:rPr>
            </w:pPr>
          </w:p>
        </w:tc>
      </w:tr>
      <w:tr w:rsidR="000D7FBA" w14:paraId="41D4D421" w14:textId="77777777" w:rsidTr="000D7FBA">
        <w:tc>
          <w:tcPr>
            <w:tcW w:w="4050" w:type="dxa"/>
            <w:tcBorders>
              <w:top w:val="single" w:sz="12" w:space="0" w:color="A5A5A5" w:themeColor="accent3"/>
              <w:left w:val="nil"/>
              <w:bottom w:val="single" w:sz="12" w:space="0" w:color="A5A5A5" w:themeColor="accent3"/>
              <w:right w:val="nil"/>
            </w:tcBorders>
            <w:hideMark/>
          </w:tcPr>
          <w:p w14:paraId="66773590" w14:textId="77777777" w:rsidR="000D7FBA" w:rsidRDefault="000D7FBA">
            <w:pPr>
              <w:rPr>
                <w:rFonts w:ascii="Times New Roman" w:hAnsi="Times New Roman" w:cs="Times New Roman"/>
              </w:rPr>
            </w:pPr>
            <w:r>
              <w:rPr>
                <w:rFonts w:ascii="Times New Roman" w:hAnsi="Times New Roman" w:cs="Times New Roman"/>
                <w:b/>
                <w:bCs/>
              </w:rPr>
              <w:t xml:space="preserve">Variables </w:t>
            </w:r>
          </w:p>
        </w:tc>
        <w:tc>
          <w:tcPr>
            <w:tcW w:w="3600" w:type="dxa"/>
            <w:tcBorders>
              <w:top w:val="single" w:sz="12" w:space="0" w:color="A5A5A5" w:themeColor="accent3"/>
              <w:left w:val="nil"/>
              <w:bottom w:val="single" w:sz="12" w:space="0" w:color="A5A5A5" w:themeColor="accent3"/>
              <w:right w:val="nil"/>
            </w:tcBorders>
            <w:hideMark/>
          </w:tcPr>
          <w:p w14:paraId="064EC08A" w14:textId="77777777" w:rsidR="000D7FBA" w:rsidRDefault="000D7FBA">
            <w:pPr>
              <w:jc w:val="both"/>
              <w:rPr>
                <w:rFonts w:ascii="Times New Roman" w:hAnsi="Times New Roman" w:cs="Times New Roman"/>
              </w:rPr>
            </w:pPr>
            <w:r>
              <w:rPr>
                <w:rFonts w:ascii="Times New Roman" w:hAnsi="Times New Roman" w:cs="Times New Roman"/>
                <w:b/>
                <w:bCs/>
              </w:rPr>
              <w:t xml:space="preserve">Descriptions </w:t>
            </w:r>
          </w:p>
        </w:tc>
        <w:tc>
          <w:tcPr>
            <w:tcW w:w="3870" w:type="dxa"/>
            <w:tcBorders>
              <w:top w:val="single" w:sz="12" w:space="0" w:color="A5A5A5" w:themeColor="accent3"/>
              <w:left w:val="nil"/>
              <w:bottom w:val="single" w:sz="12" w:space="0" w:color="A5A5A5" w:themeColor="accent3"/>
              <w:right w:val="nil"/>
            </w:tcBorders>
            <w:hideMark/>
          </w:tcPr>
          <w:p w14:paraId="163D1ED7" w14:textId="77777777" w:rsidR="000D7FBA" w:rsidRDefault="000D7FBA">
            <w:pPr>
              <w:jc w:val="both"/>
              <w:rPr>
                <w:rFonts w:ascii="Times New Roman" w:hAnsi="Times New Roman" w:cs="Times New Roman"/>
              </w:rPr>
            </w:pPr>
            <w:r>
              <w:rPr>
                <w:rFonts w:ascii="Times New Roman" w:hAnsi="Times New Roman" w:cs="Times New Roman"/>
                <w:b/>
                <w:bCs/>
              </w:rPr>
              <w:t xml:space="preserve">Categorizations  </w:t>
            </w:r>
          </w:p>
        </w:tc>
      </w:tr>
      <w:tr w:rsidR="000D7FBA" w14:paraId="55E2F6E3" w14:textId="77777777" w:rsidTr="000D7FBA">
        <w:tc>
          <w:tcPr>
            <w:tcW w:w="4050" w:type="dxa"/>
            <w:tcBorders>
              <w:top w:val="single" w:sz="12" w:space="0" w:color="A5A5A5" w:themeColor="accent3"/>
              <w:left w:val="nil"/>
              <w:bottom w:val="nil"/>
              <w:right w:val="nil"/>
            </w:tcBorders>
            <w:hideMark/>
          </w:tcPr>
          <w:p w14:paraId="1CDACE68" w14:textId="77777777" w:rsidR="000D7FBA" w:rsidRDefault="000D7FBA">
            <w:pPr>
              <w:rPr>
                <w:rFonts w:ascii="Times New Roman" w:hAnsi="Times New Roman" w:cs="Times New Roman"/>
              </w:rPr>
            </w:pPr>
            <w:r>
              <w:rPr>
                <w:rFonts w:ascii="Times New Roman" w:hAnsi="Times New Roman" w:cs="Times New Roman"/>
              </w:rPr>
              <w:t>Time of first ANC visit</w:t>
            </w:r>
          </w:p>
        </w:tc>
        <w:tc>
          <w:tcPr>
            <w:tcW w:w="3600" w:type="dxa"/>
            <w:tcBorders>
              <w:top w:val="single" w:sz="12" w:space="0" w:color="A5A5A5" w:themeColor="accent3"/>
              <w:left w:val="nil"/>
              <w:bottom w:val="nil"/>
              <w:right w:val="nil"/>
            </w:tcBorders>
            <w:hideMark/>
          </w:tcPr>
          <w:p w14:paraId="112D2C26" w14:textId="77777777" w:rsidR="000D7FBA" w:rsidRDefault="000D7FBA">
            <w:pPr>
              <w:jc w:val="both"/>
              <w:rPr>
                <w:rFonts w:ascii="Times New Roman" w:hAnsi="Times New Roman" w:cs="Times New Roman"/>
              </w:rPr>
            </w:pPr>
            <w:r>
              <w:rPr>
                <w:rFonts w:ascii="Times New Roman" w:hAnsi="Times New Roman" w:cs="Times New Roman"/>
              </w:rPr>
              <w:t xml:space="preserve">Months pregnant at the time the mother received her first ANC visit for the current pregnancy  </w:t>
            </w:r>
          </w:p>
        </w:tc>
        <w:tc>
          <w:tcPr>
            <w:tcW w:w="3870" w:type="dxa"/>
            <w:tcBorders>
              <w:top w:val="single" w:sz="12" w:space="0" w:color="A5A5A5" w:themeColor="accent3"/>
              <w:left w:val="nil"/>
              <w:bottom w:val="nil"/>
              <w:right w:val="nil"/>
            </w:tcBorders>
            <w:hideMark/>
          </w:tcPr>
          <w:p w14:paraId="0D036268" w14:textId="77777777" w:rsidR="000D7FBA" w:rsidRDefault="000D7FBA">
            <w:pPr>
              <w:jc w:val="both"/>
              <w:rPr>
                <w:rFonts w:ascii="Times New Roman" w:hAnsi="Times New Roman" w:cs="Times New Roman"/>
              </w:rPr>
            </w:pPr>
            <w:r>
              <w:rPr>
                <w:rFonts w:ascii="Times New Roman" w:hAnsi="Times New Roman" w:cs="Times New Roman"/>
              </w:rPr>
              <w:t xml:space="preserve">The survey categorizes this variable into five categories &lt;4, 4–5, 6–7, and 8 or more months. We assigned those months in relevance with their trimesters (stages of pregnancy) and categorized them into four: “no antenatal visit”, “first trimester”, “second trimester”, and “third trimester”. </w:t>
            </w:r>
          </w:p>
        </w:tc>
      </w:tr>
      <w:tr w:rsidR="000D7FBA" w14:paraId="09DEB035" w14:textId="77777777" w:rsidTr="000D7FBA">
        <w:trPr>
          <w:trHeight w:val="3843"/>
        </w:trPr>
        <w:tc>
          <w:tcPr>
            <w:tcW w:w="4050" w:type="dxa"/>
            <w:tcBorders>
              <w:top w:val="nil"/>
              <w:left w:val="nil"/>
              <w:bottom w:val="single" w:sz="12" w:space="0" w:color="A5A5A5" w:themeColor="accent3"/>
              <w:right w:val="nil"/>
            </w:tcBorders>
            <w:hideMark/>
          </w:tcPr>
          <w:p w14:paraId="7F264AC3" w14:textId="77777777" w:rsidR="000D7FBA" w:rsidRDefault="000D7FBA">
            <w:pPr>
              <w:rPr>
                <w:rFonts w:ascii="Times New Roman" w:hAnsi="Times New Roman" w:cs="Times New Roman"/>
              </w:rPr>
            </w:pPr>
            <w:r>
              <w:rPr>
                <w:rFonts w:ascii="Times New Roman" w:hAnsi="Times New Roman" w:cs="Times New Roman"/>
                <w:b/>
                <w:bCs/>
              </w:rPr>
              <w:t>Place of Delivery</w:t>
            </w:r>
          </w:p>
        </w:tc>
        <w:tc>
          <w:tcPr>
            <w:tcW w:w="3600" w:type="dxa"/>
            <w:tcBorders>
              <w:top w:val="nil"/>
              <w:left w:val="nil"/>
              <w:bottom w:val="single" w:sz="12" w:space="0" w:color="A5A5A5" w:themeColor="accent3"/>
              <w:right w:val="nil"/>
            </w:tcBorders>
            <w:hideMark/>
          </w:tcPr>
          <w:p w14:paraId="7B0F150B" w14:textId="77777777" w:rsidR="000D7FBA" w:rsidRDefault="000D7FBA">
            <w:pPr>
              <w:jc w:val="both"/>
              <w:rPr>
                <w:rFonts w:ascii="Times New Roman" w:hAnsi="Times New Roman" w:cs="Times New Roman"/>
              </w:rPr>
            </w:pPr>
            <w:r>
              <w:rPr>
                <w:rFonts w:ascii="Times New Roman" w:hAnsi="Times New Roman" w:cs="Times New Roman"/>
              </w:rPr>
              <w:t xml:space="preserve">A place where the mother gave her live-baby-birth five years before the survey was conducted  </w:t>
            </w:r>
          </w:p>
        </w:tc>
        <w:tc>
          <w:tcPr>
            <w:tcW w:w="3870" w:type="dxa"/>
            <w:tcBorders>
              <w:top w:val="nil"/>
              <w:left w:val="nil"/>
              <w:bottom w:val="single" w:sz="12" w:space="0" w:color="A5A5A5" w:themeColor="accent3"/>
              <w:right w:val="nil"/>
            </w:tcBorders>
            <w:hideMark/>
          </w:tcPr>
          <w:p w14:paraId="0CA75118" w14:textId="77777777" w:rsidR="000D7FBA" w:rsidRDefault="000D7FBA">
            <w:pPr>
              <w:jc w:val="both"/>
              <w:rPr>
                <w:rFonts w:ascii="Times New Roman" w:hAnsi="Times New Roman" w:cs="Times New Roman"/>
              </w:rPr>
            </w:pPr>
            <w:r>
              <w:rPr>
                <w:rFonts w:ascii="Times New Roman" w:hAnsi="Times New Roman" w:cs="Times New Roman"/>
              </w:rPr>
              <w:t xml:space="preserve">“Home birth” was the study’s outcome variable. Women were questioned about the place of their most recent healthy baby birth in the five years prior to the 2020 SHDS survey. “Where did you give birth to (Name)?” in the “ever-married women’s questionnaire”. It was grouped into five different places: “her home”, “other home”, public health sector, private health sector, and others. Specific to our study, the variable “place of delivery” was dichotomized as (1) if the delivery took place at her home or another home and (0) if at a health care institution (e.g., public, private, or other).  </w:t>
            </w:r>
          </w:p>
        </w:tc>
      </w:tr>
    </w:tbl>
    <w:p w14:paraId="561D3D05" w14:textId="77777777" w:rsidR="00B865FC" w:rsidRDefault="00B865FC"/>
    <w:sectPr w:rsidR="00B865FC" w:rsidSect="008E4C45">
      <w:pgSz w:w="12240" w:h="15840"/>
      <w:pgMar w:top="1350" w:right="1800" w:bottom="117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FBA"/>
    <w:rsid w:val="00031302"/>
    <w:rsid w:val="000D7FBA"/>
    <w:rsid w:val="001B73E5"/>
    <w:rsid w:val="00694C77"/>
    <w:rsid w:val="00877552"/>
    <w:rsid w:val="008E4C45"/>
    <w:rsid w:val="00B865FC"/>
    <w:rsid w:val="00E84A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B5682"/>
  <w15:chartTrackingRefBased/>
  <w15:docId w15:val="{FF812CAE-5705-46F2-8FEC-889772D9B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7FB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358380">
      <w:bodyDiv w:val="1"/>
      <w:marLeft w:val="0"/>
      <w:marRight w:val="0"/>
      <w:marTop w:val="0"/>
      <w:marBottom w:val="0"/>
      <w:divBdr>
        <w:top w:val="none" w:sz="0" w:space="0" w:color="auto"/>
        <w:left w:val="none" w:sz="0" w:space="0" w:color="auto"/>
        <w:bottom w:val="none" w:sz="0" w:space="0" w:color="auto"/>
        <w:right w:val="none" w:sz="0" w:space="0" w:color="auto"/>
      </w:divBdr>
    </w:div>
    <w:div w:id="1919561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1112</Words>
  <Characters>6261</Characters>
  <Application>Microsoft Office Word</Application>
  <DocSecurity>0</DocSecurity>
  <Lines>223</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Sahardid Ibrahim</dc:creator>
  <cp:keywords/>
  <dc:description/>
  <cp:lastModifiedBy>Sahardid Ibrahim</cp:lastModifiedBy>
  <cp:revision>5</cp:revision>
  <dcterms:created xsi:type="dcterms:W3CDTF">2024-11-04T13:27:00Z</dcterms:created>
  <dcterms:modified xsi:type="dcterms:W3CDTF">2024-11-04T14:15:00Z</dcterms:modified>
</cp:coreProperties>
</file>