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A121">
      <w:pPr>
        <w:jc w:val="both"/>
      </w:pP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2577465" cy="3213735"/>
            <wp:effectExtent l="0" t="0" r="254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8EAF1">
      <w:pPr>
        <w:spacing w:line="360" w:lineRule="auto"/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Supplementary Fig.1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LDHA expression in BC and normal tissues in the GTEx and TCGA databases. Abbreviati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on: BC, breast cancer; LDHA, lactate dehydrogenase A.</w:t>
      </w:r>
    </w:p>
    <w:p w14:paraId="428AB952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br w:type="page"/>
      </w:r>
    </w:p>
    <w:p w14:paraId="44BB458E">
      <w:pPr>
        <w:spacing w:line="360" w:lineRule="auto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113530"/>
            <wp:effectExtent l="0" t="0" r="6350" b="10160"/>
            <wp:docPr id="3" name="图片 3" descr="S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A0BFB">
      <w:pPr>
        <w:spacing w:line="360" w:lineRule="auto"/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Supplementary Fig.2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Heatmap of LDHA differential genes. LDHA, lactate dehydrogenase A.</w:t>
      </w:r>
    </w:p>
    <w:p w14:paraId="426AE01D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br w:type="page"/>
      </w:r>
    </w:p>
    <w:p w14:paraId="233882A0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Times New Roman" w:hAnsi="Times New Roman" w:cs="Times New Roman"/>
          <w:b/>
          <w:bCs/>
          <w:sz w:val="21"/>
          <w:szCs w:val="21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66895" cy="5963285"/>
            <wp:effectExtent l="0" t="0" r="5080" b="6350"/>
            <wp:docPr id="28" name="图片 28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596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D1250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Supplementary Fig.3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Correlation between LDHA expression and immunotherapy in BC.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A.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Correlation between LDHA expression and immune checkpoints;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 xml:space="preserve">B-E.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Correlation between LDHA expression and CTLA-4 and PD-1. 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&lt; 0.05 indicates that the difference is statistically significant. Abbreviation: BC, breast cancer; CTLA-4, Cytotoxic T Lymphocyte-Associated Antigen-4; LDHA, lactate dehydrogenase A; PD-1, Programmed Death-1.</w:t>
      </w:r>
    </w:p>
    <w:p w14:paraId="5E567F50">
      <w:pPr>
        <w:spacing w:line="360" w:lineRule="auto"/>
        <w:jc w:val="left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7B011E91">
      <w:pPr>
        <w:spacing w:line="360" w:lineRule="auto"/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6F866B64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br w:type="page"/>
      </w:r>
    </w:p>
    <w:p w14:paraId="1871BB55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3560445" cy="3236595"/>
            <wp:effectExtent l="0" t="0" r="1905" b="1905"/>
            <wp:docPr id="30" name="图片 30" descr="Fig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igure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6C664">
      <w:pPr>
        <w:spacing w:line="360" w:lineRule="auto"/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Supplementary Fig.4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Grouping flow chart of 395 BC patients collected. Abbreviation: BC, breast cancer; LDHA, lactate dehydrogenase A; NAC, neoadjuvant chemotherapy.</w:t>
      </w:r>
    </w:p>
    <w:p w14:paraId="323DE80C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br w:type="page"/>
      </w:r>
    </w:p>
    <w:p w14:paraId="25302EC4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5269230" cy="4027170"/>
            <wp:effectExtent l="0" t="0" r="9525" b="10160"/>
            <wp:docPr id="2" name="图片 2" descr="新结果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结果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93719">
      <w:pPr>
        <w:spacing w:line="360" w:lineRule="auto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ROC curve analysis for serum LDH levels.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 xml:space="preserve">A.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ROC curve of serum LDH levels before NAC;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B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.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ROC curve of mid-NAC serum LDH levels;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 xml:space="preserve">C.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ROC curve for preoperative serum LDH levels. Abbreviation: BC, breast cancer; LDH, lactate dehydrogenase; NAC, neoadjuvant chemotherapy; ROC, receiver operating characteristic.</w:t>
      </w:r>
    </w:p>
    <w:p w14:paraId="589FDE1E">
      <w:pPr>
        <w:spacing w:line="360" w:lineRule="auto"/>
        <w:jc w:val="left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3E073C76">
      <w:pPr>
        <w:spacing w:line="360" w:lineRule="auto"/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05ABB82F">
      <w:pPr>
        <w:spacing w:line="360" w:lineRule="auto"/>
        <w:jc w:val="left"/>
      </w:pPr>
      <w:r>
        <w:br w:type="page"/>
      </w:r>
    </w:p>
    <w:p w14:paraId="3F91F6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500755"/>
            <wp:effectExtent l="0" t="0" r="5715" b="7620"/>
            <wp:docPr id="5" name="图片 5" descr="新结果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新结果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CF12">
      <w:pPr>
        <w:spacing w:line="360" w:lineRule="auto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ROC curve analysis of clinical-pathological features in the NHANES cohort.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 xml:space="preserve">A.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ROC curve of serum LDH levels;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ROC curve of serum total protein level;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ROC curve of serum albumin levels;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ROC curve of serum globulin levels; </w:t>
      </w: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 ROC curve of serum uric acid levels. Abbreviation: BC, breast cancer; LDH, lactate dehydrogenase; NAC, neoadjuvant chemotherapy; ROC, receiver operating characteristic.</w:t>
      </w:r>
    </w:p>
    <w:p w14:paraId="68CBD780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6F22466"/>
    <w:rsid w:val="07E172DD"/>
    <w:rsid w:val="0CBD0A91"/>
    <w:rsid w:val="1CEE24DC"/>
    <w:rsid w:val="380F619E"/>
    <w:rsid w:val="3A7A59F8"/>
    <w:rsid w:val="3B8E39E8"/>
    <w:rsid w:val="6A396D2C"/>
    <w:rsid w:val="71F61D2C"/>
    <w:rsid w:val="73985418"/>
    <w:rsid w:val="778A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220</Words>
  <Characters>1357</Characters>
  <Lines>0</Lines>
  <Paragraphs>0</Paragraphs>
  <TotalTime>0</TotalTime>
  <ScaleCrop>false</ScaleCrop>
  <LinksUpToDate>false</LinksUpToDate>
  <CharactersWithSpaces>1571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2024-10-01T00:50:00Z</dcterms:created>
  <dc:creator>窦赫</dc:creator>
  <cp:lastModifiedBy>窦赫</cp:lastModifiedBy>
  <dcterms:modified xsi:type="dcterms:W3CDTF">2025-09-11T01:23:04Z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CCD820BD3DF7486784C7B6427F8992F8_12</vt:lpwstr>
  </property>
  <property fmtid="{D5CDD505-2E9C-101B-9397-08002B2CF9AE}" pid="4" name="KSOTemplateDocerSaveRecord">
    <vt:lpwstr>eyJoZGlkIjoiODViY2JkMjU3NGYzZTEwMzZmMGFkZWViYmNkYWU3NDIiLCJ1c2VySWQiOiIzNDI1MjQ2MTkifQ==</vt:lpwstr>
  </property>
</Properties>
</file>