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4FD7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b/>
          <w:bCs w:val="0"/>
        </w:rPr>
      </w:pPr>
      <w:r>
        <w:rPr>
          <w:b/>
          <w:bCs w:val="0"/>
        </w:rPr>
        <w:t xml:space="preserve">Supplementary Table 1. Changes in serum CA-125 levels at 3 months </w:t>
      </w:r>
      <w:r>
        <w:rPr>
          <w:rFonts w:cs="Times New Roman"/>
          <w:b/>
          <w:bCs w:val="0"/>
          <w:szCs w:val="24"/>
        </w:rPr>
        <w:t>post-UAE</w:t>
      </w:r>
    </w:p>
    <w:tbl>
      <w:tblPr>
        <w:tblStyle w:val="3"/>
        <w:tblW w:w="4995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1"/>
        <w:gridCol w:w="1722"/>
        <w:gridCol w:w="1808"/>
        <w:gridCol w:w="1917"/>
        <w:gridCol w:w="887"/>
        <w:gridCol w:w="888"/>
      </w:tblGrid>
      <w:tr w14:paraId="3E08DF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0" w:type="pct"/>
            <w:tcBorders>
              <w:top w:val="single" w:color="auto" w:sz="12" w:space="0"/>
              <w:bottom w:val="single" w:color="auto" w:sz="8" w:space="0"/>
            </w:tcBorders>
            <w:vAlign w:val="center"/>
          </w:tcPr>
          <w:p w14:paraId="0A3060A5">
            <w:pPr>
              <w:widowControl/>
              <w:spacing w:line="360" w:lineRule="auto"/>
              <w:jc w:val="center"/>
              <w:rPr>
                <w:rFonts w:cs="Times New Roman"/>
                <w:bCs w:val="0"/>
                <w:szCs w:val="24"/>
              </w:rPr>
            </w:pPr>
            <w:bookmarkStart w:id="0" w:name="_GoBack"/>
            <w:bookmarkEnd w:id="0"/>
          </w:p>
        </w:tc>
        <w:tc>
          <w:tcPr>
            <w:tcW w:w="874" w:type="pct"/>
            <w:tcBorders>
              <w:top w:val="single" w:color="auto" w:sz="12" w:space="0"/>
              <w:bottom w:val="single" w:color="auto" w:sz="8" w:space="0"/>
            </w:tcBorders>
            <w:vAlign w:val="center"/>
          </w:tcPr>
          <w:p w14:paraId="14786932">
            <w:pPr>
              <w:widowControl/>
              <w:spacing w:line="360" w:lineRule="auto"/>
              <w:jc w:val="center"/>
              <w:rPr>
                <w:rFonts w:cs="Times New Roman"/>
                <w:bCs w:val="0"/>
                <w:szCs w:val="24"/>
              </w:rPr>
            </w:pPr>
            <w:r>
              <w:rPr>
                <w:rFonts w:hint="eastAsia" w:eastAsia="宋体" w:cs="Times New Roman"/>
                <w:bCs w:val="0"/>
                <w:kern w:val="0"/>
                <w:szCs w:val="24"/>
                <w:lang w:bidi="ar"/>
              </w:rPr>
              <w:t>Groups</w:t>
            </w:r>
          </w:p>
        </w:tc>
        <w:tc>
          <w:tcPr>
            <w:tcW w:w="1104" w:type="pct"/>
            <w:tcBorders>
              <w:top w:val="single" w:color="auto" w:sz="12" w:space="0"/>
              <w:bottom w:val="single" w:color="auto" w:sz="8" w:space="0"/>
            </w:tcBorders>
            <w:vAlign w:val="center"/>
          </w:tcPr>
          <w:p w14:paraId="3A000F19">
            <w:pPr>
              <w:widowControl/>
              <w:spacing w:line="360" w:lineRule="auto"/>
              <w:jc w:val="center"/>
              <w:rPr>
                <w:rFonts w:cs="Times New Roman"/>
                <w:bCs w:val="0"/>
                <w:szCs w:val="24"/>
              </w:rPr>
            </w:pPr>
            <w:r>
              <w:rPr>
                <w:rFonts w:hint="eastAsia" w:eastAsia="宋体" w:cs="Times New Roman"/>
                <w:bCs w:val="0"/>
                <w:kern w:val="0"/>
                <w:szCs w:val="24"/>
                <w:lang w:bidi="ar"/>
              </w:rPr>
              <w:t>Preoperative values</w:t>
            </w:r>
          </w:p>
        </w:tc>
        <w:tc>
          <w:tcPr>
            <w:tcW w:w="1168" w:type="pct"/>
            <w:tcBorders>
              <w:top w:val="single" w:color="auto" w:sz="12" w:space="0"/>
              <w:bottom w:val="single" w:color="auto" w:sz="8" w:space="0"/>
            </w:tcBorders>
            <w:vAlign w:val="center"/>
          </w:tcPr>
          <w:p w14:paraId="6C88E4B8">
            <w:pPr>
              <w:widowControl/>
              <w:spacing w:line="360" w:lineRule="auto"/>
              <w:jc w:val="center"/>
              <w:rPr>
                <w:rFonts w:cs="Times New Roman"/>
                <w:bCs w:val="0"/>
                <w:szCs w:val="24"/>
              </w:rPr>
            </w:pPr>
            <w:r>
              <w:rPr>
                <w:rFonts w:hint="eastAsia" w:cs="Times New Roman"/>
                <w:bCs w:val="0"/>
                <w:szCs w:val="24"/>
                <w:lang w:val="en-US" w:eastAsia="zh-CN"/>
              </w:rPr>
              <w:t>3</w:t>
            </w:r>
            <w:r>
              <w:rPr>
                <w:rFonts w:cs="Times New Roman"/>
                <w:bCs w:val="0"/>
                <w:szCs w:val="24"/>
              </w:rPr>
              <w:t xml:space="preserve"> </w:t>
            </w:r>
            <w:r>
              <w:rPr>
                <w:rFonts w:hint="eastAsia" w:cs="Times New Roman"/>
                <w:bCs w:val="0"/>
                <w:szCs w:val="24"/>
                <w:lang w:val="en-US" w:eastAsia="zh-CN"/>
              </w:rPr>
              <w:t>months</w:t>
            </w:r>
            <w:r>
              <w:rPr>
                <w:rFonts w:cs="Times New Roman"/>
                <w:bCs w:val="0"/>
                <w:szCs w:val="24"/>
              </w:rPr>
              <w:t xml:space="preserve"> postoperatively</w:t>
            </w:r>
          </w:p>
        </w:tc>
        <w:tc>
          <w:tcPr>
            <w:tcW w:w="563" w:type="pct"/>
            <w:tcBorders>
              <w:top w:val="single" w:color="auto" w:sz="12" w:space="0"/>
              <w:bottom w:val="single" w:color="auto" w:sz="8" w:space="0"/>
            </w:tcBorders>
            <w:vAlign w:val="center"/>
          </w:tcPr>
          <w:p w14:paraId="64F5AAAF">
            <w:pPr>
              <w:widowControl/>
              <w:spacing w:line="360" w:lineRule="auto"/>
              <w:jc w:val="center"/>
              <w:rPr>
                <w:rFonts w:cs="Times New Roman"/>
                <w:bCs w:val="0"/>
                <w:szCs w:val="24"/>
              </w:rPr>
            </w:pPr>
            <w:r>
              <w:rPr>
                <w:rFonts w:eastAsia="宋体" w:cs="Times New Roman"/>
                <w:bCs w:val="0"/>
                <w:kern w:val="0"/>
                <w:szCs w:val="24"/>
                <w:lang w:bidi="ar"/>
              </w:rPr>
              <w:t>P</w:t>
            </w:r>
            <w:r>
              <w:rPr>
                <w:rFonts w:hint="eastAsia" w:eastAsia="宋体" w:cs="Times New Roman"/>
                <w:bCs w:val="0"/>
                <w:kern w:val="0"/>
                <w:szCs w:val="24"/>
                <w:lang w:bidi="ar"/>
              </w:rPr>
              <w:t xml:space="preserve"> value</w:t>
            </w:r>
          </w:p>
        </w:tc>
        <w:tc>
          <w:tcPr>
            <w:tcW w:w="489" w:type="pct"/>
            <w:tcBorders>
              <w:top w:val="single" w:color="auto" w:sz="12" w:space="0"/>
              <w:bottom w:val="single" w:color="auto" w:sz="8" w:space="0"/>
            </w:tcBorders>
            <w:vAlign w:val="center"/>
          </w:tcPr>
          <w:p w14:paraId="39A985EB">
            <w:pPr>
              <w:widowControl/>
              <w:spacing w:line="360" w:lineRule="auto"/>
              <w:jc w:val="center"/>
              <w:rPr>
                <w:rFonts w:eastAsia="宋体" w:cs="Times New Roman"/>
                <w:bCs w:val="0"/>
                <w:kern w:val="0"/>
                <w:szCs w:val="24"/>
                <w:lang w:bidi="ar"/>
              </w:rPr>
            </w:pPr>
            <w:r>
              <w:rPr>
                <w:rFonts w:eastAsia="宋体" w:cs="Times New Roman"/>
                <w:bCs w:val="0"/>
                <w:kern w:val="0"/>
                <w:szCs w:val="24"/>
                <w:lang w:bidi="ar"/>
              </w:rPr>
              <w:t>Δ</w:t>
            </w:r>
            <w:r>
              <w:rPr>
                <w:rFonts w:hint="eastAsia" w:eastAsia="宋体" w:cs="Times New Roman"/>
                <w:bCs w:val="0"/>
                <w:kern w:val="0"/>
                <w:szCs w:val="24"/>
                <w:lang w:bidi="ar"/>
              </w:rPr>
              <w:t xml:space="preserve"> value</w:t>
            </w:r>
          </w:p>
        </w:tc>
      </w:tr>
      <w:tr w14:paraId="4B8241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0" w:type="pct"/>
            <w:vMerge w:val="restart"/>
            <w:tcBorders>
              <w:top w:val="single" w:color="auto" w:sz="8" w:space="0"/>
              <w:bottom w:val="single" w:color="auto" w:sz="12" w:space="0"/>
            </w:tcBorders>
            <w:vAlign w:val="center"/>
          </w:tcPr>
          <w:p w14:paraId="7F544285">
            <w:pPr>
              <w:widowControl/>
              <w:spacing w:line="360" w:lineRule="auto"/>
              <w:jc w:val="center"/>
              <w:rPr>
                <w:rFonts w:cs="Times New Roman"/>
                <w:bCs w:val="0"/>
                <w:szCs w:val="24"/>
              </w:rPr>
            </w:pPr>
            <w:r>
              <w:rPr>
                <w:rFonts w:hint="eastAsia" w:cs="Times New Roman"/>
                <w:bCs w:val="0"/>
                <w:szCs w:val="24"/>
              </w:rPr>
              <w:t>CA-125 (U/mL)</w:t>
            </w:r>
          </w:p>
        </w:tc>
        <w:tc>
          <w:tcPr>
            <w:tcW w:w="874" w:type="pct"/>
            <w:tcBorders>
              <w:top w:val="single" w:color="auto" w:sz="8" w:space="0"/>
              <w:tl2br w:val="nil"/>
              <w:tr2bl w:val="nil"/>
            </w:tcBorders>
            <w:vAlign w:val="center"/>
          </w:tcPr>
          <w:p w14:paraId="21AECEAB">
            <w:pPr>
              <w:widowControl/>
              <w:spacing w:line="360" w:lineRule="auto"/>
              <w:jc w:val="center"/>
              <w:rPr>
                <w:rFonts w:cs="Times New Roman"/>
                <w:bCs w:val="0"/>
                <w:szCs w:val="24"/>
              </w:rPr>
            </w:pPr>
            <w:r>
              <w:rPr>
                <w:rFonts w:hint="eastAsia" w:eastAsia="宋体" w:cs="Times New Roman"/>
                <w:bCs w:val="0"/>
                <w:kern w:val="0"/>
                <w:szCs w:val="24"/>
                <w:lang w:bidi="ar"/>
              </w:rPr>
              <w:t>N</w:t>
            </w:r>
            <w:r>
              <w:rPr>
                <w:rFonts w:cs="Times New Roman"/>
                <w:szCs w:val="24"/>
              </w:rPr>
              <w:t>on-recurrence</w:t>
            </w:r>
            <w:r>
              <w:rPr>
                <w:rFonts w:hint="eastAsia" w:cs="Times New Roman"/>
                <w:szCs w:val="24"/>
              </w:rPr>
              <w:t xml:space="preserve"> group</w:t>
            </w:r>
            <w:r>
              <w:rPr>
                <w:rFonts w:eastAsia="宋体" w:cs="Times New Roman"/>
                <w:bCs w:val="0"/>
                <w:kern w:val="0"/>
                <w:szCs w:val="24"/>
                <w:lang w:bidi="ar"/>
              </w:rPr>
              <w:t xml:space="preserve"> (n=138)</w:t>
            </w:r>
          </w:p>
        </w:tc>
        <w:tc>
          <w:tcPr>
            <w:tcW w:w="1104" w:type="pct"/>
            <w:tcBorders>
              <w:top w:val="single" w:color="auto" w:sz="8" w:space="0"/>
              <w:tl2br w:val="nil"/>
              <w:tr2bl w:val="nil"/>
            </w:tcBorders>
            <w:vAlign w:val="center"/>
          </w:tcPr>
          <w:p w14:paraId="0F1E2BA8">
            <w:pPr>
              <w:widowControl/>
              <w:spacing w:line="360" w:lineRule="auto"/>
              <w:jc w:val="center"/>
              <w:rPr>
                <w:rFonts w:cs="Times New Roman"/>
                <w:bCs w:val="0"/>
                <w:szCs w:val="24"/>
              </w:rPr>
            </w:pPr>
            <w:r>
              <w:rPr>
                <w:rFonts w:eastAsia="宋体" w:cs="Times New Roman"/>
                <w:bCs w:val="0"/>
                <w:kern w:val="0"/>
                <w:szCs w:val="24"/>
                <w:lang w:bidi="ar"/>
              </w:rPr>
              <w:t>76.9 (60.1</w:t>
            </w:r>
            <w:r>
              <w:rPr>
                <w:rFonts w:hint="eastAsia" w:eastAsia="宋体" w:cs="Times New Roman"/>
                <w:bCs w:val="0"/>
                <w:kern w:val="0"/>
                <w:szCs w:val="24"/>
                <w:lang w:bidi="ar"/>
              </w:rPr>
              <w:t xml:space="preserve">, </w:t>
            </w:r>
            <w:r>
              <w:rPr>
                <w:rFonts w:eastAsia="宋体" w:cs="Times New Roman"/>
                <w:bCs w:val="0"/>
                <w:kern w:val="0"/>
                <w:szCs w:val="24"/>
                <w:lang w:bidi="ar"/>
              </w:rPr>
              <w:t>101.6)</w:t>
            </w:r>
          </w:p>
        </w:tc>
        <w:tc>
          <w:tcPr>
            <w:tcW w:w="1168" w:type="pct"/>
            <w:tcBorders>
              <w:top w:val="single" w:color="auto" w:sz="8" w:space="0"/>
              <w:tl2br w:val="nil"/>
              <w:tr2bl w:val="nil"/>
            </w:tcBorders>
            <w:vAlign w:val="center"/>
          </w:tcPr>
          <w:p w14:paraId="49B2312C">
            <w:pPr>
              <w:widowControl/>
              <w:spacing w:line="360" w:lineRule="auto"/>
              <w:jc w:val="center"/>
              <w:rPr>
                <w:rFonts w:hint="default" w:cs="Times New Roman" w:eastAsiaTheme="minorEastAsia"/>
                <w:bCs w:val="0"/>
                <w:szCs w:val="24"/>
                <w:lang w:val="en-US" w:eastAsia="zh-CN"/>
              </w:rPr>
            </w:pPr>
            <w:r>
              <w:rPr>
                <w:rFonts w:hint="eastAsia" w:eastAsia="宋体" w:cs="Times New Roman"/>
                <w:bCs w:val="0"/>
                <w:kern w:val="0"/>
                <w:szCs w:val="24"/>
                <w:lang w:val="en-US" w:eastAsia="zh-CN" w:bidi="ar"/>
              </w:rPr>
              <w:t>38.4</w:t>
            </w:r>
            <w:r>
              <w:rPr>
                <w:rFonts w:eastAsia="宋体" w:cs="Times New Roman"/>
                <w:bCs w:val="0"/>
                <w:kern w:val="0"/>
                <w:szCs w:val="24"/>
                <w:lang w:bidi="ar"/>
              </w:rPr>
              <w:t xml:space="preserve"> (</w:t>
            </w:r>
            <w:r>
              <w:rPr>
                <w:rFonts w:hint="eastAsia" w:eastAsia="宋体" w:cs="Times New Roman"/>
                <w:bCs w:val="0"/>
                <w:kern w:val="0"/>
                <w:szCs w:val="24"/>
                <w:lang w:val="en-US" w:eastAsia="zh-CN" w:bidi="ar"/>
              </w:rPr>
              <w:t>37.1,</w:t>
            </w:r>
            <w:r>
              <w:rPr>
                <w:rFonts w:hint="eastAsia" w:eastAsia="宋体" w:cs="Times New Roman"/>
                <w:bCs w:val="0"/>
                <w:kern w:val="0"/>
                <w:szCs w:val="24"/>
                <w:lang w:bidi="ar"/>
              </w:rPr>
              <w:t xml:space="preserve"> </w:t>
            </w:r>
            <w:r>
              <w:rPr>
                <w:rFonts w:hint="eastAsia" w:eastAsia="宋体" w:cs="Times New Roman"/>
                <w:bCs w:val="0"/>
                <w:kern w:val="0"/>
                <w:szCs w:val="24"/>
                <w:lang w:val="en-US" w:eastAsia="zh-CN" w:bidi="ar"/>
              </w:rPr>
              <w:t>39.8</w:t>
            </w:r>
            <w:r>
              <w:rPr>
                <w:rFonts w:eastAsia="宋体" w:cs="Times New Roman"/>
                <w:bCs w:val="0"/>
                <w:kern w:val="0"/>
                <w:szCs w:val="24"/>
                <w:lang w:bidi="ar"/>
              </w:rPr>
              <w:t>)</w:t>
            </w:r>
            <w:r>
              <w:rPr>
                <w:rFonts w:hint="eastAsia" w:eastAsia="宋体" w:cs="Times New Roman"/>
                <w:bCs w:val="0"/>
                <w:kern w:val="0"/>
                <w:szCs w:val="24"/>
                <w:lang w:bidi="ar"/>
              </w:rPr>
              <w:t>*</w:t>
            </w:r>
            <w:r>
              <w:rPr>
                <w:rFonts w:hint="eastAsia" w:cs="Times New Roman"/>
                <w:bCs w:val="0"/>
              </w:rPr>
              <w:t>**</w:t>
            </w:r>
          </w:p>
        </w:tc>
        <w:tc>
          <w:tcPr>
            <w:tcW w:w="563" w:type="pct"/>
            <w:vMerge w:val="restart"/>
            <w:tcBorders>
              <w:top w:val="single" w:color="auto" w:sz="8" w:space="0"/>
              <w:tl2br w:val="nil"/>
              <w:tr2bl w:val="nil"/>
            </w:tcBorders>
            <w:vAlign w:val="center"/>
          </w:tcPr>
          <w:p w14:paraId="4D56BADB">
            <w:pPr>
              <w:widowControl/>
              <w:spacing w:line="360" w:lineRule="auto"/>
              <w:jc w:val="center"/>
              <w:rPr>
                <w:rFonts w:hint="default" w:cs="Times New Roman" w:eastAsiaTheme="minorEastAsia"/>
                <w:bCs w:val="0"/>
                <w:szCs w:val="24"/>
                <w:lang w:val="en-US" w:eastAsia="zh-CN"/>
              </w:rPr>
            </w:pPr>
            <w:r>
              <w:rPr>
                <w:rFonts w:hint="eastAsia" w:cs="Times New Roman"/>
                <w:bCs w:val="0"/>
                <w:szCs w:val="24"/>
              </w:rPr>
              <w:t>0.0</w:t>
            </w:r>
            <w:r>
              <w:rPr>
                <w:rFonts w:hint="eastAsia" w:cs="Times New Roman"/>
                <w:bCs w:val="0"/>
                <w:szCs w:val="24"/>
                <w:lang w:val="en-US" w:eastAsia="zh-CN"/>
              </w:rPr>
              <w:t>44</w:t>
            </w:r>
          </w:p>
        </w:tc>
        <w:tc>
          <w:tcPr>
            <w:tcW w:w="489" w:type="pct"/>
            <w:tcBorders>
              <w:top w:val="single" w:color="auto" w:sz="8" w:space="0"/>
              <w:tl2br w:val="nil"/>
              <w:tr2bl w:val="nil"/>
            </w:tcBorders>
            <w:vAlign w:val="center"/>
          </w:tcPr>
          <w:p w14:paraId="039465E4">
            <w:pPr>
              <w:widowControl/>
              <w:spacing w:line="360" w:lineRule="auto"/>
              <w:jc w:val="center"/>
              <w:rPr>
                <w:rFonts w:hint="default" w:eastAsia="宋体" w:cs="Times New Roman"/>
                <w:bCs w:val="0"/>
                <w:kern w:val="0"/>
                <w:szCs w:val="24"/>
                <w:lang w:val="en-US" w:eastAsia="zh-CN" w:bidi="ar"/>
              </w:rPr>
            </w:pPr>
            <w:r>
              <w:rPr>
                <w:rFonts w:hint="eastAsia" w:eastAsia="宋体" w:cs="Times New Roman"/>
                <w:bCs w:val="0"/>
                <w:kern w:val="0"/>
                <w:szCs w:val="24"/>
                <w:lang w:val="en-US" w:eastAsia="zh-CN" w:bidi="ar"/>
              </w:rPr>
              <w:t>42.45</w:t>
            </w:r>
            <w:r>
              <w:rPr>
                <w:rFonts w:eastAsia="宋体" w:cs="Times New Roman"/>
                <w:bCs w:val="0"/>
                <w:kern w:val="0"/>
                <w:szCs w:val="24"/>
                <w:lang w:bidi="ar"/>
              </w:rPr>
              <w:t>±</w:t>
            </w:r>
            <w:r>
              <w:rPr>
                <w:rFonts w:hint="eastAsia" w:eastAsia="宋体" w:cs="Times New Roman"/>
                <w:bCs w:val="0"/>
                <w:kern w:val="0"/>
                <w:szCs w:val="24"/>
                <w:lang w:bidi="ar"/>
              </w:rPr>
              <w:t xml:space="preserve"> </w:t>
            </w:r>
            <w:r>
              <w:rPr>
                <w:rFonts w:hint="eastAsia" w:eastAsia="宋体" w:cs="Times New Roman"/>
                <w:bCs w:val="0"/>
                <w:kern w:val="0"/>
                <w:szCs w:val="24"/>
                <w:lang w:val="en-US" w:eastAsia="zh-CN" w:bidi="ar"/>
              </w:rPr>
              <w:t>23.15</w:t>
            </w:r>
          </w:p>
        </w:tc>
      </w:tr>
      <w:tr w14:paraId="358173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0" w:type="pct"/>
            <w:vMerge w:val="continue"/>
            <w:tcBorders>
              <w:top w:val="single" w:color="auto" w:sz="12" w:space="0"/>
              <w:bottom w:val="single" w:color="auto" w:sz="12" w:space="0"/>
              <w:tl2br w:val="nil"/>
              <w:tr2bl w:val="nil"/>
            </w:tcBorders>
            <w:vAlign w:val="center"/>
          </w:tcPr>
          <w:p w14:paraId="3915EBC1">
            <w:pPr>
              <w:widowControl/>
              <w:spacing w:line="360" w:lineRule="auto"/>
              <w:jc w:val="center"/>
              <w:rPr>
                <w:rFonts w:cs="Times New Roman"/>
                <w:bCs w:val="0"/>
                <w:szCs w:val="24"/>
              </w:rPr>
            </w:pPr>
          </w:p>
        </w:tc>
        <w:tc>
          <w:tcPr>
            <w:tcW w:w="874" w:type="pct"/>
            <w:tcBorders>
              <w:bottom w:val="single" w:color="auto" w:sz="12" w:space="0"/>
            </w:tcBorders>
            <w:vAlign w:val="center"/>
          </w:tcPr>
          <w:p w14:paraId="5F4121E1">
            <w:pPr>
              <w:widowControl/>
              <w:spacing w:line="360" w:lineRule="auto"/>
              <w:jc w:val="center"/>
              <w:rPr>
                <w:rFonts w:cs="Times New Roman"/>
                <w:bCs w:val="0"/>
                <w:szCs w:val="24"/>
              </w:rPr>
            </w:pPr>
            <w:r>
              <w:rPr>
                <w:rFonts w:hint="eastAsia" w:eastAsia="宋体" w:cs="Times New Roman"/>
                <w:bCs w:val="0"/>
                <w:kern w:val="0"/>
                <w:szCs w:val="24"/>
                <w:lang w:bidi="ar"/>
              </w:rPr>
              <w:t>Recurrence group</w:t>
            </w:r>
            <w:r>
              <w:rPr>
                <w:rFonts w:eastAsia="宋体" w:cs="Times New Roman"/>
                <w:bCs w:val="0"/>
                <w:kern w:val="0"/>
                <w:szCs w:val="24"/>
                <w:lang w:bidi="ar"/>
              </w:rPr>
              <w:t xml:space="preserve"> (n=62)</w:t>
            </w:r>
          </w:p>
        </w:tc>
        <w:tc>
          <w:tcPr>
            <w:tcW w:w="1104" w:type="pct"/>
            <w:tcBorders>
              <w:bottom w:val="single" w:color="auto" w:sz="12" w:space="0"/>
            </w:tcBorders>
            <w:vAlign w:val="center"/>
          </w:tcPr>
          <w:p w14:paraId="34C759A9">
            <w:pPr>
              <w:widowControl/>
              <w:spacing w:line="360" w:lineRule="auto"/>
              <w:jc w:val="center"/>
              <w:rPr>
                <w:rFonts w:cs="Times New Roman"/>
                <w:bCs w:val="0"/>
                <w:szCs w:val="24"/>
              </w:rPr>
            </w:pPr>
            <w:r>
              <w:rPr>
                <w:rFonts w:eastAsia="宋体" w:cs="Times New Roman"/>
                <w:bCs w:val="0"/>
                <w:kern w:val="0"/>
                <w:szCs w:val="24"/>
                <w:lang w:bidi="ar"/>
              </w:rPr>
              <w:t>118.2 (99.9</w:t>
            </w:r>
            <w:r>
              <w:rPr>
                <w:rFonts w:hint="eastAsia" w:eastAsia="宋体" w:cs="Times New Roman"/>
                <w:bCs w:val="0"/>
                <w:kern w:val="0"/>
                <w:szCs w:val="24"/>
                <w:lang w:bidi="ar"/>
              </w:rPr>
              <w:t xml:space="preserve">, </w:t>
            </w:r>
            <w:r>
              <w:rPr>
                <w:rFonts w:eastAsia="宋体" w:cs="Times New Roman"/>
                <w:bCs w:val="0"/>
                <w:kern w:val="0"/>
                <w:szCs w:val="24"/>
                <w:lang w:bidi="ar"/>
              </w:rPr>
              <w:t>135.5)</w:t>
            </w:r>
          </w:p>
        </w:tc>
        <w:tc>
          <w:tcPr>
            <w:tcW w:w="1168" w:type="pct"/>
            <w:tcBorders>
              <w:bottom w:val="single" w:color="auto" w:sz="12" w:space="0"/>
            </w:tcBorders>
            <w:vAlign w:val="center"/>
          </w:tcPr>
          <w:p w14:paraId="7C773D39">
            <w:pPr>
              <w:widowControl/>
              <w:spacing w:line="360" w:lineRule="auto"/>
              <w:jc w:val="center"/>
              <w:rPr>
                <w:rFonts w:hint="default" w:cs="Times New Roman" w:eastAsiaTheme="minorEastAsia"/>
                <w:bCs w:val="0"/>
                <w:szCs w:val="24"/>
                <w:lang w:val="en-US" w:eastAsia="zh-CN"/>
              </w:rPr>
            </w:pPr>
            <w:r>
              <w:rPr>
                <w:rFonts w:hint="eastAsia" w:eastAsia="宋体" w:cs="Times New Roman"/>
                <w:bCs w:val="0"/>
                <w:kern w:val="0"/>
                <w:szCs w:val="24"/>
                <w:lang w:val="en-US" w:eastAsia="zh-CN" w:bidi="ar"/>
              </w:rPr>
              <w:t>82.5</w:t>
            </w:r>
            <w:r>
              <w:rPr>
                <w:rFonts w:eastAsia="宋体" w:cs="Times New Roman"/>
                <w:bCs w:val="0"/>
                <w:kern w:val="0"/>
                <w:szCs w:val="24"/>
                <w:lang w:bidi="ar"/>
              </w:rPr>
              <w:t xml:space="preserve"> (</w:t>
            </w:r>
            <w:r>
              <w:rPr>
                <w:rFonts w:hint="eastAsia" w:eastAsia="宋体" w:cs="Times New Roman"/>
                <w:bCs w:val="0"/>
                <w:kern w:val="0"/>
                <w:szCs w:val="24"/>
                <w:lang w:val="en-US" w:eastAsia="zh-CN" w:bidi="ar"/>
              </w:rPr>
              <w:t>79.7</w:t>
            </w:r>
            <w:r>
              <w:rPr>
                <w:rFonts w:hint="eastAsia" w:eastAsia="宋体" w:cs="Times New Roman"/>
                <w:bCs w:val="0"/>
                <w:kern w:val="0"/>
                <w:szCs w:val="24"/>
                <w:lang w:bidi="ar"/>
              </w:rPr>
              <w:t xml:space="preserve">, </w:t>
            </w:r>
            <w:r>
              <w:rPr>
                <w:rFonts w:hint="eastAsia" w:eastAsia="宋体" w:cs="Times New Roman"/>
                <w:bCs w:val="0"/>
                <w:kern w:val="0"/>
                <w:szCs w:val="24"/>
                <w:lang w:val="en-US" w:eastAsia="zh-CN" w:bidi="ar"/>
              </w:rPr>
              <w:t>85.6</w:t>
            </w:r>
            <w:r>
              <w:rPr>
                <w:rFonts w:eastAsia="宋体" w:cs="Times New Roman"/>
                <w:bCs w:val="0"/>
                <w:kern w:val="0"/>
                <w:szCs w:val="24"/>
                <w:lang w:bidi="ar"/>
              </w:rPr>
              <w:t>)</w:t>
            </w:r>
            <w:r>
              <w:rPr>
                <w:rFonts w:hint="eastAsia" w:eastAsia="宋体" w:cs="Times New Roman"/>
                <w:bCs w:val="0"/>
                <w:kern w:val="0"/>
                <w:szCs w:val="24"/>
                <w:lang w:bidi="ar"/>
              </w:rPr>
              <w:t>*</w:t>
            </w:r>
            <w:r>
              <w:rPr>
                <w:rFonts w:hint="eastAsia" w:cs="Times New Roman"/>
                <w:bCs w:val="0"/>
              </w:rPr>
              <w:t>**</w:t>
            </w:r>
          </w:p>
        </w:tc>
        <w:tc>
          <w:tcPr>
            <w:tcW w:w="563" w:type="pct"/>
            <w:vMerge w:val="continue"/>
            <w:tcBorders>
              <w:bottom w:val="single" w:color="auto" w:sz="12" w:space="0"/>
            </w:tcBorders>
            <w:vAlign w:val="center"/>
          </w:tcPr>
          <w:p w14:paraId="5883F808">
            <w:pPr>
              <w:widowControl/>
              <w:spacing w:line="360" w:lineRule="auto"/>
              <w:jc w:val="center"/>
              <w:rPr>
                <w:rFonts w:cs="Times New Roman"/>
                <w:bCs w:val="0"/>
                <w:szCs w:val="24"/>
              </w:rPr>
            </w:pPr>
          </w:p>
        </w:tc>
        <w:tc>
          <w:tcPr>
            <w:tcW w:w="489" w:type="pct"/>
            <w:tcBorders>
              <w:bottom w:val="single" w:color="auto" w:sz="12" w:space="0"/>
            </w:tcBorders>
            <w:vAlign w:val="center"/>
          </w:tcPr>
          <w:p w14:paraId="41BD9ECA">
            <w:pPr>
              <w:widowControl/>
              <w:spacing w:line="360" w:lineRule="auto"/>
              <w:jc w:val="center"/>
              <w:rPr>
                <w:rFonts w:hint="default" w:eastAsia="宋体" w:cs="Times New Roman"/>
                <w:bCs w:val="0"/>
                <w:kern w:val="0"/>
                <w:szCs w:val="24"/>
                <w:lang w:val="en-US" w:bidi="ar"/>
              </w:rPr>
            </w:pPr>
            <w:r>
              <w:rPr>
                <w:rFonts w:hint="eastAsia" w:eastAsia="宋体" w:cs="Times New Roman"/>
                <w:bCs w:val="0"/>
                <w:kern w:val="0"/>
                <w:szCs w:val="24"/>
                <w:lang w:val="en-US" w:eastAsia="zh-CN" w:bidi="ar"/>
              </w:rPr>
              <w:t>35.28</w:t>
            </w:r>
            <w:r>
              <w:rPr>
                <w:rFonts w:eastAsia="宋体" w:cs="Times New Roman"/>
                <w:bCs w:val="0"/>
                <w:kern w:val="0"/>
                <w:szCs w:val="24"/>
                <w:lang w:bidi="ar"/>
              </w:rPr>
              <w:t>±</w:t>
            </w:r>
            <w:r>
              <w:rPr>
                <w:rFonts w:hint="eastAsia" w:eastAsia="宋体" w:cs="Times New Roman"/>
                <w:bCs w:val="0"/>
                <w:kern w:val="0"/>
                <w:szCs w:val="24"/>
                <w:lang w:bidi="ar"/>
              </w:rPr>
              <w:t xml:space="preserve"> </w:t>
            </w:r>
            <w:r>
              <w:rPr>
                <w:rFonts w:hint="eastAsia" w:eastAsia="宋体" w:cs="Times New Roman"/>
                <w:bCs w:val="0"/>
                <w:kern w:val="0"/>
                <w:szCs w:val="24"/>
                <w:lang w:val="en-US" w:eastAsia="zh-CN" w:bidi="ar"/>
              </w:rPr>
              <w:t>21.07</w:t>
            </w:r>
          </w:p>
        </w:tc>
      </w:tr>
    </w:tbl>
    <w:p w14:paraId="01F460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</w:p>
    <w:p w14:paraId="4C2D48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926D94"/>
    <w:rsid w:val="0AAF7417"/>
    <w:rsid w:val="14954197"/>
    <w:rsid w:val="36926D94"/>
    <w:rsid w:val="78417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Theme="minorEastAsia" w:cstheme="minorBidi"/>
      <w:bCs/>
      <w:kern w:val="2"/>
      <w:sz w:val="24"/>
      <w:szCs w:val="36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47</Words>
  <Characters>276</Characters>
  <Lines>0</Lines>
  <Paragraphs>0</Paragraphs>
  <TotalTime>55</TotalTime>
  <ScaleCrop>false</ScaleCrop>
  <LinksUpToDate>false</LinksUpToDate>
  <CharactersWithSpaces>307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2026-02-27T02:24:00Z</dcterms:created>
  <dc:creator>WPS_1753773624</dc:creator>
  <cp:lastModifiedBy>WPS_1753773624</cp:lastModifiedBy>
  <dcterms:modified xsi:type="dcterms:W3CDTF">2026-02-28T06:08:08Z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44DB95052AA943D184E7EA381DE812C1_11</vt:lpwstr>
  </property>
  <property fmtid="{D5CDD505-2E9C-101B-9397-08002B2CF9AE}" pid="4" name="KSOTemplateDocerSaveRecord">
    <vt:lpwstr>eyJoZGlkIjoiNzRjZWE1MWE1MWE0ZWYyNTQ3NWFhNzI5OTQxYWMwOTMiLCJ1c2VySWQiOiIxNzI0ODAzNzg4In0=</vt:lpwstr>
  </property>
</Properties>
</file>