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24554" w:rsidRPr="00B24554" w:rsidRDefault="00B24554" w:rsidP="00B24554">
      <w:pPr>
        <w:rPr>
          <w:rFonts w:ascii="Times New Roman" w:hAnsi="Times New Roman" w:cs="Times New Roman"/>
          <w:b/>
          <w:bCs/>
          <w:lang w:val="en-US"/>
        </w:rPr>
      </w:pPr>
      <w:r w:rsidRPr="00D742C1">
        <w:rPr>
          <w:rFonts w:ascii="Times New Roman" w:hAnsi="Times New Roman" w:cs="Times New Roman"/>
          <w:b/>
          <w:bCs/>
          <w:lang w:val="en-US"/>
        </w:rPr>
        <w:t>Table 1. Enhanced recovery protocols</w:t>
      </w:r>
      <w:r>
        <w:rPr>
          <w:rFonts w:ascii="Times New Roman" w:hAnsi="Times New Roman" w:cs="Times New Roman"/>
          <w:b/>
          <w:bCs/>
          <w:lang w:val="en-US"/>
        </w:rPr>
        <w:t>.</w:t>
      </w:r>
    </w:p>
    <w:tbl>
      <w:tblPr>
        <w:tblStyle w:val="TabloKlavuzu"/>
        <w:tblW w:w="9776" w:type="dxa"/>
        <w:tblLook w:val="04A0" w:firstRow="1" w:lastRow="0" w:firstColumn="1" w:lastColumn="0" w:noHBand="0" w:noVBand="1"/>
      </w:tblPr>
      <w:tblGrid>
        <w:gridCol w:w="4531"/>
        <w:gridCol w:w="5245"/>
      </w:tblGrid>
      <w:tr w:rsidR="00B24554" w:rsidRPr="00D742C1" w:rsidTr="002F77E0">
        <w:trPr>
          <w:trHeight w:val="119"/>
        </w:trPr>
        <w:tc>
          <w:tcPr>
            <w:tcW w:w="4531" w:type="dxa"/>
          </w:tcPr>
          <w:p w:rsidR="00B24554" w:rsidRPr="00D742C1" w:rsidRDefault="00B24554" w:rsidP="00700B60">
            <w:pPr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</w:pPr>
            <w:r w:rsidRPr="00D742C1"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>Measure</w:t>
            </w:r>
          </w:p>
        </w:tc>
        <w:tc>
          <w:tcPr>
            <w:tcW w:w="5245" w:type="dxa"/>
          </w:tcPr>
          <w:p w:rsidR="00B24554" w:rsidRPr="00D742C1" w:rsidRDefault="00B24554" w:rsidP="00700B60">
            <w:pPr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</w:pPr>
            <w:r w:rsidRPr="00D742C1"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>Details</w:t>
            </w:r>
          </w:p>
        </w:tc>
      </w:tr>
      <w:tr w:rsidR="00B24554" w:rsidRPr="00D742C1" w:rsidTr="00700B60">
        <w:tc>
          <w:tcPr>
            <w:tcW w:w="4531" w:type="dxa"/>
          </w:tcPr>
          <w:p w:rsidR="00B24554" w:rsidRPr="00D742C1" w:rsidRDefault="00B24554" w:rsidP="00700B60">
            <w:pPr>
              <w:jc w:val="both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742C1">
              <w:rPr>
                <w:rFonts w:ascii="Times New Roman" w:hAnsi="Times New Roman"/>
                <w:sz w:val="16"/>
                <w:szCs w:val="16"/>
                <w:lang w:val="en-US"/>
              </w:rPr>
              <w:t>Patient education</w:t>
            </w:r>
          </w:p>
          <w:p w:rsidR="00B24554" w:rsidRPr="00D742C1" w:rsidRDefault="00B24554" w:rsidP="00700B60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5245" w:type="dxa"/>
          </w:tcPr>
          <w:p w:rsidR="00B24554" w:rsidRPr="00D742C1" w:rsidRDefault="00B24554" w:rsidP="00700B60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742C1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Patient counseled regarding surgery, postoperative pain, and other complications, if applicable, to reduce anxiety related to surgery. </w:t>
            </w:r>
          </w:p>
          <w:p w:rsidR="00B24554" w:rsidRPr="00D742C1" w:rsidRDefault="00B24554" w:rsidP="00700B60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742C1">
              <w:rPr>
                <w:rFonts w:ascii="Times New Roman" w:hAnsi="Times New Roman"/>
                <w:sz w:val="16"/>
                <w:szCs w:val="16"/>
                <w:lang w:val="en-US"/>
              </w:rPr>
              <w:t>Advised on the cessation of smoking and alcohol consumption.</w:t>
            </w:r>
          </w:p>
          <w:p w:rsidR="00B24554" w:rsidRPr="00D742C1" w:rsidRDefault="00B24554" w:rsidP="00700B60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742C1">
              <w:rPr>
                <w:rFonts w:ascii="Times New Roman" w:hAnsi="Times New Roman"/>
                <w:sz w:val="16"/>
                <w:szCs w:val="16"/>
                <w:lang w:val="en-US"/>
              </w:rPr>
              <w:t>Anemia correction (if necessary)</w:t>
            </w:r>
          </w:p>
          <w:p w:rsidR="00B24554" w:rsidRPr="00D742C1" w:rsidRDefault="00B24554" w:rsidP="00700B60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742C1">
              <w:rPr>
                <w:rFonts w:ascii="Times New Roman" w:hAnsi="Times New Roman"/>
                <w:sz w:val="16"/>
                <w:szCs w:val="16"/>
                <w:lang w:val="en-US"/>
              </w:rPr>
              <w:t>Correction of hypoalbuminemia</w:t>
            </w:r>
          </w:p>
          <w:p w:rsidR="00B24554" w:rsidRPr="00D742C1" w:rsidRDefault="00B24554" w:rsidP="00700B60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742C1">
              <w:rPr>
                <w:rFonts w:ascii="Times New Roman" w:hAnsi="Times New Roman"/>
                <w:sz w:val="16"/>
                <w:szCs w:val="16"/>
                <w:lang w:val="en-US"/>
              </w:rPr>
              <w:t>Information regarding the ERAS program</w:t>
            </w:r>
          </w:p>
          <w:p w:rsidR="00B24554" w:rsidRPr="00D742C1" w:rsidRDefault="00B24554" w:rsidP="00700B60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742C1">
              <w:rPr>
                <w:rFonts w:ascii="Times New Roman" w:hAnsi="Times New Roman"/>
                <w:sz w:val="16"/>
                <w:szCs w:val="16"/>
                <w:lang w:val="en-US"/>
              </w:rPr>
              <w:t>Informed consent (written and oral)</w:t>
            </w:r>
          </w:p>
          <w:p w:rsidR="00B24554" w:rsidRPr="00D742C1" w:rsidRDefault="00B24554" w:rsidP="00700B60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742C1">
              <w:rPr>
                <w:rFonts w:ascii="Times New Roman" w:hAnsi="Times New Roman"/>
                <w:sz w:val="16"/>
                <w:szCs w:val="16"/>
                <w:lang w:val="en-US"/>
              </w:rPr>
              <w:t>Preoperative low-fiber diet (starting 3 days before surgery)</w:t>
            </w:r>
          </w:p>
        </w:tc>
      </w:tr>
      <w:tr w:rsidR="00B24554" w:rsidRPr="00D742C1" w:rsidTr="002F77E0">
        <w:trPr>
          <w:trHeight w:val="174"/>
        </w:trPr>
        <w:tc>
          <w:tcPr>
            <w:tcW w:w="4531" w:type="dxa"/>
          </w:tcPr>
          <w:p w:rsidR="00B24554" w:rsidRPr="00D742C1" w:rsidRDefault="00B24554" w:rsidP="00700B60">
            <w:pPr>
              <w:jc w:val="both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742C1">
              <w:rPr>
                <w:rFonts w:ascii="Times New Roman" w:hAnsi="Times New Roman"/>
                <w:sz w:val="16"/>
                <w:szCs w:val="16"/>
                <w:lang w:val="en-US"/>
              </w:rPr>
              <w:t>Bowel preparation</w:t>
            </w:r>
          </w:p>
        </w:tc>
        <w:tc>
          <w:tcPr>
            <w:tcW w:w="5245" w:type="dxa"/>
          </w:tcPr>
          <w:p w:rsidR="002F77E0" w:rsidRPr="002F77E0" w:rsidRDefault="00B24554" w:rsidP="002F77E0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742C1">
              <w:rPr>
                <w:rFonts w:ascii="Times New Roman" w:hAnsi="Times New Roman"/>
                <w:sz w:val="16"/>
                <w:szCs w:val="16"/>
                <w:lang w:val="en-US"/>
              </w:rPr>
              <w:t>No mechanical bowel preparation</w:t>
            </w:r>
          </w:p>
        </w:tc>
      </w:tr>
      <w:tr w:rsidR="00B24554" w:rsidRPr="00D742C1" w:rsidTr="00700B60">
        <w:tc>
          <w:tcPr>
            <w:tcW w:w="4531" w:type="dxa"/>
          </w:tcPr>
          <w:p w:rsidR="00B24554" w:rsidRPr="00D742C1" w:rsidRDefault="00B24554" w:rsidP="00700B60">
            <w:pPr>
              <w:jc w:val="both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742C1">
              <w:rPr>
                <w:rFonts w:ascii="Times New Roman" w:hAnsi="Times New Roman"/>
                <w:sz w:val="16"/>
                <w:szCs w:val="16"/>
                <w:lang w:val="en-US"/>
              </w:rPr>
              <w:t>Preoperative diet</w:t>
            </w:r>
          </w:p>
          <w:p w:rsidR="00B24554" w:rsidRPr="00D742C1" w:rsidRDefault="00B24554" w:rsidP="00700B60">
            <w:pPr>
              <w:jc w:val="both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5245" w:type="dxa"/>
          </w:tcPr>
          <w:p w:rsidR="00B24554" w:rsidRPr="00D742C1" w:rsidRDefault="00B24554" w:rsidP="00700B60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742C1">
              <w:rPr>
                <w:rFonts w:ascii="Times New Roman" w:hAnsi="Times New Roman"/>
                <w:sz w:val="16"/>
                <w:szCs w:val="16"/>
                <w:lang w:val="en-US"/>
              </w:rPr>
              <w:t>Normal meal allowed up to 6 h before the procedure</w:t>
            </w:r>
          </w:p>
          <w:p w:rsidR="00B24554" w:rsidRPr="00D742C1" w:rsidRDefault="00B24554" w:rsidP="00700B60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742C1">
              <w:rPr>
                <w:rFonts w:ascii="Times New Roman" w:hAnsi="Times New Roman"/>
                <w:sz w:val="16"/>
                <w:szCs w:val="16"/>
                <w:lang w:val="en-US"/>
              </w:rPr>
              <w:t>Clear fluids (water and apple juice) up to 2 h before surgery.</w:t>
            </w:r>
          </w:p>
          <w:p w:rsidR="00B24554" w:rsidRPr="00303CF9" w:rsidRDefault="00B24554" w:rsidP="00700B60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742C1">
              <w:rPr>
                <w:rFonts w:ascii="Times New Roman" w:hAnsi="Times New Roman"/>
                <w:sz w:val="16"/>
                <w:szCs w:val="16"/>
                <w:lang w:val="en-US"/>
              </w:rPr>
              <w:t>Carbohydrate-rich fluid (5 mL/kg) was administered to those without diabetes 2 h before surgery.</w:t>
            </w:r>
          </w:p>
        </w:tc>
      </w:tr>
      <w:tr w:rsidR="00B24554" w:rsidRPr="00D742C1" w:rsidTr="00700B60">
        <w:tc>
          <w:tcPr>
            <w:tcW w:w="4531" w:type="dxa"/>
          </w:tcPr>
          <w:p w:rsidR="00B24554" w:rsidRPr="00D742C1" w:rsidRDefault="00B24554" w:rsidP="00700B60">
            <w:pPr>
              <w:jc w:val="both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742C1">
              <w:rPr>
                <w:rFonts w:ascii="Times New Roman" w:hAnsi="Times New Roman"/>
                <w:sz w:val="16"/>
                <w:szCs w:val="16"/>
                <w:lang w:val="en-US"/>
              </w:rPr>
              <w:t>Preoperative medications</w:t>
            </w:r>
          </w:p>
        </w:tc>
        <w:tc>
          <w:tcPr>
            <w:tcW w:w="5245" w:type="dxa"/>
          </w:tcPr>
          <w:p w:rsidR="00B24554" w:rsidRPr="00D742C1" w:rsidRDefault="00B24554" w:rsidP="00700B60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742C1">
              <w:rPr>
                <w:rFonts w:ascii="Times New Roman" w:hAnsi="Times New Roman"/>
                <w:sz w:val="16"/>
                <w:szCs w:val="16"/>
                <w:lang w:val="en-US"/>
              </w:rPr>
              <w:t>Preemptive analgesia with paracetamol (650 mg, per oral, once, 60–75 min prior to surgery)</w:t>
            </w:r>
          </w:p>
          <w:p w:rsidR="00B24554" w:rsidRPr="00D742C1" w:rsidRDefault="00B24554" w:rsidP="00700B60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742C1">
              <w:rPr>
                <w:rFonts w:ascii="Times New Roman" w:hAnsi="Times New Roman"/>
                <w:sz w:val="16"/>
                <w:szCs w:val="16"/>
                <w:lang w:val="en-US"/>
              </w:rPr>
              <w:t>Low-molecular-weight heparin 12 h before surgery</w:t>
            </w:r>
          </w:p>
        </w:tc>
      </w:tr>
      <w:tr w:rsidR="00B24554" w:rsidRPr="00D742C1" w:rsidTr="00700B60">
        <w:tc>
          <w:tcPr>
            <w:tcW w:w="4531" w:type="dxa"/>
          </w:tcPr>
          <w:p w:rsidR="00B24554" w:rsidRPr="00D742C1" w:rsidRDefault="00B24554" w:rsidP="00700B60">
            <w:pPr>
              <w:jc w:val="both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742C1">
              <w:rPr>
                <w:rFonts w:ascii="Times New Roman" w:hAnsi="Times New Roman"/>
                <w:sz w:val="16"/>
                <w:szCs w:val="16"/>
                <w:lang w:val="en-US"/>
              </w:rPr>
              <w:t>Antibiotic use</w:t>
            </w:r>
          </w:p>
        </w:tc>
        <w:tc>
          <w:tcPr>
            <w:tcW w:w="5245" w:type="dxa"/>
          </w:tcPr>
          <w:p w:rsidR="00B24554" w:rsidRPr="00A430BE" w:rsidRDefault="00B24554" w:rsidP="00700B60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430BE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Injection 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of </w:t>
            </w:r>
            <w:r w:rsidRPr="00A430BE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ceftriaxone 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(</w:t>
            </w:r>
            <w:r w:rsidRPr="00A430BE">
              <w:rPr>
                <w:rFonts w:ascii="Times New Roman" w:hAnsi="Times New Roman"/>
                <w:sz w:val="16"/>
                <w:szCs w:val="16"/>
                <w:lang w:val="en-US"/>
              </w:rPr>
              <w:t>1 gram intravenously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)</w:t>
            </w:r>
            <w:r w:rsidRPr="00A430BE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30 min before incision. </w:t>
            </w:r>
          </w:p>
          <w:p w:rsidR="00B24554" w:rsidRPr="00D742C1" w:rsidRDefault="00B24554" w:rsidP="00700B60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430BE">
              <w:rPr>
                <w:rFonts w:ascii="Times New Roman" w:hAnsi="Times New Roman"/>
                <w:sz w:val="16"/>
                <w:szCs w:val="16"/>
                <w:lang w:val="en-US"/>
              </w:rPr>
              <w:t>Injection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of</w:t>
            </w:r>
            <w:r w:rsidRPr="00A430BE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metronidazole 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(</w:t>
            </w:r>
            <w:r w:rsidRPr="00D742C1">
              <w:rPr>
                <w:rFonts w:ascii="Times New Roman" w:hAnsi="Times New Roman"/>
                <w:sz w:val="16"/>
                <w:szCs w:val="16"/>
                <w:lang w:val="en-US"/>
              </w:rPr>
              <w:t>500 mg intravenously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)</w:t>
            </w:r>
            <w:r w:rsidRPr="00D742C1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60 min before skin incision. </w:t>
            </w:r>
          </w:p>
          <w:p w:rsidR="00B24554" w:rsidRPr="00D742C1" w:rsidRDefault="00B24554" w:rsidP="00700B60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742C1">
              <w:rPr>
                <w:rFonts w:ascii="Times New Roman" w:hAnsi="Times New Roman"/>
                <w:sz w:val="16"/>
                <w:szCs w:val="16"/>
                <w:lang w:val="en-US"/>
              </w:rPr>
              <w:t>Additional doses if surgery lasts for &gt; 3 h and/or blood loss &gt; 1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,</w:t>
            </w:r>
            <w:r w:rsidRPr="00D742C1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500 </w:t>
            </w:r>
            <w:proofErr w:type="spellStart"/>
            <w:r w:rsidRPr="00D742C1">
              <w:rPr>
                <w:rFonts w:ascii="Times New Roman" w:hAnsi="Times New Roman"/>
                <w:sz w:val="16"/>
                <w:szCs w:val="16"/>
                <w:lang w:val="en-US"/>
              </w:rPr>
              <w:t>mL.</w:t>
            </w:r>
            <w:proofErr w:type="spellEnd"/>
          </w:p>
          <w:p w:rsidR="00B24554" w:rsidRPr="00D742C1" w:rsidRDefault="00B24554" w:rsidP="00700B60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742C1">
              <w:rPr>
                <w:rFonts w:ascii="Times New Roman" w:hAnsi="Times New Roman"/>
                <w:sz w:val="16"/>
                <w:szCs w:val="16"/>
                <w:lang w:val="en-US"/>
              </w:rPr>
              <w:t>Chlorhexidine alcohol for skin cleansing</w:t>
            </w:r>
          </w:p>
        </w:tc>
      </w:tr>
      <w:tr w:rsidR="00B24554" w:rsidRPr="00D742C1" w:rsidTr="00700B60">
        <w:tc>
          <w:tcPr>
            <w:tcW w:w="4531" w:type="dxa"/>
          </w:tcPr>
          <w:p w:rsidR="00B24554" w:rsidRPr="00D742C1" w:rsidRDefault="00B24554" w:rsidP="00700B60">
            <w:pPr>
              <w:jc w:val="both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742C1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Nasogastric tube </w:t>
            </w:r>
          </w:p>
        </w:tc>
        <w:tc>
          <w:tcPr>
            <w:tcW w:w="5245" w:type="dxa"/>
          </w:tcPr>
          <w:p w:rsidR="00B24554" w:rsidRPr="00D742C1" w:rsidRDefault="00B24554" w:rsidP="00700B60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742C1">
              <w:rPr>
                <w:rFonts w:ascii="Times New Roman" w:hAnsi="Times New Roman"/>
                <w:sz w:val="16"/>
                <w:szCs w:val="16"/>
                <w:lang w:val="en-US"/>
              </w:rPr>
              <w:t>No nasogastric tube before surgery</w:t>
            </w:r>
          </w:p>
        </w:tc>
      </w:tr>
      <w:tr w:rsidR="00B24554" w:rsidRPr="00D742C1" w:rsidTr="00700B60">
        <w:tc>
          <w:tcPr>
            <w:tcW w:w="4531" w:type="dxa"/>
          </w:tcPr>
          <w:p w:rsidR="00B24554" w:rsidRPr="00D742C1" w:rsidRDefault="00B24554" w:rsidP="00700B60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742C1">
              <w:rPr>
                <w:rFonts w:ascii="Times New Roman" w:hAnsi="Times New Roman"/>
                <w:sz w:val="16"/>
                <w:szCs w:val="16"/>
                <w:lang w:val="en-US"/>
              </w:rPr>
              <w:t>Standard anesthesia protocol</w:t>
            </w:r>
          </w:p>
          <w:p w:rsidR="00B24554" w:rsidRPr="00D742C1" w:rsidRDefault="00B24554" w:rsidP="00700B60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  <w:p w:rsidR="00B24554" w:rsidRPr="00D742C1" w:rsidRDefault="00B24554" w:rsidP="00700B60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5245" w:type="dxa"/>
          </w:tcPr>
          <w:p w:rsidR="00B24554" w:rsidRPr="00D742C1" w:rsidRDefault="00B24554" w:rsidP="00700B60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742C1">
              <w:rPr>
                <w:rFonts w:ascii="Times New Roman" w:hAnsi="Times New Roman"/>
                <w:sz w:val="16"/>
                <w:szCs w:val="16"/>
                <w:lang w:val="en-US"/>
              </w:rPr>
              <w:t>Total intravenous anesthesia: fentanyl (0.5–1 mcg/kg), followed by lidocaine (20–30 mg) and propofol (1–1.5 mg/kg).</w:t>
            </w:r>
          </w:p>
          <w:p w:rsidR="00B24554" w:rsidRPr="00D742C1" w:rsidRDefault="00B24554" w:rsidP="00700B60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742C1">
              <w:rPr>
                <w:rFonts w:ascii="Times New Roman" w:hAnsi="Times New Roman"/>
                <w:sz w:val="16"/>
                <w:szCs w:val="16"/>
                <w:lang w:val="en-US"/>
              </w:rPr>
              <w:t>Non-depolarizing neuromuscular blocking agents</w:t>
            </w:r>
          </w:p>
          <w:p w:rsidR="00B24554" w:rsidRPr="00D742C1" w:rsidRDefault="00B24554" w:rsidP="00700B60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742C1">
              <w:rPr>
                <w:rFonts w:ascii="Times New Roman" w:hAnsi="Times New Roman"/>
                <w:sz w:val="16"/>
                <w:szCs w:val="16"/>
                <w:lang w:val="en-US"/>
              </w:rPr>
              <w:t>Goal-directed perioperative fluid infusion regimen</w:t>
            </w:r>
          </w:p>
          <w:p w:rsidR="00B24554" w:rsidRPr="00D742C1" w:rsidRDefault="00B24554" w:rsidP="00700B60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742C1">
              <w:rPr>
                <w:rFonts w:ascii="Times New Roman" w:hAnsi="Times New Roman"/>
                <w:sz w:val="16"/>
                <w:szCs w:val="16"/>
                <w:lang w:val="en-US"/>
              </w:rPr>
              <w:t>Maintenance of normothermia</w:t>
            </w:r>
          </w:p>
          <w:p w:rsidR="00B24554" w:rsidRPr="00D742C1" w:rsidRDefault="00B24554" w:rsidP="00700B60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742C1">
              <w:rPr>
                <w:rFonts w:ascii="Times New Roman" w:hAnsi="Times New Roman"/>
                <w:sz w:val="16"/>
                <w:szCs w:val="16"/>
                <w:lang w:val="en-US"/>
              </w:rPr>
              <w:t>Controlling intraoperative blood glucose and blood pressure</w:t>
            </w:r>
          </w:p>
          <w:p w:rsidR="00B24554" w:rsidRPr="00D742C1" w:rsidRDefault="00B24554" w:rsidP="00700B60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742C1">
              <w:rPr>
                <w:rFonts w:ascii="Times New Roman" w:hAnsi="Times New Roman"/>
                <w:sz w:val="16"/>
                <w:szCs w:val="16"/>
                <w:lang w:val="en-US"/>
              </w:rPr>
              <w:t>Infusing blood products in time</w:t>
            </w:r>
          </w:p>
          <w:p w:rsidR="00B24554" w:rsidRDefault="00B24554" w:rsidP="00700B60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742C1">
              <w:rPr>
                <w:rFonts w:ascii="Times New Roman" w:hAnsi="Times New Roman"/>
                <w:sz w:val="16"/>
                <w:szCs w:val="16"/>
                <w:lang w:val="en-US"/>
              </w:rPr>
              <w:t>Using low-tidal volume and high-frequency ventilation</w:t>
            </w:r>
          </w:p>
          <w:p w:rsidR="00B24554" w:rsidRPr="004B0B51" w:rsidRDefault="00B24554" w:rsidP="00700B60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4B0B51">
              <w:rPr>
                <w:rFonts w:ascii="Times New Roman" w:hAnsi="Times New Roman"/>
                <w:color w:val="1F1F1F"/>
                <w:sz w:val="16"/>
                <w:szCs w:val="16"/>
              </w:rPr>
              <w:t xml:space="preserve">Alveolar </w:t>
            </w:r>
            <w:proofErr w:type="spellStart"/>
            <w:r w:rsidRPr="004B0B51">
              <w:rPr>
                <w:rFonts w:ascii="Times New Roman" w:hAnsi="Times New Roman"/>
                <w:color w:val="1F1F1F"/>
                <w:sz w:val="16"/>
                <w:szCs w:val="16"/>
              </w:rPr>
              <w:t>recruitment</w:t>
            </w:r>
            <w:proofErr w:type="spellEnd"/>
            <w:r w:rsidRPr="004B0B51">
              <w:rPr>
                <w:rFonts w:ascii="Times New Roman" w:hAnsi="Times New Roman"/>
                <w:color w:val="1F1F1F"/>
                <w:sz w:val="16"/>
                <w:szCs w:val="16"/>
              </w:rPr>
              <w:t xml:space="preserve"> </w:t>
            </w:r>
            <w:proofErr w:type="spellStart"/>
            <w:r w:rsidRPr="004B0B51">
              <w:rPr>
                <w:rFonts w:ascii="Times New Roman" w:hAnsi="Times New Roman"/>
                <w:color w:val="1F1F1F"/>
                <w:sz w:val="16"/>
                <w:szCs w:val="16"/>
              </w:rPr>
              <w:t>maneuvers</w:t>
            </w:r>
            <w:proofErr w:type="spellEnd"/>
            <w:r w:rsidRPr="004B0B51">
              <w:rPr>
                <w:rFonts w:ascii="Times New Roman" w:hAnsi="Times New Roman"/>
                <w:color w:val="1F1F1F"/>
                <w:sz w:val="16"/>
                <w:szCs w:val="16"/>
              </w:rPr>
              <w:t xml:space="preserve"> (+30 cmH</w:t>
            </w:r>
            <w:r w:rsidRPr="004B0B51">
              <w:rPr>
                <w:rFonts w:ascii="Times New Roman" w:hAnsi="Times New Roman"/>
                <w:color w:val="1F1F1F"/>
                <w:sz w:val="16"/>
                <w:szCs w:val="16"/>
                <w:vertAlign w:val="subscript"/>
              </w:rPr>
              <w:t>2</w:t>
            </w:r>
            <w:r w:rsidRPr="004B0B51">
              <w:rPr>
                <w:rFonts w:ascii="Times New Roman" w:hAnsi="Times New Roman"/>
                <w:color w:val="1F1F1F"/>
                <w:sz w:val="16"/>
                <w:szCs w:val="16"/>
              </w:rPr>
              <w:t>O </w:t>
            </w:r>
            <w:proofErr w:type="spellStart"/>
            <w:r>
              <w:fldChar w:fldCharType="begin"/>
            </w:r>
            <w:r>
              <w:instrText>HYPERLINK "https://www.sciencedirect.com/topics/medicine-and-dentistry/positive-airway-pressure" \o "Learn more about positive airway pressure from ScienceDirect's AI-generated Topic Pages"</w:instrText>
            </w:r>
            <w:r>
              <w:fldChar w:fldCharType="separate"/>
            </w:r>
            <w:r w:rsidRPr="004B0B51">
              <w:rPr>
                <w:rStyle w:val="Kpr"/>
                <w:rFonts w:ascii="Times New Roman" w:hAnsi="Times New Roman"/>
                <w:color w:val="1F1F1F"/>
                <w:sz w:val="16"/>
                <w:szCs w:val="16"/>
              </w:rPr>
              <w:t>positive</w:t>
            </w:r>
            <w:proofErr w:type="spellEnd"/>
            <w:r w:rsidRPr="004B0B51">
              <w:rPr>
                <w:rStyle w:val="Kpr"/>
                <w:rFonts w:ascii="Times New Roman" w:hAnsi="Times New Roman"/>
                <w:color w:val="1F1F1F"/>
                <w:sz w:val="16"/>
                <w:szCs w:val="16"/>
              </w:rPr>
              <w:t xml:space="preserve"> </w:t>
            </w:r>
            <w:proofErr w:type="spellStart"/>
            <w:r w:rsidRPr="004B0B51">
              <w:rPr>
                <w:rStyle w:val="Kpr"/>
                <w:rFonts w:ascii="Times New Roman" w:hAnsi="Times New Roman"/>
                <w:color w:val="1F1F1F"/>
                <w:sz w:val="16"/>
                <w:szCs w:val="16"/>
              </w:rPr>
              <w:t>airway</w:t>
            </w:r>
            <w:proofErr w:type="spellEnd"/>
            <w:r w:rsidRPr="004B0B51">
              <w:rPr>
                <w:rStyle w:val="Kpr"/>
                <w:rFonts w:ascii="Times New Roman" w:hAnsi="Times New Roman"/>
                <w:color w:val="1F1F1F"/>
                <w:sz w:val="16"/>
                <w:szCs w:val="16"/>
              </w:rPr>
              <w:t xml:space="preserve"> </w:t>
            </w:r>
            <w:proofErr w:type="spellStart"/>
            <w:r w:rsidRPr="004B0B51">
              <w:rPr>
                <w:rStyle w:val="Kpr"/>
                <w:rFonts w:ascii="Times New Roman" w:hAnsi="Times New Roman"/>
                <w:color w:val="1F1F1F"/>
                <w:sz w:val="16"/>
                <w:szCs w:val="16"/>
              </w:rPr>
              <w:t>pressure</w:t>
            </w:r>
            <w:proofErr w:type="spellEnd"/>
            <w:r>
              <w:fldChar w:fldCharType="end"/>
            </w:r>
            <w:r w:rsidRPr="004B0B51">
              <w:rPr>
                <w:rFonts w:ascii="Times New Roman" w:hAnsi="Times New Roman"/>
                <w:color w:val="1F1F1F"/>
                <w:sz w:val="16"/>
                <w:szCs w:val="16"/>
              </w:rPr>
              <w:t> </w:t>
            </w:r>
            <w:proofErr w:type="spellStart"/>
            <w:r w:rsidRPr="004B0B51">
              <w:rPr>
                <w:rFonts w:ascii="Times New Roman" w:hAnsi="Times New Roman"/>
                <w:color w:val="1F1F1F"/>
                <w:sz w:val="16"/>
                <w:szCs w:val="16"/>
              </w:rPr>
              <w:t>sustained</w:t>
            </w:r>
            <w:proofErr w:type="spellEnd"/>
            <w:r w:rsidRPr="004B0B51">
              <w:rPr>
                <w:rFonts w:ascii="Times New Roman" w:hAnsi="Times New Roman"/>
                <w:color w:val="1F1F1F"/>
                <w:sz w:val="16"/>
                <w:szCs w:val="16"/>
              </w:rPr>
              <w:t xml:space="preserve"> </w:t>
            </w:r>
            <w:proofErr w:type="spellStart"/>
            <w:r w:rsidRPr="004B0B51">
              <w:rPr>
                <w:rFonts w:ascii="Times New Roman" w:hAnsi="Times New Roman"/>
                <w:color w:val="1F1F1F"/>
                <w:sz w:val="16"/>
                <w:szCs w:val="16"/>
              </w:rPr>
              <w:t>for</w:t>
            </w:r>
            <w:proofErr w:type="spellEnd"/>
            <w:r w:rsidRPr="004B0B51">
              <w:rPr>
                <w:rFonts w:ascii="Times New Roman" w:hAnsi="Times New Roman"/>
                <w:color w:val="1F1F1F"/>
                <w:sz w:val="16"/>
                <w:szCs w:val="16"/>
              </w:rPr>
              <w:t xml:space="preserve"> 30 s) </w:t>
            </w:r>
            <w:proofErr w:type="spellStart"/>
            <w:r w:rsidRPr="004B0B51">
              <w:rPr>
                <w:rFonts w:ascii="Times New Roman" w:hAnsi="Times New Roman"/>
                <w:color w:val="1F1F1F"/>
                <w:sz w:val="16"/>
                <w:szCs w:val="16"/>
              </w:rPr>
              <w:t>were</w:t>
            </w:r>
            <w:proofErr w:type="spellEnd"/>
            <w:r w:rsidRPr="004B0B51">
              <w:rPr>
                <w:rFonts w:ascii="Times New Roman" w:hAnsi="Times New Roman"/>
                <w:color w:val="1F1F1F"/>
                <w:sz w:val="16"/>
                <w:szCs w:val="16"/>
              </w:rPr>
              <w:t xml:space="preserve"> </w:t>
            </w:r>
            <w:proofErr w:type="spellStart"/>
            <w:r w:rsidRPr="004B0B51">
              <w:rPr>
                <w:rFonts w:ascii="Times New Roman" w:hAnsi="Times New Roman"/>
                <w:color w:val="1F1F1F"/>
                <w:sz w:val="16"/>
                <w:szCs w:val="16"/>
              </w:rPr>
              <w:t>performed</w:t>
            </w:r>
            <w:proofErr w:type="spellEnd"/>
            <w:r w:rsidRPr="004B0B51">
              <w:rPr>
                <w:rFonts w:ascii="Times New Roman" w:hAnsi="Times New Roman"/>
                <w:color w:val="1F1F1F"/>
                <w:sz w:val="16"/>
                <w:szCs w:val="16"/>
              </w:rPr>
              <w:t xml:space="preserve"> </w:t>
            </w:r>
            <w:proofErr w:type="spellStart"/>
            <w:r w:rsidRPr="004B0B51">
              <w:rPr>
                <w:rFonts w:ascii="Times New Roman" w:hAnsi="Times New Roman"/>
                <w:color w:val="1F1F1F"/>
                <w:sz w:val="16"/>
                <w:szCs w:val="16"/>
              </w:rPr>
              <w:t>every</w:t>
            </w:r>
            <w:proofErr w:type="spellEnd"/>
            <w:r w:rsidRPr="004B0B51">
              <w:rPr>
                <w:rFonts w:ascii="Times New Roman" w:hAnsi="Times New Roman"/>
                <w:color w:val="1F1F1F"/>
                <w:sz w:val="16"/>
                <w:szCs w:val="16"/>
              </w:rPr>
              <w:t xml:space="preserve"> 30–60 </w:t>
            </w:r>
            <w:proofErr w:type="spellStart"/>
            <w:r w:rsidRPr="004B0B51">
              <w:rPr>
                <w:rFonts w:ascii="Times New Roman" w:hAnsi="Times New Roman"/>
                <w:color w:val="1F1F1F"/>
                <w:sz w:val="16"/>
                <w:szCs w:val="16"/>
              </w:rPr>
              <w:t>min</w:t>
            </w:r>
            <w:proofErr w:type="spellEnd"/>
            <w:r w:rsidRPr="004B0B51">
              <w:rPr>
                <w:rFonts w:ascii="Times New Roman" w:hAnsi="Times New Roman"/>
                <w:color w:val="1F1F1F"/>
                <w:sz w:val="16"/>
                <w:szCs w:val="16"/>
              </w:rPr>
              <w:t xml:space="preserve"> </w:t>
            </w:r>
            <w:proofErr w:type="spellStart"/>
            <w:r w:rsidRPr="004B0B51">
              <w:rPr>
                <w:rFonts w:ascii="Times New Roman" w:hAnsi="Times New Roman"/>
                <w:color w:val="1F1F1F"/>
                <w:sz w:val="16"/>
                <w:szCs w:val="16"/>
              </w:rPr>
              <w:t>during</w:t>
            </w:r>
            <w:proofErr w:type="spellEnd"/>
            <w:r w:rsidRPr="004B0B51">
              <w:rPr>
                <w:rFonts w:ascii="Times New Roman" w:hAnsi="Times New Roman"/>
                <w:color w:val="1F1F1F"/>
                <w:sz w:val="16"/>
                <w:szCs w:val="16"/>
              </w:rPr>
              <w:t xml:space="preserve"> </w:t>
            </w:r>
            <w:proofErr w:type="spellStart"/>
            <w:r w:rsidRPr="004B0B51">
              <w:rPr>
                <w:rFonts w:ascii="Times New Roman" w:hAnsi="Times New Roman"/>
                <w:color w:val="1F1F1F"/>
                <w:sz w:val="16"/>
                <w:szCs w:val="16"/>
              </w:rPr>
              <w:t>surgery</w:t>
            </w:r>
            <w:proofErr w:type="spellEnd"/>
            <w:r w:rsidRPr="004B0B51">
              <w:rPr>
                <w:rFonts w:ascii="Times New Roman" w:hAnsi="Times New Roman"/>
                <w:color w:val="1F1F1F"/>
                <w:sz w:val="16"/>
                <w:szCs w:val="16"/>
              </w:rPr>
              <w:t>.</w:t>
            </w:r>
          </w:p>
          <w:p w:rsidR="00B24554" w:rsidRPr="005327FF" w:rsidRDefault="00B24554" w:rsidP="00700B60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hyperlink r:id="rId5" w:tooltip="Learn more about Paracetamol from ScienceDirect's AI-generated Topic Pages" w:history="1">
              <w:proofErr w:type="spellStart"/>
              <w:r w:rsidRPr="005327FF">
                <w:rPr>
                  <w:rStyle w:val="Kpr"/>
                  <w:rFonts w:ascii="Times New Roman" w:hAnsi="Times New Roman"/>
                  <w:color w:val="1F1F1F"/>
                  <w:sz w:val="16"/>
                  <w:szCs w:val="16"/>
                </w:rPr>
                <w:t>Paracetamol</w:t>
              </w:r>
              <w:proofErr w:type="spellEnd"/>
            </w:hyperlink>
            <w:r w:rsidRPr="005327FF">
              <w:rPr>
                <w:rFonts w:ascii="Times New Roman" w:hAnsi="Times New Roman"/>
                <w:color w:val="1F1F1F"/>
                <w:sz w:val="16"/>
                <w:szCs w:val="16"/>
              </w:rPr>
              <w:t xml:space="preserve"> (10 mg/kg) </w:t>
            </w:r>
            <w:proofErr w:type="spellStart"/>
            <w:r w:rsidRPr="005327FF">
              <w:rPr>
                <w:rFonts w:ascii="Times New Roman" w:hAnsi="Times New Roman"/>
                <w:color w:val="1F1F1F"/>
                <w:sz w:val="16"/>
                <w:szCs w:val="16"/>
              </w:rPr>
              <w:t>and</w:t>
            </w:r>
            <w:proofErr w:type="spellEnd"/>
            <w:r w:rsidRPr="005327FF">
              <w:rPr>
                <w:rFonts w:ascii="Times New Roman" w:hAnsi="Times New Roman"/>
                <w:color w:val="1F1F1F"/>
                <w:sz w:val="16"/>
                <w:szCs w:val="16"/>
              </w:rPr>
              <w:t xml:space="preserve"> </w:t>
            </w:r>
            <w:proofErr w:type="spellStart"/>
            <w:r w:rsidRPr="005327FF">
              <w:rPr>
                <w:rFonts w:ascii="Times New Roman" w:hAnsi="Times New Roman"/>
                <w:color w:val="1F1F1F"/>
                <w:sz w:val="16"/>
                <w:szCs w:val="16"/>
              </w:rPr>
              <w:t>tramadol</w:t>
            </w:r>
            <w:proofErr w:type="spellEnd"/>
            <w:r w:rsidRPr="005327FF">
              <w:rPr>
                <w:rFonts w:ascii="Times New Roman" w:hAnsi="Times New Roman"/>
                <w:color w:val="1F1F1F"/>
                <w:sz w:val="16"/>
                <w:szCs w:val="16"/>
              </w:rPr>
              <w:t xml:space="preserve"> (1 mg/</w:t>
            </w:r>
            <w:proofErr w:type="gramStart"/>
            <w:r w:rsidRPr="005327FF">
              <w:rPr>
                <w:rFonts w:ascii="Times New Roman" w:hAnsi="Times New Roman"/>
                <w:color w:val="1F1F1F"/>
                <w:sz w:val="16"/>
                <w:szCs w:val="16"/>
              </w:rPr>
              <w:t>kg)</w:t>
            </w:r>
            <w:r>
              <w:rPr>
                <w:rFonts w:ascii="Times New Roman" w:hAnsi="Times New Roman"/>
                <w:color w:val="1F1F1F"/>
                <w:sz w:val="16"/>
                <w:szCs w:val="16"/>
              </w:rPr>
              <w:t>*</w:t>
            </w:r>
            <w:proofErr w:type="gramEnd"/>
            <w:r w:rsidRPr="005327FF">
              <w:rPr>
                <w:rFonts w:ascii="Times New Roman" w:hAnsi="Times New Roman"/>
                <w:color w:val="1F1F1F"/>
                <w:sz w:val="16"/>
                <w:szCs w:val="16"/>
              </w:rPr>
              <w:t> </w:t>
            </w:r>
          </w:p>
        </w:tc>
      </w:tr>
      <w:tr w:rsidR="00B24554" w:rsidRPr="00D742C1" w:rsidTr="00700B60">
        <w:tc>
          <w:tcPr>
            <w:tcW w:w="4531" w:type="dxa"/>
          </w:tcPr>
          <w:p w:rsidR="00B24554" w:rsidRPr="00D742C1" w:rsidRDefault="00B24554" w:rsidP="002F77E0">
            <w:pPr>
              <w:jc w:val="both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742C1">
              <w:rPr>
                <w:rFonts w:ascii="Times New Roman" w:hAnsi="Times New Roman"/>
                <w:sz w:val="16"/>
                <w:szCs w:val="16"/>
                <w:lang w:val="en-US"/>
              </w:rPr>
              <w:t>Preventive antiemetic use</w:t>
            </w:r>
          </w:p>
        </w:tc>
        <w:tc>
          <w:tcPr>
            <w:tcW w:w="5245" w:type="dxa"/>
          </w:tcPr>
          <w:p w:rsidR="00B24554" w:rsidRPr="00D742C1" w:rsidRDefault="00B24554" w:rsidP="00700B60">
            <w:pPr>
              <w:pStyle w:val="ListeParagraf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742C1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Injection 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of </w:t>
            </w:r>
            <w:r w:rsidRPr="00D742C1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dexamethasone 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(</w:t>
            </w:r>
            <w:r w:rsidRPr="00D742C1">
              <w:rPr>
                <w:rFonts w:ascii="Times New Roman" w:hAnsi="Times New Roman"/>
                <w:sz w:val="16"/>
                <w:szCs w:val="16"/>
                <w:lang w:val="en-US"/>
              </w:rPr>
              <w:t>4 mg intravenously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)</w:t>
            </w:r>
            <w:r w:rsidRPr="00D742C1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at induction. </w:t>
            </w:r>
          </w:p>
          <w:p w:rsidR="00B24554" w:rsidRPr="00D742C1" w:rsidRDefault="00B24554" w:rsidP="00700B60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742C1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Injection ondansetron 4 mg intravenously at the end of surgery </w:t>
            </w:r>
          </w:p>
        </w:tc>
      </w:tr>
      <w:tr w:rsidR="00B24554" w:rsidRPr="00D742C1" w:rsidTr="002F77E0">
        <w:trPr>
          <w:trHeight w:val="905"/>
        </w:trPr>
        <w:tc>
          <w:tcPr>
            <w:tcW w:w="4531" w:type="dxa"/>
          </w:tcPr>
          <w:p w:rsidR="00B24554" w:rsidRPr="00D742C1" w:rsidRDefault="00B24554" w:rsidP="00700B60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742C1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Postoperative pain control </w:t>
            </w:r>
          </w:p>
          <w:p w:rsidR="00B24554" w:rsidRPr="00D742C1" w:rsidRDefault="00B24554" w:rsidP="00700B60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742C1">
              <w:rPr>
                <w:rFonts w:ascii="Times New Roman" w:hAnsi="Times New Roman"/>
                <w:sz w:val="16"/>
                <w:szCs w:val="16"/>
                <w:lang w:val="en-US"/>
              </w:rPr>
              <w:t>(unless contraindicated)</w:t>
            </w:r>
          </w:p>
          <w:p w:rsidR="00B24554" w:rsidRPr="00D742C1" w:rsidRDefault="00B24554" w:rsidP="00700B60">
            <w:pPr>
              <w:jc w:val="both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5245" w:type="dxa"/>
          </w:tcPr>
          <w:p w:rsidR="00B24554" w:rsidRDefault="00B24554" w:rsidP="00700B60">
            <w:pPr>
              <w:pStyle w:val="ListeParagraf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742C1">
              <w:rPr>
                <w:rFonts w:ascii="Times New Roman" w:hAnsi="Times New Roman"/>
                <w:sz w:val="16"/>
                <w:szCs w:val="16"/>
                <w:lang w:val="en-US"/>
              </w:rPr>
              <w:t>Paracetamol 1 g intravenously 6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-</w:t>
            </w:r>
            <w:r w:rsidRPr="00D742C1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hourly for 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24</w:t>
            </w:r>
            <w:r w:rsidRPr="00D742C1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h</w:t>
            </w:r>
          </w:p>
          <w:p w:rsidR="00B24554" w:rsidRPr="00B93760" w:rsidRDefault="00B24554" w:rsidP="00700B60">
            <w:pPr>
              <w:ind w:left="360"/>
              <w:jc w:val="both"/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</w:pPr>
            <w:r w:rsidRPr="00B93760"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>Rescue Analge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>sia</w:t>
            </w:r>
          </w:p>
          <w:p w:rsidR="00B24554" w:rsidRPr="00D742C1" w:rsidRDefault="00B24554" w:rsidP="00700B60">
            <w:pPr>
              <w:pStyle w:val="ListeParagraf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742C1">
              <w:rPr>
                <w:rFonts w:ascii="Times New Roman" w:hAnsi="Times New Roman"/>
                <w:sz w:val="16"/>
                <w:szCs w:val="16"/>
                <w:lang w:val="en-US"/>
              </w:rPr>
              <w:t>Diclofenac 75 mg intravenously 8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-</w:t>
            </w:r>
            <w:r w:rsidRPr="00D742C1">
              <w:rPr>
                <w:rFonts w:ascii="Times New Roman" w:hAnsi="Times New Roman"/>
                <w:sz w:val="16"/>
                <w:szCs w:val="16"/>
                <w:lang w:val="en-US"/>
              </w:rPr>
              <w:t>hourly (reserve analgesia if VAS score &gt; 4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; </w:t>
            </w:r>
            <w:r w:rsidRPr="00D742C1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maximum of three doses)) </w:t>
            </w:r>
          </w:p>
          <w:p w:rsidR="00B24554" w:rsidRPr="00B93760" w:rsidRDefault="00B24554" w:rsidP="00700B60">
            <w:pPr>
              <w:pStyle w:val="ListeParagraf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742C1">
              <w:rPr>
                <w:rFonts w:ascii="Times New Roman" w:hAnsi="Times New Roman"/>
                <w:sz w:val="16"/>
                <w:szCs w:val="16"/>
                <w:lang w:val="en-US"/>
              </w:rPr>
              <w:t>Tramadol 100 mg intravenously (reserve analgesia if VAS score &gt; 6</w:t>
            </w:r>
            <w:r w:rsidR="002F77E0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or non-response to diclofenac</w:t>
            </w:r>
            <w:r w:rsidRPr="00D742C1">
              <w:rPr>
                <w:rFonts w:ascii="Times New Roman" w:hAnsi="Times New Roman"/>
                <w:sz w:val="16"/>
                <w:szCs w:val="16"/>
                <w:lang w:val="en-US"/>
              </w:rPr>
              <w:t>; maximum of three doses)</w:t>
            </w:r>
          </w:p>
        </w:tc>
      </w:tr>
      <w:tr w:rsidR="00B24554" w:rsidRPr="00D742C1" w:rsidTr="00700B60">
        <w:tc>
          <w:tcPr>
            <w:tcW w:w="4531" w:type="dxa"/>
          </w:tcPr>
          <w:p w:rsidR="00B24554" w:rsidRPr="00D742C1" w:rsidRDefault="00B24554" w:rsidP="002F77E0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742C1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Fluid therapy  </w:t>
            </w:r>
          </w:p>
        </w:tc>
        <w:tc>
          <w:tcPr>
            <w:tcW w:w="5245" w:type="dxa"/>
          </w:tcPr>
          <w:p w:rsidR="00B24554" w:rsidRPr="00D742C1" w:rsidRDefault="00B24554" w:rsidP="00700B60">
            <w:pPr>
              <w:pStyle w:val="ListeParagraf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742C1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1 ml/kg/h; fluids discontinued at 6 h postoperatively</w:t>
            </w:r>
          </w:p>
          <w:p w:rsidR="00B24554" w:rsidRPr="00D742C1" w:rsidRDefault="00B24554" w:rsidP="00700B60">
            <w:pPr>
              <w:pStyle w:val="ListeParagraf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742C1">
              <w:rPr>
                <w:rFonts w:ascii="Times New Roman" w:hAnsi="Times New Roman"/>
                <w:sz w:val="16"/>
                <w:szCs w:val="16"/>
                <w:lang w:val="en-US"/>
              </w:rPr>
              <w:t>Fluid bolus of 500 mL if urine output &lt; 30 mL/h</w:t>
            </w:r>
          </w:p>
        </w:tc>
      </w:tr>
      <w:tr w:rsidR="00B24554" w:rsidRPr="00D742C1" w:rsidTr="00700B60">
        <w:tc>
          <w:tcPr>
            <w:tcW w:w="4531" w:type="dxa"/>
          </w:tcPr>
          <w:p w:rsidR="00B24554" w:rsidRPr="00D742C1" w:rsidRDefault="00B24554" w:rsidP="00700B60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742C1">
              <w:rPr>
                <w:rFonts w:ascii="Times New Roman" w:hAnsi="Times New Roman"/>
                <w:sz w:val="16"/>
                <w:szCs w:val="16"/>
                <w:lang w:val="en-US"/>
              </w:rPr>
              <w:t>Diet reintroduction</w:t>
            </w:r>
          </w:p>
        </w:tc>
        <w:tc>
          <w:tcPr>
            <w:tcW w:w="5245" w:type="dxa"/>
          </w:tcPr>
          <w:p w:rsidR="00B24554" w:rsidRPr="00D742C1" w:rsidRDefault="00B24554" w:rsidP="00700B60">
            <w:pPr>
              <w:pStyle w:val="ListeParagraf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742C1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Semisolid diet started within 6 h after surgery followed by solid diet 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within 12 h after surgery</w:t>
            </w:r>
          </w:p>
        </w:tc>
      </w:tr>
      <w:tr w:rsidR="00B24554" w:rsidRPr="00D742C1" w:rsidTr="00700B60">
        <w:tc>
          <w:tcPr>
            <w:tcW w:w="4531" w:type="dxa"/>
          </w:tcPr>
          <w:p w:rsidR="00B24554" w:rsidRPr="00D742C1" w:rsidRDefault="00B24554" w:rsidP="00700B60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742C1">
              <w:rPr>
                <w:rFonts w:ascii="Times New Roman" w:hAnsi="Times New Roman"/>
                <w:sz w:val="16"/>
                <w:szCs w:val="16"/>
                <w:lang w:val="en-US"/>
              </w:rPr>
              <w:t>Postoperative mobilization</w:t>
            </w:r>
          </w:p>
          <w:p w:rsidR="00B24554" w:rsidRPr="00D742C1" w:rsidRDefault="00B24554" w:rsidP="00700B60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5245" w:type="dxa"/>
          </w:tcPr>
          <w:p w:rsidR="00B24554" w:rsidRPr="00313BFE" w:rsidRDefault="00B24554" w:rsidP="00700B60">
            <w:pPr>
              <w:pStyle w:val="ListeParagraf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742C1">
              <w:rPr>
                <w:rFonts w:ascii="Times New Roman" w:hAnsi="Times New Roman"/>
                <w:sz w:val="16"/>
                <w:szCs w:val="16"/>
                <w:lang w:val="en-US"/>
              </w:rPr>
              <w:t>Evening of surgery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r w:rsidRPr="00313BFE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until discharge: out of bed for &gt; 4 h, including ≥ 4 walks and sitting in a chair. </w:t>
            </w:r>
          </w:p>
          <w:p w:rsidR="00B24554" w:rsidRPr="00D742C1" w:rsidRDefault="00B24554" w:rsidP="00700B60">
            <w:pPr>
              <w:pStyle w:val="ListeParagraf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742C1">
              <w:rPr>
                <w:rFonts w:ascii="Times New Roman" w:hAnsi="Times New Roman"/>
                <w:sz w:val="16"/>
                <w:szCs w:val="16"/>
                <w:lang w:val="en-US"/>
              </w:rPr>
              <w:t>Patient should be sitting in a chair for all meals</w:t>
            </w:r>
          </w:p>
        </w:tc>
      </w:tr>
      <w:tr w:rsidR="00B24554" w:rsidRPr="00D742C1" w:rsidTr="00700B60">
        <w:tc>
          <w:tcPr>
            <w:tcW w:w="4531" w:type="dxa"/>
          </w:tcPr>
          <w:p w:rsidR="00B24554" w:rsidRPr="00D742C1" w:rsidRDefault="00B24554" w:rsidP="00700B60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742C1">
              <w:rPr>
                <w:rFonts w:ascii="Times New Roman" w:hAnsi="Times New Roman"/>
                <w:sz w:val="16"/>
                <w:szCs w:val="16"/>
                <w:lang w:val="en-US"/>
              </w:rPr>
              <w:t>Venous thromboembolism prophylaxis</w:t>
            </w:r>
          </w:p>
        </w:tc>
        <w:tc>
          <w:tcPr>
            <w:tcW w:w="5245" w:type="dxa"/>
          </w:tcPr>
          <w:p w:rsidR="00B24554" w:rsidRPr="00D742C1" w:rsidRDefault="00B24554" w:rsidP="00700B60">
            <w:pPr>
              <w:pStyle w:val="ListeParagraf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742C1">
              <w:rPr>
                <w:rFonts w:ascii="Times New Roman" w:hAnsi="Times New Roman"/>
                <w:sz w:val="16"/>
                <w:szCs w:val="16"/>
                <w:lang w:val="en-US"/>
              </w:rPr>
              <w:t>Low-molecular-weight heparin started on postoperative day 1 and continued until 28 days postoperatively</w:t>
            </w:r>
          </w:p>
          <w:p w:rsidR="00B24554" w:rsidRPr="00D742C1" w:rsidRDefault="00B24554" w:rsidP="00700B60">
            <w:pPr>
              <w:pStyle w:val="ListeParagraf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742C1">
              <w:rPr>
                <w:rFonts w:ascii="Times New Roman" w:hAnsi="Times New Roman"/>
                <w:sz w:val="16"/>
                <w:szCs w:val="16"/>
                <w:lang w:val="en-US"/>
              </w:rPr>
              <w:t>Sequential compression devices while in hospital bed, when indicated</w:t>
            </w:r>
          </w:p>
        </w:tc>
      </w:tr>
      <w:tr w:rsidR="00B24554" w:rsidRPr="00D742C1" w:rsidTr="00700B60">
        <w:tc>
          <w:tcPr>
            <w:tcW w:w="4531" w:type="dxa"/>
          </w:tcPr>
          <w:p w:rsidR="00B24554" w:rsidRPr="00D742C1" w:rsidRDefault="00B24554" w:rsidP="00700B60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742C1">
              <w:rPr>
                <w:rFonts w:ascii="Times New Roman" w:hAnsi="Times New Roman"/>
                <w:sz w:val="16"/>
                <w:szCs w:val="16"/>
                <w:lang w:val="en-US"/>
              </w:rPr>
              <w:t>Urinary catheter removal</w:t>
            </w:r>
          </w:p>
        </w:tc>
        <w:tc>
          <w:tcPr>
            <w:tcW w:w="5245" w:type="dxa"/>
          </w:tcPr>
          <w:p w:rsidR="00B24554" w:rsidRPr="00D742C1" w:rsidRDefault="00B24554" w:rsidP="00700B60">
            <w:pPr>
              <w:pStyle w:val="ListeParagraf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742C1">
              <w:rPr>
                <w:rFonts w:ascii="Times New Roman" w:hAnsi="Times New Roman"/>
                <w:sz w:val="16"/>
                <w:szCs w:val="16"/>
                <w:lang w:val="en-US"/>
              </w:rPr>
              <w:t>As soon as the patient can walk to the restroom, except in cases of bladder injury</w:t>
            </w:r>
          </w:p>
        </w:tc>
      </w:tr>
      <w:tr w:rsidR="00B24554" w:rsidRPr="00D742C1" w:rsidTr="00700B60">
        <w:tc>
          <w:tcPr>
            <w:tcW w:w="4531" w:type="dxa"/>
          </w:tcPr>
          <w:p w:rsidR="00B24554" w:rsidRPr="00D742C1" w:rsidRDefault="00B24554" w:rsidP="00700B60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742C1">
              <w:rPr>
                <w:rFonts w:ascii="Times New Roman" w:hAnsi="Times New Roman"/>
                <w:sz w:val="16"/>
                <w:szCs w:val="16"/>
                <w:lang w:val="en-US"/>
              </w:rPr>
              <w:t>Discharge</w:t>
            </w:r>
          </w:p>
        </w:tc>
        <w:tc>
          <w:tcPr>
            <w:tcW w:w="5245" w:type="dxa"/>
          </w:tcPr>
          <w:p w:rsidR="00B24554" w:rsidRPr="00D742C1" w:rsidRDefault="00B24554" w:rsidP="00700B60">
            <w:pPr>
              <w:pStyle w:val="ListeParagraf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D742C1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Pain well-controlled on oral medication</w:t>
            </w:r>
          </w:p>
          <w:p w:rsidR="00B24554" w:rsidRPr="00D742C1" w:rsidRDefault="00B24554" w:rsidP="00700B60">
            <w:pPr>
              <w:pStyle w:val="ListeParagraf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742C1">
              <w:rPr>
                <w:rFonts w:ascii="Times New Roman" w:hAnsi="Times New Roman"/>
                <w:sz w:val="16"/>
                <w:szCs w:val="16"/>
                <w:lang w:val="en-US"/>
              </w:rPr>
              <w:t>No signs of infection</w:t>
            </w:r>
          </w:p>
          <w:p w:rsidR="00B24554" w:rsidRPr="00D742C1" w:rsidRDefault="00B24554" w:rsidP="00700B60">
            <w:pPr>
              <w:pStyle w:val="ListeParagraf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742C1">
              <w:rPr>
                <w:rFonts w:ascii="Times New Roman" w:hAnsi="Times New Roman"/>
                <w:sz w:val="16"/>
                <w:szCs w:val="16"/>
                <w:lang w:val="en-US"/>
              </w:rPr>
              <w:t>Tolerating oral feeding</w:t>
            </w:r>
          </w:p>
          <w:p w:rsidR="00B24554" w:rsidRPr="00D742C1" w:rsidRDefault="00B24554" w:rsidP="00700B60">
            <w:pPr>
              <w:pStyle w:val="ListeParagraf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742C1">
              <w:rPr>
                <w:rFonts w:ascii="Times New Roman" w:hAnsi="Times New Roman"/>
                <w:sz w:val="16"/>
                <w:szCs w:val="16"/>
                <w:lang w:val="en-US"/>
              </w:rPr>
              <w:t>Voiding independently</w:t>
            </w:r>
          </w:p>
          <w:p w:rsidR="00B24554" w:rsidRPr="00D742C1" w:rsidRDefault="00B24554" w:rsidP="00700B60">
            <w:pPr>
              <w:pStyle w:val="ListeParagraf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742C1">
              <w:rPr>
                <w:rFonts w:ascii="Times New Roman" w:hAnsi="Times New Roman"/>
                <w:sz w:val="16"/>
                <w:szCs w:val="16"/>
                <w:lang w:val="en-US"/>
              </w:rPr>
              <w:t>Walking freely</w:t>
            </w:r>
          </w:p>
          <w:p w:rsidR="00B24554" w:rsidRPr="00D742C1" w:rsidRDefault="00B24554" w:rsidP="00700B60">
            <w:pPr>
              <w:pStyle w:val="ListeParagraf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742C1">
              <w:rPr>
                <w:rFonts w:ascii="Times New Roman" w:hAnsi="Times New Roman"/>
                <w:sz w:val="16"/>
                <w:szCs w:val="16"/>
                <w:lang w:val="en-US"/>
              </w:rPr>
              <w:t>Personalized and comprehensive information</w:t>
            </w:r>
          </w:p>
          <w:p w:rsidR="00B24554" w:rsidRPr="00D742C1" w:rsidRDefault="00B24554" w:rsidP="00700B60">
            <w:pPr>
              <w:pStyle w:val="ListeParagraf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742C1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Postoperative follow-up at 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1</w:t>
            </w:r>
            <w:r w:rsidRPr="00D742C1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and 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2</w:t>
            </w:r>
            <w:r w:rsidRPr="00D742C1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weeks after discharge</w:t>
            </w:r>
          </w:p>
        </w:tc>
      </w:tr>
    </w:tbl>
    <w:p w:rsidR="00B24554" w:rsidRPr="00D742C1" w:rsidRDefault="00B24554" w:rsidP="00B24554">
      <w:pPr>
        <w:rPr>
          <w:sz w:val="16"/>
          <w:szCs w:val="16"/>
          <w:lang w:val="en-US"/>
        </w:rPr>
      </w:pPr>
    </w:p>
    <w:p w:rsidR="00B24554" w:rsidRDefault="00B24554" w:rsidP="00B24554">
      <w:pPr>
        <w:rPr>
          <w:rFonts w:ascii="Times New Roman" w:hAnsi="Times New Roman" w:cs="Times New Roman"/>
          <w:sz w:val="16"/>
          <w:szCs w:val="16"/>
          <w:lang w:val="es-US"/>
        </w:rPr>
      </w:pPr>
      <w:r>
        <w:rPr>
          <w:rFonts w:ascii="Times New Roman" w:hAnsi="Times New Roman" w:cs="Times New Roman"/>
          <w:sz w:val="16"/>
          <w:szCs w:val="16"/>
          <w:lang w:val="es-US"/>
        </w:rPr>
        <w:t>*</w:t>
      </w:r>
      <w:proofErr w:type="spellStart"/>
      <w:r w:rsidRPr="005327FF">
        <w:rPr>
          <w:rFonts w:ascii="Times New Roman" w:hAnsi="Times New Roman" w:cs="Times New Roman"/>
          <w:sz w:val="16"/>
          <w:szCs w:val="16"/>
          <w:lang w:val="es-US"/>
        </w:rPr>
        <w:t>Were</w:t>
      </w:r>
      <w:proofErr w:type="spellEnd"/>
      <w:r w:rsidRPr="005327FF">
        <w:rPr>
          <w:rFonts w:ascii="Times New Roman" w:hAnsi="Times New Roman" w:cs="Times New Roman"/>
          <w:sz w:val="16"/>
          <w:szCs w:val="16"/>
          <w:lang w:val="es-US"/>
        </w:rPr>
        <w:t xml:space="preserve"> </w:t>
      </w:r>
      <w:proofErr w:type="spellStart"/>
      <w:r w:rsidRPr="005327FF">
        <w:rPr>
          <w:rFonts w:ascii="Times New Roman" w:hAnsi="Times New Roman" w:cs="Times New Roman"/>
          <w:sz w:val="16"/>
          <w:szCs w:val="16"/>
          <w:lang w:val="es-US"/>
        </w:rPr>
        <w:t>given</w:t>
      </w:r>
      <w:proofErr w:type="spellEnd"/>
      <w:r w:rsidRPr="005327FF">
        <w:rPr>
          <w:rFonts w:ascii="Times New Roman" w:hAnsi="Times New Roman" w:cs="Times New Roman"/>
          <w:sz w:val="16"/>
          <w:szCs w:val="16"/>
          <w:lang w:val="es-US"/>
        </w:rPr>
        <w:t xml:space="preserve"> </w:t>
      </w:r>
      <w:proofErr w:type="spellStart"/>
      <w:r w:rsidRPr="005327FF">
        <w:rPr>
          <w:rFonts w:ascii="Times New Roman" w:hAnsi="Times New Roman" w:cs="Times New Roman"/>
          <w:sz w:val="16"/>
          <w:szCs w:val="16"/>
          <w:lang w:val="es-US"/>
        </w:rPr>
        <w:t>via</w:t>
      </w:r>
      <w:proofErr w:type="spellEnd"/>
      <w:r w:rsidRPr="005327FF">
        <w:rPr>
          <w:rFonts w:ascii="Times New Roman" w:hAnsi="Times New Roman" w:cs="Times New Roman"/>
          <w:sz w:val="16"/>
          <w:szCs w:val="16"/>
          <w:lang w:val="es-US"/>
        </w:rPr>
        <w:t xml:space="preserve"> </w:t>
      </w:r>
      <w:proofErr w:type="spellStart"/>
      <w:r w:rsidRPr="005327FF">
        <w:rPr>
          <w:rFonts w:ascii="Times New Roman" w:hAnsi="Times New Roman" w:cs="Times New Roman"/>
          <w:sz w:val="16"/>
          <w:szCs w:val="16"/>
          <w:lang w:val="es-US"/>
        </w:rPr>
        <w:t>intravenous</w:t>
      </w:r>
      <w:proofErr w:type="spellEnd"/>
      <w:r w:rsidRPr="005327FF">
        <w:rPr>
          <w:rFonts w:ascii="Times New Roman" w:hAnsi="Times New Roman" w:cs="Times New Roman"/>
          <w:sz w:val="16"/>
          <w:szCs w:val="16"/>
          <w:lang w:val="es-US"/>
        </w:rPr>
        <w:t xml:space="preserve"> </w:t>
      </w:r>
      <w:proofErr w:type="spellStart"/>
      <w:r w:rsidRPr="005327FF">
        <w:rPr>
          <w:rFonts w:ascii="Times New Roman" w:hAnsi="Times New Roman" w:cs="Times New Roman"/>
          <w:sz w:val="16"/>
          <w:szCs w:val="16"/>
          <w:lang w:val="es-US"/>
        </w:rPr>
        <w:t>route</w:t>
      </w:r>
      <w:proofErr w:type="spellEnd"/>
      <w:r w:rsidRPr="005327FF">
        <w:rPr>
          <w:rFonts w:ascii="Times New Roman" w:hAnsi="Times New Roman" w:cs="Times New Roman"/>
          <w:sz w:val="16"/>
          <w:szCs w:val="16"/>
          <w:lang w:val="es-US"/>
        </w:rPr>
        <w:t xml:space="preserve"> </w:t>
      </w:r>
      <w:proofErr w:type="spellStart"/>
      <w:r w:rsidRPr="005327FF">
        <w:rPr>
          <w:rFonts w:ascii="Times New Roman" w:hAnsi="Times New Roman" w:cs="Times New Roman"/>
          <w:sz w:val="16"/>
          <w:szCs w:val="16"/>
          <w:lang w:val="es-US"/>
        </w:rPr>
        <w:t>to</w:t>
      </w:r>
      <w:proofErr w:type="spellEnd"/>
      <w:r w:rsidRPr="005327FF">
        <w:rPr>
          <w:rFonts w:ascii="Times New Roman" w:hAnsi="Times New Roman" w:cs="Times New Roman"/>
          <w:sz w:val="16"/>
          <w:szCs w:val="16"/>
          <w:lang w:val="es-US"/>
        </w:rPr>
        <w:t xml:space="preserve"> </w:t>
      </w:r>
      <w:proofErr w:type="spellStart"/>
      <w:r w:rsidRPr="005327FF">
        <w:rPr>
          <w:rFonts w:ascii="Times New Roman" w:hAnsi="Times New Roman" w:cs="Times New Roman"/>
          <w:sz w:val="16"/>
          <w:szCs w:val="16"/>
          <w:lang w:val="es-US"/>
        </w:rPr>
        <w:t>all</w:t>
      </w:r>
      <w:proofErr w:type="spellEnd"/>
      <w:r w:rsidRPr="005327FF">
        <w:rPr>
          <w:rFonts w:ascii="Times New Roman" w:hAnsi="Times New Roman" w:cs="Times New Roman"/>
          <w:sz w:val="16"/>
          <w:szCs w:val="16"/>
          <w:lang w:val="es-US"/>
        </w:rPr>
        <w:t xml:space="preserve"> </w:t>
      </w:r>
      <w:proofErr w:type="spellStart"/>
      <w:r w:rsidRPr="005327FF">
        <w:rPr>
          <w:rFonts w:ascii="Times New Roman" w:hAnsi="Times New Roman" w:cs="Times New Roman"/>
          <w:sz w:val="16"/>
          <w:szCs w:val="16"/>
          <w:lang w:val="es-US"/>
        </w:rPr>
        <w:t>patients</w:t>
      </w:r>
      <w:proofErr w:type="spellEnd"/>
      <w:r w:rsidRPr="005327FF">
        <w:rPr>
          <w:rFonts w:ascii="Times New Roman" w:hAnsi="Times New Roman" w:cs="Times New Roman"/>
          <w:sz w:val="16"/>
          <w:szCs w:val="16"/>
          <w:lang w:val="es-US"/>
        </w:rPr>
        <w:t xml:space="preserve"> </w:t>
      </w:r>
      <w:proofErr w:type="spellStart"/>
      <w:r w:rsidRPr="005327FF">
        <w:rPr>
          <w:rFonts w:ascii="Times New Roman" w:hAnsi="Times New Roman" w:cs="Times New Roman"/>
          <w:sz w:val="16"/>
          <w:szCs w:val="16"/>
          <w:lang w:val="es-US"/>
        </w:rPr>
        <w:t>during</w:t>
      </w:r>
      <w:proofErr w:type="spellEnd"/>
      <w:r w:rsidRPr="005327FF">
        <w:rPr>
          <w:rFonts w:ascii="Times New Roman" w:hAnsi="Times New Roman" w:cs="Times New Roman"/>
          <w:sz w:val="16"/>
          <w:szCs w:val="16"/>
          <w:lang w:val="es-US"/>
        </w:rPr>
        <w:t xml:space="preserve"> </w:t>
      </w:r>
      <w:proofErr w:type="spellStart"/>
      <w:r w:rsidRPr="005327FF">
        <w:rPr>
          <w:rFonts w:ascii="Times New Roman" w:hAnsi="Times New Roman" w:cs="Times New Roman"/>
          <w:sz w:val="16"/>
          <w:szCs w:val="16"/>
          <w:lang w:val="es-US"/>
        </w:rPr>
        <w:t>desufflation</w:t>
      </w:r>
      <w:proofErr w:type="spellEnd"/>
      <w:r w:rsidRPr="005327FF">
        <w:rPr>
          <w:rFonts w:ascii="Times New Roman" w:hAnsi="Times New Roman" w:cs="Times New Roman"/>
          <w:sz w:val="16"/>
          <w:szCs w:val="16"/>
          <w:lang w:val="es-US"/>
        </w:rPr>
        <w:t xml:space="preserve"> </w:t>
      </w:r>
      <w:proofErr w:type="spellStart"/>
      <w:r w:rsidRPr="005327FF">
        <w:rPr>
          <w:rFonts w:ascii="Times New Roman" w:hAnsi="Times New Roman" w:cs="Times New Roman"/>
          <w:sz w:val="16"/>
          <w:szCs w:val="16"/>
          <w:lang w:val="es-US"/>
        </w:rPr>
        <w:t>to</w:t>
      </w:r>
      <w:proofErr w:type="spellEnd"/>
      <w:r w:rsidRPr="005327FF">
        <w:rPr>
          <w:rFonts w:ascii="Times New Roman" w:hAnsi="Times New Roman" w:cs="Times New Roman"/>
          <w:sz w:val="16"/>
          <w:szCs w:val="16"/>
          <w:lang w:val="es-US"/>
        </w:rPr>
        <w:t xml:space="preserve"> </w:t>
      </w:r>
      <w:proofErr w:type="spellStart"/>
      <w:r w:rsidRPr="005327FF">
        <w:rPr>
          <w:rFonts w:ascii="Times New Roman" w:hAnsi="Times New Roman" w:cs="Times New Roman"/>
          <w:sz w:val="16"/>
          <w:szCs w:val="16"/>
          <w:lang w:val="es-US"/>
        </w:rPr>
        <w:t>alleviate</w:t>
      </w:r>
      <w:proofErr w:type="spellEnd"/>
      <w:r w:rsidRPr="005327FF">
        <w:rPr>
          <w:rFonts w:ascii="Times New Roman" w:hAnsi="Times New Roman" w:cs="Times New Roman"/>
          <w:sz w:val="16"/>
          <w:szCs w:val="16"/>
          <w:lang w:val="es-US"/>
        </w:rPr>
        <w:t xml:space="preserve"> </w:t>
      </w:r>
      <w:proofErr w:type="spellStart"/>
      <w:r w:rsidRPr="005327FF">
        <w:rPr>
          <w:rFonts w:ascii="Times New Roman" w:hAnsi="Times New Roman" w:cs="Times New Roman"/>
          <w:sz w:val="16"/>
          <w:szCs w:val="16"/>
          <w:lang w:val="es-US"/>
        </w:rPr>
        <w:t>pain</w:t>
      </w:r>
      <w:proofErr w:type="spellEnd"/>
    </w:p>
    <w:p w:rsidR="00B24554" w:rsidRDefault="00B24554" w:rsidP="00B24554">
      <w:pPr>
        <w:rPr>
          <w:lang w:val="es-US"/>
        </w:rPr>
      </w:pPr>
      <w:r w:rsidRPr="00986D9B">
        <w:rPr>
          <w:rFonts w:ascii="Times New Roman" w:hAnsi="Times New Roman" w:cs="Times New Roman"/>
          <w:sz w:val="16"/>
          <w:szCs w:val="16"/>
          <w:lang w:val="es-US"/>
        </w:rPr>
        <w:t>VAS</w:t>
      </w:r>
      <w:r>
        <w:rPr>
          <w:rFonts w:ascii="Times New Roman" w:hAnsi="Times New Roman" w:cs="Times New Roman"/>
          <w:sz w:val="16"/>
          <w:szCs w:val="16"/>
          <w:lang w:val="es-US"/>
        </w:rPr>
        <w:t>,</w:t>
      </w:r>
      <w:r w:rsidRPr="00986D9B">
        <w:rPr>
          <w:rFonts w:ascii="Times New Roman" w:hAnsi="Times New Roman" w:cs="Times New Roman"/>
          <w:sz w:val="16"/>
          <w:szCs w:val="16"/>
          <w:lang w:val="es-US"/>
        </w:rPr>
        <w:t xml:space="preserve"> visual </w:t>
      </w:r>
      <w:proofErr w:type="spellStart"/>
      <w:r>
        <w:rPr>
          <w:rFonts w:ascii="Times New Roman" w:hAnsi="Times New Roman" w:cs="Times New Roman"/>
          <w:sz w:val="16"/>
          <w:szCs w:val="16"/>
          <w:lang w:val="es-US"/>
        </w:rPr>
        <w:t>a</w:t>
      </w:r>
      <w:r w:rsidRPr="00A430BE">
        <w:rPr>
          <w:rFonts w:ascii="Times New Roman" w:hAnsi="Times New Roman" w:cs="Times New Roman"/>
          <w:sz w:val="16"/>
          <w:szCs w:val="16"/>
          <w:lang w:val="es-US"/>
        </w:rPr>
        <w:t>n</w:t>
      </w:r>
      <w:r>
        <w:rPr>
          <w:rFonts w:ascii="Times New Roman" w:hAnsi="Times New Roman" w:cs="Times New Roman"/>
          <w:sz w:val="16"/>
          <w:szCs w:val="16"/>
          <w:lang w:val="es-US"/>
        </w:rPr>
        <w:t>a</w:t>
      </w:r>
      <w:r w:rsidRPr="00A430BE">
        <w:rPr>
          <w:rFonts w:ascii="Times New Roman" w:hAnsi="Times New Roman" w:cs="Times New Roman"/>
          <w:sz w:val="16"/>
          <w:szCs w:val="16"/>
          <w:lang w:val="es-US"/>
        </w:rPr>
        <w:t>logue</w:t>
      </w:r>
      <w:proofErr w:type="spellEnd"/>
      <w:r w:rsidRPr="00986D9B">
        <w:rPr>
          <w:rFonts w:ascii="Times New Roman" w:hAnsi="Times New Roman" w:cs="Times New Roman"/>
          <w:sz w:val="16"/>
          <w:szCs w:val="16"/>
          <w:lang w:val="es-US"/>
        </w:rPr>
        <w:t xml:space="preserve"> </w:t>
      </w:r>
      <w:proofErr w:type="spellStart"/>
      <w:r w:rsidRPr="00986D9B">
        <w:rPr>
          <w:rFonts w:ascii="Times New Roman" w:hAnsi="Times New Roman" w:cs="Times New Roman"/>
          <w:sz w:val="16"/>
          <w:szCs w:val="16"/>
          <w:lang w:val="es-US"/>
        </w:rPr>
        <w:t>s</w:t>
      </w:r>
      <w:r>
        <w:rPr>
          <w:rFonts w:ascii="Times New Roman" w:hAnsi="Times New Roman" w:cs="Times New Roman"/>
          <w:sz w:val="16"/>
          <w:szCs w:val="16"/>
          <w:lang w:val="es-US"/>
        </w:rPr>
        <w:t>cale</w:t>
      </w:r>
      <w:proofErr w:type="spellEnd"/>
      <w:r>
        <w:rPr>
          <w:rFonts w:ascii="Times New Roman" w:hAnsi="Times New Roman" w:cs="Times New Roman"/>
          <w:sz w:val="16"/>
          <w:szCs w:val="16"/>
          <w:lang w:val="es-US"/>
        </w:rPr>
        <w:t>.</w:t>
      </w:r>
    </w:p>
    <w:p w:rsidR="00B24554" w:rsidRDefault="00B24554" w:rsidP="00B24554">
      <w:pPr>
        <w:rPr>
          <w:rFonts w:ascii="Times New Roman" w:hAnsi="Times New Roman" w:cs="Times New Roman"/>
          <w:b/>
          <w:bCs/>
          <w:lang w:val="en-US"/>
        </w:rPr>
      </w:pPr>
    </w:p>
    <w:p w:rsidR="00B24554" w:rsidRDefault="00B24554" w:rsidP="00B24554">
      <w:pPr>
        <w:rPr>
          <w:rFonts w:ascii="Times New Roman" w:hAnsi="Times New Roman" w:cs="Times New Roman"/>
          <w:b/>
          <w:bCs/>
          <w:lang w:val="en-US"/>
        </w:rPr>
      </w:pPr>
    </w:p>
    <w:p w:rsidR="00B24554" w:rsidRDefault="00B24554" w:rsidP="00B24554">
      <w:pPr>
        <w:rPr>
          <w:rFonts w:ascii="Times New Roman" w:hAnsi="Times New Roman" w:cs="Times New Roman"/>
          <w:b/>
          <w:bCs/>
          <w:lang w:val="en-US"/>
        </w:rPr>
      </w:pPr>
    </w:p>
    <w:p w:rsidR="00491863" w:rsidRDefault="00491863"/>
    <w:sectPr w:rsidR="004918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F2E04"/>
    <w:multiLevelType w:val="hybridMultilevel"/>
    <w:tmpl w:val="31E0D2E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3C1F12"/>
    <w:multiLevelType w:val="hybridMultilevel"/>
    <w:tmpl w:val="9D0EA62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BF3310"/>
    <w:multiLevelType w:val="hybridMultilevel"/>
    <w:tmpl w:val="66F8D90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051365"/>
    <w:multiLevelType w:val="hybridMultilevel"/>
    <w:tmpl w:val="8FA407B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84769D"/>
    <w:multiLevelType w:val="hybridMultilevel"/>
    <w:tmpl w:val="E3E45AC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5505969">
    <w:abstractNumId w:val="4"/>
  </w:num>
  <w:num w:numId="2" w16cid:durableId="2094160293">
    <w:abstractNumId w:val="0"/>
  </w:num>
  <w:num w:numId="3" w16cid:durableId="1535000036">
    <w:abstractNumId w:val="3"/>
  </w:num>
  <w:num w:numId="4" w16cid:durableId="65224345">
    <w:abstractNumId w:val="1"/>
  </w:num>
  <w:num w:numId="5" w16cid:durableId="6292871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554"/>
    <w:rsid w:val="002F77E0"/>
    <w:rsid w:val="003574F6"/>
    <w:rsid w:val="0043709C"/>
    <w:rsid w:val="004549C0"/>
    <w:rsid w:val="00491863"/>
    <w:rsid w:val="00791F90"/>
    <w:rsid w:val="007E7A69"/>
    <w:rsid w:val="009A2C98"/>
    <w:rsid w:val="00A251F0"/>
    <w:rsid w:val="00B24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38A2823"/>
  <w15:chartTrackingRefBased/>
  <w15:docId w15:val="{867263FC-4A03-EB43-8534-3F30CDD5C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4554"/>
    <w:pPr>
      <w:spacing w:after="160" w:line="259" w:lineRule="auto"/>
    </w:pPr>
    <w:rPr>
      <w:sz w:val="22"/>
      <w:szCs w:val="22"/>
    </w:rPr>
  </w:style>
  <w:style w:type="paragraph" w:styleId="Balk1">
    <w:name w:val="heading 1"/>
    <w:basedOn w:val="Normal"/>
    <w:next w:val="Normal"/>
    <w:link w:val="Balk1Char"/>
    <w:uiPriority w:val="9"/>
    <w:qFormat/>
    <w:rsid w:val="00B245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B245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B2455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B245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B2455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B2455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B2455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B2455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B2455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B2455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B2455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B2455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B24554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B24554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B24554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B24554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B24554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B24554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B2455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B245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B245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B245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B245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B24554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B24554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B24554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B2455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B24554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B24554"/>
    <w:rPr>
      <w:b/>
      <w:bCs/>
      <w:smallCaps/>
      <w:color w:val="2F5496" w:themeColor="accent1" w:themeShade="BF"/>
      <w:spacing w:val="5"/>
    </w:rPr>
  </w:style>
  <w:style w:type="table" w:styleId="TabloKlavuzu">
    <w:name w:val="Table Grid"/>
    <w:basedOn w:val="NormalTablo"/>
    <w:uiPriority w:val="39"/>
    <w:rsid w:val="00B24554"/>
    <w:rPr>
      <w:rFonts w:ascii="Calibri" w:eastAsia="Calibri" w:hAnsi="Calibri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B2455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sciencedirect.com/topics/medicine-and-dentistry/paracetamo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568</Words>
  <Characters>3242</Characters>
  <Application>Microsoft Office Word</Application>
  <DocSecurity>0</DocSecurity>
  <Lines>27</Lines>
  <Paragraphs>7</Paragraphs>
  <ScaleCrop>false</ScaleCrop>
  <Company/>
  <LinksUpToDate>false</LinksUpToDate>
  <CharactersWithSpaces>3803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2026-02-22T07:48:00Z</dcterms:created>
  <dcterms:modified xsi:type="dcterms:W3CDTF">2026-04-01T13:03:00Z</dcterms:modified>
</cp:coreProperties>
</file>