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5B96" w:rsidRDefault="00755B96" w:rsidP="00755B96">
      <w:pPr>
        <w:pStyle w:val="Heading1"/>
        <w:spacing w:line="480" w:lineRule="auto"/>
        <w:jc w:val="both"/>
      </w:pPr>
      <w:bookmarkStart w:id="0" w:name="_Toc220497811"/>
      <w:r>
        <w:t>A</w:t>
      </w:r>
      <w:r w:rsidR="00C5434E">
        <w:t>dditional File</w:t>
      </w:r>
      <w:r>
        <w:t xml:space="preserve"> </w:t>
      </w:r>
      <w:r w:rsidR="00C13067">
        <w:t>8</w:t>
      </w:r>
      <w:r>
        <w:t xml:space="preserve"> (Recurrence)</w:t>
      </w:r>
      <w:bookmarkEnd w:id="0"/>
    </w:p>
    <w:tbl>
      <w:tblPr>
        <w:tblStyle w:val="TableGrid"/>
        <w:tblW w:w="79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68"/>
        <w:gridCol w:w="1418"/>
        <w:gridCol w:w="1349"/>
        <w:gridCol w:w="1410"/>
        <w:gridCol w:w="2542"/>
      </w:tblGrid>
      <w:tr w:rsidR="00755B96" w:rsidTr="00755B96">
        <w:trPr>
          <w:trHeight w:val="6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Study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Sclerotherapy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4FDFBBF0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Recurrence events (%)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Cystectomy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4FDFBBF0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Recurrence events (%)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</w:p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6"/>
                <w:szCs w:val="16"/>
              </w:rPr>
              <w:t>Follow up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</w:p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6"/>
                <w:szCs w:val="16"/>
              </w:rPr>
              <w:t>Definition of recurrence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6"/>
                <w:szCs w:val="16"/>
              </w:rPr>
              <w:t>Noma 2001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11 (14.9)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 (3.8)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at least 6 months, mean 26.2months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Not defined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Garcia-Tejedor 2020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 (5.9)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4 (28.6)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from 6 months to up to 3yrs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presence of an adnexal cyst suggestive of endometrioma with a maximum diameter ≥30 mm in either ovary on ultrasound examination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Alborzi 2021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15 (34.1)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8 (14)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Up to 7 years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a persistent round-shaped, thick-walled cyst, filled with low echogenic fluid, more than 2 cm in diameter in the previous affected ovary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Koo 2020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4 (7.8)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from 1 month, mean 23 months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Not defined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Antonaci 2022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3 (11.5)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Up to 36 months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a cyst of any size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proofErr w:type="spellStart"/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Mohtashami</w:t>
            </w:r>
            <w:proofErr w:type="spellEnd"/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 xml:space="preserve"> 2024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5</w:t>
            </w:r>
          </w:p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(11.36)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7 (15.9)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2, 6, 12 months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2cm not resolving on subsequent menstrual cycles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Sukur 2024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At time of IVF (within 3 months for sclerotherapy, 12 months for cystectomy)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Not defined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Popov 2019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Up to 16months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Not defined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color w:val="000000" w:themeColor="text1"/>
                <w:sz w:val="14"/>
                <w:szCs w:val="14"/>
              </w:rPr>
            </w:pPr>
            <w:r w:rsidRPr="6B33778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Tehrani 2022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17(48.58)</w:t>
            </w:r>
          </w:p>
        </w:tc>
        <w:tc>
          <w:tcPr>
            <w:tcW w:w="1349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15 (42.85)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12 months</w:t>
            </w:r>
          </w:p>
        </w:tc>
        <w:tc>
          <w:tcPr>
            <w:tcW w:w="2542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6B33778B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Not defined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</w:pPr>
            <w:r w:rsidRPr="4FDFBBF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Wang 2025 (LST)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2 (4.3)</w:t>
            </w:r>
          </w:p>
        </w:tc>
        <w:tc>
          <w:tcPr>
            <w:tcW w:w="1349" w:type="dxa"/>
            <w:vMerge w:val="restart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14 (20.3)</w:t>
            </w:r>
          </w:p>
        </w:tc>
        <w:tc>
          <w:tcPr>
            <w:tcW w:w="1410" w:type="dxa"/>
            <w:vMerge w:val="restart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1 month</w:t>
            </w:r>
          </w:p>
        </w:tc>
        <w:tc>
          <w:tcPr>
            <w:tcW w:w="2542" w:type="dxa"/>
            <w:vMerge w:val="restart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Not defined</w:t>
            </w:r>
          </w:p>
        </w:tc>
      </w:tr>
      <w:tr w:rsidR="00755B96" w:rsidTr="00755B96">
        <w:trPr>
          <w:trHeight w:val="300"/>
        </w:trPr>
        <w:tc>
          <w:tcPr>
            <w:tcW w:w="126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</w:pPr>
            <w:r w:rsidRPr="4FDFBBF0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14"/>
                <w:szCs w:val="14"/>
              </w:rPr>
              <w:t>Wang 2025 (UST)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center"/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</w:pPr>
            <w:r w:rsidRPr="4FDFBBF0">
              <w:rPr>
                <w:rFonts w:ascii="Aptos Narrow" w:eastAsia="Aptos Narrow" w:hAnsi="Aptos Narrow" w:cs="Aptos Narrow"/>
                <w:color w:val="000000" w:themeColor="text1"/>
                <w:sz w:val="16"/>
                <w:szCs w:val="16"/>
              </w:rPr>
              <w:t>5(5.5)</w:t>
            </w:r>
          </w:p>
        </w:tc>
        <w:tc>
          <w:tcPr>
            <w:tcW w:w="1349" w:type="dxa"/>
            <w:vMerge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both"/>
            </w:pPr>
          </w:p>
        </w:tc>
        <w:tc>
          <w:tcPr>
            <w:tcW w:w="1410" w:type="dxa"/>
            <w:vMerge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both"/>
            </w:pPr>
          </w:p>
        </w:tc>
        <w:tc>
          <w:tcPr>
            <w:tcW w:w="2542" w:type="dxa"/>
            <w:vMerge/>
            <w:tcMar>
              <w:left w:w="105" w:type="dxa"/>
              <w:right w:w="105" w:type="dxa"/>
            </w:tcMar>
          </w:tcPr>
          <w:p w:rsidR="00755B96" w:rsidRDefault="00755B96" w:rsidP="00FD63E9">
            <w:pPr>
              <w:spacing w:line="480" w:lineRule="auto"/>
              <w:jc w:val="both"/>
            </w:pPr>
          </w:p>
        </w:tc>
      </w:tr>
    </w:tbl>
    <w:p w:rsidR="00755B96" w:rsidRPr="00755B96" w:rsidRDefault="00755B96" w:rsidP="00755B96">
      <w:pPr>
        <w:spacing w:line="480" w:lineRule="auto"/>
        <w:jc w:val="both"/>
        <w:rPr>
          <w:b/>
          <w:bCs/>
        </w:rPr>
      </w:pPr>
      <w:r w:rsidRPr="00755B96">
        <w:rPr>
          <w:b/>
          <w:bCs/>
        </w:rPr>
        <w:t>Table A</w:t>
      </w:r>
      <w:r w:rsidR="00C13067">
        <w:rPr>
          <w:b/>
          <w:bCs/>
        </w:rPr>
        <w:t>8</w:t>
      </w:r>
      <w:r w:rsidRPr="00755B96">
        <w:rPr>
          <w:b/>
          <w:bCs/>
        </w:rPr>
        <w:t xml:space="preserve">: </w:t>
      </w:r>
      <w:r>
        <w:rPr>
          <w:b/>
          <w:bCs/>
        </w:rPr>
        <w:t>Table of data extracted on r</w:t>
      </w:r>
      <w:r w:rsidRPr="00755B96">
        <w:rPr>
          <w:b/>
          <w:bCs/>
        </w:rPr>
        <w:t>ecurrence rates</w:t>
      </w:r>
    </w:p>
    <w:p w:rsidR="00A0397B" w:rsidRDefault="00A0397B"/>
    <w:sectPr w:rsidR="00A03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7B"/>
    <w:rsid w:val="00742548"/>
    <w:rsid w:val="00755B96"/>
    <w:rsid w:val="007F1825"/>
    <w:rsid w:val="00A0397B"/>
    <w:rsid w:val="00B225E1"/>
    <w:rsid w:val="00C13067"/>
    <w:rsid w:val="00C21D23"/>
    <w:rsid w:val="00C46100"/>
    <w:rsid w:val="00C5434E"/>
    <w:rsid w:val="00D12B62"/>
    <w:rsid w:val="00E1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72C87"/>
  <w15:chartTrackingRefBased/>
  <w15:docId w15:val="{AC12DE57-DCB8-484F-AFD1-67CF7672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B96"/>
  </w:style>
  <w:style w:type="paragraph" w:styleId="Heading1">
    <w:name w:val="heading 1"/>
    <w:basedOn w:val="Normal"/>
    <w:next w:val="Normal"/>
    <w:link w:val="Heading1Char"/>
    <w:uiPriority w:val="9"/>
    <w:qFormat/>
    <w:rsid w:val="00A03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9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9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9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55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BENNET, Sarah (CHELSEA AND WESTMINSTER HOSPITAL NHS FOUNDATION TRUST)</dc:creator>
  <cp:keywords/>
  <dc:description/>
  <cp:lastModifiedBy>BENNET, Sarah (CHELSEA AND WESTMINSTER HOSPITAL NHS FOUNDATION TRUST)</cp:lastModifiedBy>
  <cp:revision>6</cp:revision>
  <dcterms:created xsi:type="dcterms:W3CDTF">2026-05-06T11:53:00Z</dcterms:created>
  <dcterms:modified xsi:type="dcterms:W3CDTF">2026-05-07T11:18:00Z</dcterms:modified>
</cp:coreProperties>
</file>