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7D0CD8">
      <w:pPr>
        <w:suppressLineNumbers/>
        <w:spacing w:before="240" w:after="120" w:line="480" w:lineRule="auto"/>
        <w:jc w:val="center"/>
        <w:rPr>
          <w:rFonts w:ascii="Times New Roman" w:hAnsi="Times New Roman" w:eastAsia="ＭＳ 明朝" w:cs="Times New Roman"/>
          <w:b w:val="0"/>
          <w:i/>
          <w:sz w:val="32"/>
          <w:szCs w:val="32"/>
          <w:lang w:val="en-US" w:eastAsia="en-US" w:bidi="ar-SA"/>
        </w:rPr>
      </w:pPr>
      <w:r>
        <w:rPr>
          <w:rFonts w:ascii="Times New Roman" w:hAnsi="Times New Roman" w:eastAsia="ＭＳ 明朝" w:cs="Times New Roman"/>
          <w:b/>
          <w:i/>
          <w:sz w:val="32"/>
          <w:szCs w:val="32"/>
          <w:lang w:val="en-US" w:eastAsia="en-US" w:bidi="ar-SA"/>
        </w:rPr>
        <w:t>Supplementary Material</w:t>
      </w:r>
    </w:p>
    <w:p w14:paraId="7E890899">
      <w:pPr>
        <w:spacing w:before="0" w:after="0" w:line="480" w:lineRule="auto"/>
        <w:rPr>
          <w:rFonts w:ascii="Times New Roman" w:hAnsi="Times New Roman" w:eastAsia="ＭＳ 明朝" w:cs="Times New Roman"/>
          <w:b/>
          <w:sz w:val="30"/>
          <w:szCs w:val="30"/>
          <w:lang w:val="en-US" w:eastAsia="zh-CN" w:bidi="ar-SA"/>
        </w:rPr>
      </w:pPr>
      <w:r>
        <w:rPr>
          <w:rFonts w:hint="eastAsia" w:ascii="Times New Roman" w:hAnsi="Times New Roman" w:eastAsia="ＭＳ 明朝" w:cs="Times New Roman"/>
          <w:b/>
          <w:sz w:val="30"/>
          <w:szCs w:val="30"/>
          <w:lang w:val="en-US" w:eastAsia="zh-CN" w:bidi="ar-SA"/>
        </w:rPr>
        <w:t>Immediate Histological Risk and One-Year Outcomes Following P16-Based Triage of HPV-Positive Women</w:t>
      </w:r>
    </w:p>
    <w:p w14:paraId="0BC155CF">
      <w:pPr>
        <w:spacing w:before="0" w:after="0" w:line="480" w:lineRule="auto"/>
        <w:rPr>
          <w:rFonts w:ascii="Times New Roman" w:hAnsi="Times New Roman" w:eastAsia="ＭＳ 明朝" w:cs="Times New Roman"/>
          <w:b/>
          <w:sz w:val="24"/>
          <w:szCs w:val="24"/>
          <w:highlight w:val="none"/>
          <w:lang w:val="en-US" w:eastAsia="zh-CN" w:bidi="ar-SA"/>
        </w:rPr>
      </w:pP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lang w:val="en-US" w:eastAsia="en-US" w:bidi="ar-SA"/>
        </w:rPr>
        <w:t>Jiaxing He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vertAlign w:val="superscript"/>
          <w:lang w:val="en-US" w:eastAsia="en-US" w:bidi="ar-SA"/>
        </w:rPr>
        <w:t>1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lang w:val="en-US" w:eastAsia="en-US" w:bidi="ar-SA"/>
        </w:rPr>
        <w:t>, Dongying Wang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vertAlign w:val="superscript"/>
          <w:lang w:val="en-US" w:eastAsia="en-US" w:bidi="ar-SA"/>
        </w:rPr>
        <w:t>1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lang w:val="en-US" w:eastAsia="en-US" w:bidi="ar-SA"/>
        </w:rPr>
        <w:t xml:space="preserve">, </w:t>
      </w:r>
      <w:r>
        <w:rPr>
          <w:rFonts w:hint="eastAsia" w:ascii="Times New Roman" w:hAnsi="Times New Roman" w:eastAsia="Times New Roman" w:cs="Times New Roman"/>
          <w:b/>
          <w:sz w:val="24"/>
          <w:szCs w:val="24"/>
          <w:highlight w:val="none"/>
          <w:lang w:val="en-US" w:eastAsia="en-US" w:bidi="ar-SA"/>
        </w:rPr>
        <w:t>Meiqi Fu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vertAlign w:val="superscript"/>
          <w:lang w:val="en-US" w:eastAsia="en-US" w:bidi="ar-SA"/>
        </w:rPr>
        <w:t>1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lang w:val="en-US" w:eastAsia="en-US" w:bidi="ar-SA"/>
        </w:rPr>
        <w:t xml:space="preserve">, </w:t>
      </w:r>
      <w:r>
        <w:rPr>
          <w:rFonts w:hint="eastAsia" w:ascii="Times New Roman" w:hAnsi="Times New Roman" w:eastAsia="Times New Roman" w:cs="Times New Roman"/>
          <w:b/>
          <w:sz w:val="24"/>
          <w:szCs w:val="24"/>
          <w:highlight w:val="none"/>
          <w:lang w:val="en-US" w:eastAsia="en-US" w:bidi="ar-SA"/>
        </w:rPr>
        <w:t xml:space="preserve"> Yishi W</w:t>
      </w:r>
      <w:r>
        <w:rPr>
          <w:rFonts w:hint="eastAsia" w:ascii="Times New Roman" w:hAnsi="Times New Roman" w:eastAsia="宋体" w:cs="Times New Roman"/>
          <w:b/>
          <w:sz w:val="24"/>
          <w:szCs w:val="24"/>
          <w:highlight w:val="none"/>
          <w:lang w:val="en-US" w:eastAsia="zh-CN" w:bidi="ar-SA"/>
        </w:rPr>
        <w:t>u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vertAlign w:val="superscript"/>
          <w:lang w:val="en-US" w:eastAsia="en-US" w:bidi="ar-SA"/>
        </w:rPr>
        <w:t>1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lang w:val="en-US" w:eastAsia="en-US" w:bidi="ar-SA"/>
        </w:rPr>
        <w:t>, Shuying Wu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vertAlign w:val="superscript"/>
          <w:lang w:val="en-US" w:eastAsia="en-US" w:bidi="ar-SA"/>
        </w:rPr>
        <w:t>1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lang w:val="en-US" w:eastAsia="en-US" w:bidi="ar-SA"/>
        </w:rPr>
        <w:t>,</w:t>
      </w:r>
      <w:r>
        <w:rPr>
          <w:rFonts w:hint="eastAsia" w:ascii="Times New Roman" w:hAnsi="Times New Roman" w:eastAsia="宋体" w:cs="Times New Roman"/>
          <w:b/>
          <w:sz w:val="24"/>
          <w:szCs w:val="24"/>
          <w:highlight w:val="none"/>
          <w:lang w:val="en-US" w:eastAsia="zh-CN" w:bidi="ar-SA"/>
        </w:rPr>
        <w:t xml:space="preserve"> </w:t>
      </w:r>
      <w:r>
        <w:rPr>
          <w:rFonts w:hint="eastAsia" w:ascii="Times New Roman" w:hAnsi="Times New Roman" w:eastAsia="Times New Roman" w:cs="Times New Roman"/>
          <w:b/>
          <w:sz w:val="24"/>
          <w:szCs w:val="24"/>
          <w:highlight w:val="none"/>
          <w:lang w:val="en-US" w:eastAsia="en-US" w:bidi="ar-SA"/>
        </w:rPr>
        <w:t>Fudi Sun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vertAlign w:val="superscript"/>
          <w:lang w:val="en-US" w:eastAsia="en-US" w:bidi="ar-SA"/>
        </w:rPr>
        <w:t>1</w:t>
      </w:r>
      <w:r>
        <w:rPr>
          <w:rFonts w:hint="eastAsia" w:ascii="Times New Roman" w:hAnsi="Times New Roman" w:eastAsia="Times New Roman" w:cs="Times New Roman"/>
          <w:b/>
          <w:sz w:val="24"/>
          <w:szCs w:val="24"/>
          <w:highlight w:val="none"/>
          <w:lang w:val="en-US" w:eastAsia="en-US" w:bidi="ar-SA"/>
        </w:rPr>
        <w:t>,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lang w:val="en-US" w:eastAsia="en-US" w:bidi="ar-SA"/>
        </w:rPr>
        <w:t xml:space="preserve"> </w:t>
      </w:r>
      <w:r>
        <w:rPr>
          <w:rFonts w:hint="eastAsia" w:eastAsia="宋体" w:cs="Times New Roman"/>
          <w:b/>
          <w:sz w:val="24"/>
          <w:szCs w:val="24"/>
          <w:highlight w:val="none"/>
          <w:lang w:val="en-US" w:eastAsia="zh-CN" w:bidi="ar-SA"/>
        </w:rPr>
        <w:t>Yongxiang Wang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vertAlign w:val="superscript"/>
          <w:lang w:val="en-US" w:eastAsia="en-US" w:bidi="ar-SA"/>
        </w:rPr>
        <w:t>1</w:t>
      </w:r>
      <w:r>
        <w:rPr>
          <w:rFonts w:hint="eastAsia" w:eastAsia="宋体" w:cs="Times New Roman"/>
          <w:b/>
          <w:sz w:val="24"/>
          <w:szCs w:val="24"/>
          <w:highlight w:val="none"/>
          <w:lang w:val="en-US" w:eastAsia="zh-CN" w:bidi="ar-SA"/>
        </w:rPr>
        <w:t>, Ge Liu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vertAlign w:val="superscript"/>
          <w:lang w:val="en-US" w:eastAsia="en-US" w:bidi="ar-SA"/>
        </w:rPr>
        <w:t>1</w:t>
      </w:r>
      <w:r>
        <w:rPr>
          <w:rFonts w:hint="eastAsia" w:eastAsia="宋体" w:cs="Times New Roman"/>
          <w:b/>
          <w:sz w:val="24"/>
          <w:szCs w:val="24"/>
          <w:highlight w:val="none"/>
          <w:lang w:val="en-US" w:eastAsia="zh-CN" w:bidi="ar-SA"/>
        </w:rPr>
        <w:t xml:space="preserve">, </w:t>
      </w:r>
      <w:r>
        <w:rPr>
          <w:rFonts w:hint="eastAsia" w:ascii="Times New Roman" w:hAnsi="Times New Roman" w:eastAsia="Times New Roman" w:cs="Times New Roman"/>
          <w:b/>
          <w:sz w:val="24"/>
          <w:szCs w:val="24"/>
          <w:highlight w:val="none"/>
          <w:lang w:val="en-US" w:eastAsia="zh-CN" w:bidi="ar-SA"/>
        </w:rPr>
        <w:t>and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lang w:val="en-US" w:eastAsia="en-US" w:bidi="ar-SA"/>
        </w:rPr>
        <w:t xml:space="preserve"> Tianmin Xu</w:t>
      </w:r>
      <w:r>
        <w:rPr>
          <w:rFonts w:ascii="Times New Roman" w:hAnsi="Times New Roman" w:eastAsia="Times New Roman" w:cs="Times New Roman"/>
          <w:b/>
          <w:sz w:val="24"/>
          <w:szCs w:val="24"/>
          <w:highlight w:val="none"/>
          <w:vertAlign w:val="superscript"/>
          <w:lang w:val="en-US" w:eastAsia="en-US" w:bidi="ar-SA"/>
        </w:rPr>
        <w:t>1*</w:t>
      </w:r>
    </w:p>
    <w:p w14:paraId="569BA98D">
      <w:pPr>
        <w:spacing w:before="0" w:after="0" w:line="480" w:lineRule="auto"/>
        <w:rPr>
          <w:rFonts w:ascii="Times New Roman" w:hAnsi="Times New Roman" w:eastAsia="ＭＳ 明朝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</w:rPr>
        <w:t>Department of Gynaecology and Obstetrics, The Bethune Second Hospital of Jilin University, Changchun, Jilin, P.R. China.</w:t>
      </w:r>
    </w:p>
    <w:p w14:paraId="54CE6920">
      <w:pPr>
        <w:spacing w:before="0" w:after="0" w:line="480" w:lineRule="auto"/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* Correspondence: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 w:type="textWrapping"/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Tianmin Xu: 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</w:rPr>
        <w:fldChar w:fldCharType="begin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</w:rPr>
        <w:instrText xml:space="preserve"> HYPERLINK "mailto:xutm@jlu.edu.cn" </w:instrTex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</w:rPr>
        <w:fldChar w:fldCharType="separate"/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</w:rPr>
        <w:t>xutm@jlu.edu.cn</w:t>
      </w:r>
      <w:r>
        <w:rPr>
          <w:rFonts w:ascii="Times New Roman" w:hAnsi="Times New Roman" w:eastAsia="Times New Roman" w:cs="Times New Roman"/>
          <w:color w:val="0000FF"/>
          <w:sz w:val="24"/>
          <w:szCs w:val="24"/>
          <w:u w:val="single"/>
        </w:rPr>
        <w:fldChar w:fldCharType="end"/>
      </w:r>
    </w:p>
    <w:p w14:paraId="1E7F9D73">
      <w:pPr>
        <w:spacing w:before="240" w:after="0" w:line="480" w:lineRule="auto"/>
        <w:rPr>
          <w:rFonts w:ascii="Times New Roman" w:hAnsi="Times New Roman" w:eastAsia="ＭＳ 明朝" w:cs="Times New Roman"/>
          <w:sz w:val="24"/>
        </w:rPr>
      </w:pPr>
      <w:r>
        <w:rPr>
          <w:rFonts w:ascii="Times New Roman" w:hAnsi="Times New Roman" w:eastAsia="ＭＳ 明朝" w:cs="Times New Roman"/>
          <w:sz w:val="24"/>
        </w:rPr>
        <w:t>Supplementary Data</w:t>
      </w:r>
    </w:p>
    <w:p w14:paraId="5D64FE6E">
      <w:pPr>
        <w:numPr>
          <w:ilvl w:val="0"/>
          <w:numId w:val="7"/>
        </w:numPr>
        <w:spacing w:before="240" w:after="240" w:line="480" w:lineRule="auto"/>
        <w:contextualSpacing w:val="0"/>
        <w:outlineLvl w:val="0"/>
        <w:rPr>
          <w:rFonts w:ascii="Times New Roman" w:hAnsi="Times New Roman" w:eastAsia="Cambria" w:cs="Times New Roman"/>
          <w:b/>
          <w:sz w:val="24"/>
          <w:szCs w:val="24"/>
          <w:lang w:val="en-US" w:eastAsia="en-US" w:bidi="ar-SA"/>
        </w:rPr>
      </w:pPr>
      <w:r>
        <w:rPr>
          <w:rFonts w:ascii="Times New Roman" w:hAnsi="Times New Roman" w:eastAsia="Cambria" w:cs="Times New Roman"/>
          <w:b/>
          <w:sz w:val="24"/>
          <w:szCs w:val="24"/>
          <w:lang w:val="en-US" w:eastAsia="en-US" w:bidi="ar-SA"/>
        </w:rPr>
        <w:t>Supplementary Tables</w:t>
      </w:r>
    </w:p>
    <w:p w14:paraId="53F79931">
      <w:pPr>
        <w:spacing w:before="0" w:after="120" w:line="300" w:lineRule="auto"/>
        <w:rPr>
          <w:rFonts w:ascii="Arial" w:hAnsi="Arial" w:eastAsia="Arial"/>
          <w:b/>
          <w:sz w:val="20"/>
        </w:rPr>
      </w:pPr>
    </w:p>
    <w:p w14:paraId="614BDCFA">
      <w:pPr>
        <w:spacing w:before="0" w:after="120" w:line="300" w:lineRule="auto"/>
        <w:rPr>
          <w:rFonts w:ascii="Arial" w:hAnsi="Arial" w:eastAsia="Arial"/>
          <w:b/>
          <w:sz w:val="20"/>
        </w:rPr>
      </w:pPr>
    </w:p>
    <w:p w14:paraId="4841F393">
      <w:pPr>
        <w:spacing w:before="0" w:after="120" w:line="300" w:lineRule="auto"/>
        <w:rPr>
          <w:rFonts w:ascii="Arial" w:hAnsi="Arial" w:eastAsia="Arial"/>
          <w:b/>
          <w:sz w:val="20"/>
        </w:rPr>
      </w:pPr>
    </w:p>
    <w:p w14:paraId="448082DC">
      <w:pPr>
        <w:spacing w:before="0" w:after="120" w:line="300" w:lineRule="auto"/>
        <w:rPr>
          <w:rFonts w:ascii="Arial" w:hAnsi="Arial" w:eastAsia="Arial"/>
          <w:b/>
          <w:sz w:val="20"/>
        </w:rPr>
      </w:pPr>
    </w:p>
    <w:p w14:paraId="18B45DAC">
      <w:pPr>
        <w:spacing w:before="0" w:after="120" w:line="300" w:lineRule="auto"/>
        <w:rPr>
          <w:rFonts w:ascii="Arial" w:hAnsi="Arial" w:eastAsia="Arial"/>
          <w:b/>
          <w:sz w:val="20"/>
        </w:rPr>
      </w:pPr>
    </w:p>
    <w:p w14:paraId="053C093B">
      <w:pPr>
        <w:spacing w:before="0" w:after="120" w:line="300" w:lineRule="auto"/>
        <w:rPr>
          <w:rFonts w:ascii="Arial" w:hAnsi="Arial" w:eastAsia="Arial"/>
          <w:b/>
          <w:sz w:val="20"/>
        </w:rPr>
      </w:pPr>
    </w:p>
    <w:p w14:paraId="351180AF">
      <w:pPr>
        <w:spacing w:before="0" w:after="120" w:line="300" w:lineRule="auto"/>
        <w:rPr>
          <w:rFonts w:ascii="Arial" w:hAnsi="Arial" w:eastAsia="Arial"/>
          <w:b/>
          <w:sz w:val="20"/>
        </w:rPr>
      </w:pPr>
    </w:p>
    <w:p w14:paraId="5285EF00">
      <w:pPr>
        <w:spacing w:before="0" w:after="120" w:line="300" w:lineRule="auto"/>
        <w:rPr>
          <w:rFonts w:ascii="Arial" w:hAnsi="Arial" w:eastAsia="Arial"/>
          <w:b/>
          <w:sz w:val="20"/>
        </w:rPr>
      </w:pPr>
    </w:p>
    <w:p w14:paraId="50A6015C">
      <w:pPr>
        <w:spacing w:before="0" w:after="120" w:line="300" w:lineRule="auto"/>
        <w:rPr>
          <w:rFonts w:ascii="Arial" w:hAnsi="Arial" w:eastAsia="Arial"/>
          <w:b/>
          <w:sz w:val="20"/>
        </w:rPr>
      </w:pPr>
    </w:p>
    <w:p w14:paraId="442E1A83">
      <w:pPr>
        <w:spacing w:before="0" w:after="120" w:line="300" w:lineRule="auto"/>
        <w:rPr>
          <w:rFonts w:ascii="Arial" w:hAnsi="Arial" w:eastAsia="Arial"/>
          <w:b/>
          <w:sz w:val="20"/>
        </w:rPr>
      </w:pPr>
    </w:p>
    <w:p w14:paraId="39DEF08D">
      <w:pPr>
        <w:spacing w:before="0" w:after="120" w:line="300" w:lineRule="auto"/>
        <w:rPr>
          <w:rFonts w:ascii="Arial" w:hAnsi="Arial" w:eastAsia="Arial"/>
          <w:b/>
          <w:sz w:val="20"/>
        </w:rPr>
      </w:pPr>
    </w:p>
    <w:p w14:paraId="3DF607A2">
      <w:pPr>
        <w:spacing w:before="0" w:after="120" w:line="300" w:lineRule="auto"/>
        <w:rPr>
          <w:rFonts w:ascii="Arial" w:hAnsi="Arial" w:eastAsia="Arial"/>
          <w:b/>
          <w:sz w:val="20"/>
        </w:rPr>
      </w:pPr>
    </w:p>
    <w:p w14:paraId="55FFE492">
      <w:pPr>
        <w:spacing w:before="0" w:after="120" w:line="300" w:lineRule="auto"/>
        <w:rPr>
          <w:rFonts w:ascii="Arial" w:hAnsi="Arial" w:eastAsia="Arial"/>
          <w:b/>
          <w:sz w:val="20"/>
        </w:rPr>
      </w:pPr>
    </w:p>
    <w:p w14:paraId="2AE6F5C7">
      <w:pPr>
        <w:spacing w:before="0" w:after="120" w:line="300" w:lineRule="auto"/>
        <w:rPr>
          <w:rFonts w:ascii="Arial" w:hAnsi="Arial" w:eastAsia="Arial"/>
          <w:b/>
          <w:sz w:val="20"/>
        </w:rPr>
      </w:pPr>
    </w:p>
    <w:p w14:paraId="15DD2B3E">
      <w:pPr>
        <w:spacing w:before="0" w:after="120" w:line="300" w:lineRule="auto"/>
        <w:rPr>
          <w:rFonts w:ascii="Arial" w:hAnsi="Arial" w:eastAsia="Arial"/>
          <w:b/>
          <w:sz w:val="20"/>
        </w:rPr>
      </w:pPr>
    </w:p>
    <w:p w14:paraId="118A2FA1">
      <w:pPr>
        <w:spacing w:before="0" w:after="120" w:line="300" w:lineRule="auto"/>
        <w:rPr>
          <w:rFonts w:ascii="Arial" w:hAnsi="Arial" w:eastAsia="Arial"/>
          <w:b/>
          <w:sz w:val="20"/>
        </w:rPr>
        <w:sectPr>
          <w:pgSz w:w="11906" w:h="16838"/>
          <w:pgMar w:top="1440" w:right="1800" w:bottom="1440" w:left="1800" w:header="720" w:footer="720" w:gutter="0"/>
          <w:cols w:space="720" w:num="1"/>
          <w:docGrid w:linePitch="360" w:charSpace="0"/>
        </w:sectPr>
      </w:pPr>
    </w:p>
    <w:p w14:paraId="0D2E6142">
      <w:pPr>
        <w:rPr>
          <w:rFonts w:hint="eastAsia" w:ascii="Times New Roman" w:hAnsi="Times New Roman" w:eastAsia="宋体"/>
          <w:b/>
          <w:sz w:val="24"/>
          <w:lang w:val="en-US" w:eastAsia="zh-CN"/>
        </w:rPr>
      </w:pPr>
      <w:r>
        <w:rPr>
          <w:rFonts w:hint="eastAsia" w:ascii="Times New Roman" w:hAnsi="Times New Roman" w:eastAsia="Arial"/>
          <w:b/>
          <w:sz w:val="24"/>
        </w:rPr>
        <w:t>Supplementary Table 1. Baseline characteristics of women with and without histological confirmation</w:t>
      </w:r>
      <w:r>
        <w:rPr>
          <w:rFonts w:hint="eastAsia" w:ascii="Times New Roman" w:hAnsi="Times New Roman" w:eastAsia="宋体"/>
          <w:b/>
          <w:sz w:val="24"/>
          <w:lang w:val="en-US" w:eastAsia="zh-CN"/>
        </w:rPr>
        <w:t>.</w:t>
      </w:r>
    </w:p>
    <w:tbl>
      <w:tblPr>
        <w:tblStyle w:val="35"/>
        <w:tblW w:w="0" w:type="auto"/>
        <w:jc w:val="center"/>
        <w:tblBorders>
          <w:top w:val="single" w:color="3F3051" w:themeColor="accent4" w:themeShade="7F" w:sz="12" w:space="0"/>
          <w:left w:val="none" w:color="auto" w:sz="0" w:space="0"/>
          <w:bottom w:val="single" w:color="3F3051" w:themeColor="accent4" w:themeShade="7F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95"/>
        <w:gridCol w:w="3368"/>
        <w:gridCol w:w="2904"/>
        <w:gridCol w:w="1473"/>
        <w:gridCol w:w="1718"/>
      </w:tblGrid>
      <w:tr w14:paraId="69F74971">
        <w:tblPrEx>
          <w:tblBorders>
            <w:top w:val="single" w:color="3F3051" w:themeColor="accent4" w:themeShade="7F" w:sz="12" w:space="0"/>
            <w:left w:val="none" w:color="auto" w:sz="0" w:space="0"/>
            <w:bottom w:val="single" w:color="3F3051" w:themeColor="accent4" w:themeShade="7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  <w:jc w:val="center"/>
        </w:trPr>
        <w:tc>
          <w:tcPr>
            <w:tcW w:w="3895" w:type="dxa"/>
            <w:tcBorders>
              <w:bottom w:val="single" w:color="3B5F21" w:sz="8" w:space="0"/>
              <w:tl2br w:val="nil"/>
              <w:tr2bl w:val="nil"/>
            </w:tcBorders>
            <w:vAlign w:val="top"/>
          </w:tcPr>
          <w:p w14:paraId="737537C8"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sz w:val="21"/>
                <w:szCs w:val="21"/>
                <w:vertAlign w:val="baseline"/>
              </w:rPr>
              <w:t>Characteristics</w:t>
            </w:r>
          </w:p>
        </w:tc>
        <w:tc>
          <w:tcPr>
            <w:tcW w:w="3368" w:type="dxa"/>
            <w:tcBorders>
              <w:bottom w:val="single" w:color="3B5F21" w:sz="8" w:space="0"/>
              <w:tl2br w:val="nil"/>
              <w:tr2bl w:val="nil"/>
            </w:tcBorders>
            <w:vAlign w:val="top"/>
          </w:tcPr>
          <w:p w14:paraId="37264BC1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Without histological confirmation, n (%)</w:t>
            </w:r>
          </w:p>
        </w:tc>
        <w:tc>
          <w:tcPr>
            <w:tcW w:w="2904" w:type="dxa"/>
            <w:tcBorders>
              <w:bottom w:val="single" w:color="3B5F21" w:sz="8" w:space="0"/>
              <w:tl2br w:val="nil"/>
              <w:tr2bl w:val="nil"/>
            </w:tcBorders>
            <w:vAlign w:val="top"/>
          </w:tcPr>
          <w:p w14:paraId="4E55F50C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With histological confirmation, n (%)</w:t>
            </w:r>
          </w:p>
        </w:tc>
        <w:tc>
          <w:tcPr>
            <w:tcW w:w="1473" w:type="dxa"/>
            <w:tcBorders>
              <w:bottom w:val="single" w:color="3B5F21" w:sz="8" w:space="0"/>
              <w:tl2br w:val="nil"/>
              <w:tr2bl w:val="nil"/>
            </w:tcBorders>
            <w:vAlign w:val="top"/>
          </w:tcPr>
          <w:p w14:paraId="4D97313F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P value</w:t>
            </w:r>
          </w:p>
        </w:tc>
        <w:tc>
          <w:tcPr>
            <w:tcW w:w="1718" w:type="dxa"/>
            <w:tcBorders>
              <w:bottom w:val="single" w:color="3B5F21" w:sz="8" w:space="0"/>
              <w:tl2br w:val="nil"/>
              <w:tr2bl w:val="nil"/>
            </w:tcBorders>
            <w:vAlign w:val="top"/>
          </w:tcPr>
          <w:p w14:paraId="72AF2588">
            <w:pP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Standardized difference</w:t>
            </w:r>
          </w:p>
        </w:tc>
      </w:tr>
      <w:tr w14:paraId="11325E92">
        <w:tblPrEx>
          <w:tblBorders>
            <w:top w:val="single" w:color="3F3051" w:themeColor="accent4" w:themeShade="7F" w:sz="12" w:space="0"/>
            <w:left w:val="none" w:color="auto" w:sz="0" w:space="0"/>
            <w:bottom w:val="single" w:color="3F3051" w:themeColor="accent4" w:themeShade="7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  <w:jc w:val="center"/>
        </w:trPr>
        <w:tc>
          <w:tcPr>
            <w:tcW w:w="3895" w:type="dxa"/>
            <w:tcBorders>
              <w:top w:val="single" w:color="3B5F21" w:sz="8" w:space="0"/>
            </w:tcBorders>
            <w:vAlign w:val="top"/>
          </w:tcPr>
          <w:p w14:paraId="69C87159">
            <w:pP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Total</w:t>
            </w:r>
          </w:p>
        </w:tc>
        <w:tc>
          <w:tcPr>
            <w:tcW w:w="3368" w:type="dxa"/>
            <w:tcBorders>
              <w:top w:val="single" w:color="3B5F21" w:sz="8" w:space="0"/>
            </w:tcBorders>
            <w:vAlign w:val="center"/>
          </w:tcPr>
          <w:p w14:paraId="64A4EFF9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8,867 (100.0)</w:t>
            </w:r>
          </w:p>
        </w:tc>
        <w:tc>
          <w:tcPr>
            <w:tcW w:w="2904" w:type="dxa"/>
            <w:tcBorders>
              <w:top w:val="single" w:color="3B5F21" w:sz="8" w:space="0"/>
            </w:tcBorders>
            <w:vAlign w:val="center"/>
          </w:tcPr>
          <w:p w14:paraId="5403CC84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2,396 (100.0)</w:t>
            </w:r>
          </w:p>
        </w:tc>
        <w:tc>
          <w:tcPr>
            <w:tcW w:w="1473" w:type="dxa"/>
            <w:tcBorders>
              <w:top w:val="single" w:color="3B5F21" w:sz="8" w:space="0"/>
            </w:tcBorders>
            <w:vAlign w:val="center"/>
          </w:tcPr>
          <w:p w14:paraId="757093D5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  <w:tc>
          <w:tcPr>
            <w:tcW w:w="1718" w:type="dxa"/>
            <w:tcBorders>
              <w:top w:val="single" w:color="3B5F21" w:sz="8" w:space="0"/>
            </w:tcBorders>
            <w:vAlign w:val="center"/>
          </w:tcPr>
          <w:p w14:paraId="2B92EA43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-</w:t>
            </w:r>
          </w:p>
        </w:tc>
      </w:tr>
      <w:tr w14:paraId="55F51D55">
        <w:tblPrEx>
          <w:tblBorders>
            <w:top w:val="single" w:color="3F3051" w:themeColor="accent4" w:themeShade="7F" w:sz="12" w:space="0"/>
            <w:left w:val="none" w:color="auto" w:sz="0" w:space="0"/>
            <w:bottom w:val="single" w:color="3F3051" w:themeColor="accent4" w:themeShade="7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  <w:jc w:val="center"/>
        </w:trPr>
        <w:tc>
          <w:tcPr>
            <w:tcW w:w="3895" w:type="dxa"/>
            <w:tcBorders>
              <w:tl2br w:val="nil"/>
              <w:tr2bl w:val="nil"/>
            </w:tcBorders>
            <w:vAlign w:val="center"/>
          </w:tcPr>
          <w:p w14:paraId="34416A5A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Age &lt;=45 years</w:t>
            </w:r>
          </w:p>
        </w:tc>
        <w:tc>
          <w:tcPr>
            <w:tcW w:w="3368" w:type="dxa"/>
            <w:tcBorders>
              <w:tl2br w:val="nil"/>
              <w:tr2bl w:val="nil"/>
            </w:tcBorders>
            <w:vAlign w:val="center"/>
          </w:tcPr>
          <w:p w14:paraId="67CD14A5">
            <w:pP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3,162 (35.66)</w:t>
            </w:r>
          </w:p>
        </w:tc>
        <w:tc>
          <w:tcPr>
            <w:tcW w:w="2904" w:type="dxa"/>
            <w:tcBorders>
              <w:tl2br w:val="nil"/>
              <w:tr2bl w:val="nil"/>
            </w:tcBorders>
            <w:vAlign w:val="center"/>
          </w:tcPr>
          <w:p w14:paraId="2EA23A1A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1,180 (49.25)</w:t>
            </w:r>
          </w:p>
        </w:tc>
        <w:tc>
          <w:tcPr>
            <w:tcW w:w="14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6CDAB0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7922BE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0.278</w:t>
            </w:r>
          </w:p>
        </w:tc>
      </w:tr>
      <w:tr w14:paraId="32ABDF6A">
        <w:tblPrEx>
          <w:tblBorders>
            <w:top w:val="single" w:color="3F3051" w:themeColor="accent4" w:themeShade="7F" w:sz="12" w:space="0"/>
            <w:left w:val="none" w:color="auto" w:sz="0" w:space="0"/>
            <w:bottom w:val="single" w:color="3F3051" w:themeColor="accent4" w:themeShade="7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  <w:jc w:val="center"/>
        </w:trPr>
        <w:tc>
          <w:tcPr>
            <w:tcW w:w="3895" w:type="dxa"/>
            <w:tcBorders>
              <w:tl2br w:val="nil"/>
              <w:tr2bl w:val="nil"/>
            </w:tcBorders>
            <w:vAlign w:val="center"/>
          </w:tcPr>
          <w:p w14:paraId="2A098C65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Age &gt;45 years</w:t>
            </w:r>
          </w:p>
        </w:tc>
        <w:tc>
          <w:tcPr>
            <w:tcW w:w="3368" w:type="dxa"/>
            <w:tcBorders>
              <w:tl2br w:val="nil"/>
              <w:tr2bl w:val="nil"/>
            </w:tcBorders>
            <w:vAlign w:val="center"/>
          </w:tcPr>
          <w:p w14:paraId="6FDA3F02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5,705 (64.34)</w:t>
            </w:r>
          </w:p>
        </w:tc>
        <w:tc>
          <w:tcPr>
            <w:tcW w:w="2904" w:type="dxa"/>
            <w:tcBorders>
              <w:tl2br w:val="nil"/>
              <w:tr2bl w:val="nil"/>
            </w:tcBorders>
            <w:vAlign w:val="center"/>
          </w:tcPr>
          <w:p w14:paraId="05DF7B14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1,216 (50.75)</w:t>
            </w:r>
          </w:p>
        </w:tc>
        <w:tc>
          <w:tcPr>
            <w:tcW w:w="14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0302C2">
            <w:pPr>
              <w:rPr>
                <w:rFonts w:hint="default" w:ascii="Times New Roman" w:hAnsi="Times New Roman" w:eastAsia="Arial" w:cs="Times New Roman"/>
                <w:b w:val="0"/>
                <w:bCs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343C93">
            <w:pPr>
              <w:rPr>
                <w:rFonts w:hint="eastAsia" w:ascii="Times New Roman" w:hAnsi="Times New Roman" w:eastAsia="Arial" w:cs="Times New Roman"/>
                <w:b w:val="0"/>
                <w:bCs w:val="0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0.278</w:t>
            </w:r>
          </w:p>
        </w:tc>
      </w:tr>
      <w:tr w14:paraId="61A1BA89">
        <w:tblPrEx>
          <w:tblBorders>
            <w:top w:val="single" w:color="3F3051" w:themeColor="accent4" w:themeShade="7F" w:sz="12" w:space="0"/>
            <w:left w:val="none" w:color="auto" w:sz="0" w:space="0"/>
            <w:bottom w:val="single" w:color="3F3051" w:themeColor="accent4" w:themeShade="7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  <w:jc w:val="center"/>
        </w:trPr>
        <w:tc>
          <w:tcPr>
            <w:tcW w:w="3895" w:type="dxa"/>
            <w:tcBorders>
              <w:tl2br w:val="nil"/>
              <w:tr2bl w:val="nil"/>
            </w:tcBorders>
            <w:vAlign w:val="center"/>
          </w:tcPr>
          <w:p w14:paraId="223777F8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NILM cytology</w:t>
            </w:r>
          </w:p>
        </w:tc>
        <w:tc>
          <w:tcPr>
            <w:tcW w:w="3368" w:type="dxa"/>
            <w:tcBorders>
              <w:tl2br w:val="nil"/>
              <w:tr2bl w:val="nil"/>
            </w:tcBorders>
            <w:vAlign w:val="center"/>
          </w:tcPr>
          <w:p w14:paraId="60C80CFF">
            <w:pP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8,818 (99.45)</w:t>
            </w:r>
          </w:p>
        </w:tc>
        <w:tc>
          <w:tcPr>
            <w:tcW w:w="2904" w:type="dxa"/>
            <w:tcBorders>
              <w:tl2br w:val="nil"/>
              <w:tr2bl w:val="nil"/>
            </w:tcBorders>
            <w:vAlign w:val="center"/>
          </w:tcPr>
          <w:p w14:paraId="27CA5C67">
            <w:pP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793 (33.10)</w:t>
            </w:r>
          </w:p>
        </w:tc>
        <w:tc>
          <w:tcPr>
            <w:tcW w:w="14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E3130E">
            <w:pP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F95729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1.970</w:t>
            </w:r>
          </w:p>
        </w:tc>
      </w:tr>
      <w:tr w14:paraId="261028FA">
        <w:tblPrEx>
          <w:tblBorders>
            <w:top w:val="single" w:color="3F3051" w:themeColor="accent4" w:themeShade="7F" w:sz="12" w:space="0"/>
            <w:left w:val="none" w:color="auto" w:sz="0" w:space="0"/>
            <w:bottom w:val="single" w:color="3F3051" w:themeColor="accent4" w:themeShade="7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  <w:jc w:val="center"/>
        </w:trPr>
        <w:tc>
          <w:tcPr>
            <w:tcW w:w="3895" w:type="dxa"/>
            <w:tcBorders>
              <w:tl2br w:val="nil"/>
              <w:tr2bl w:val="nil"/>
            </w:tcBorders>
            <w:vAlign w:val="center"/>
          </w:tcPr>
          <w:p w14:paraId="225124F0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ASC-US+ cytology</w:t>
            </w:r>
          </w:p>
        </w:tc>
        <w:tc>
          <w:tcPr>
            <w:tcW w:w="3368" w:type="dxa"/>
            <w:tcBorders>
              <w:tl2br w:val="nil"/>
              <w:tr2bl w:val="nil"/>
            </w:tcBorders>
            <w:vAlign w:val="center"/>
          </w:tcPr>
          <w:p w14:paraId="346F6715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49 (0.55)</w:t>
            </w:r>
          </w:p>
        </w:tc>
        <w:tc>
          <w:tcPr>
            <w:tcW w:w="2904" w:type="dxa"/>
            <w:tcBorders>
              <w:tl2br w:val="nil"/>
              <w:tr2bl w:val="nil"/>
            </w:tcBorders>
            <w:vAlign w:val="center"/>
          </w:tcPr>
          <w:p w14:paraId="5C9C7207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1,603 (66.90)</w:t>
            </w:r>
          </w:p>
        </w:tc>
        <w:tc>
          <w:tcPr>
            <w:tcW w:w="1473" w:type="dxa"/>
            <w:tcBorders>
              <w:tl2br w:val="nil"/>
              <w:tr2bl w:val="nil"/>
            </w:tcBorders>
            <w:vAlign w:val="center"/>
          </w:tcPr>
          <w:p w14:paraId="15AEB2B2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vAlign w:val="center"/>
          </w:tcPr>
          <w:p w14:paraId="013F5CB0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1.970</w:t>
            </w:r>
          </w:p>
        </w:tc>
      </w:tr>
      <w:tr w14:paraId="5F60B11F">
        <w:tblPrEx>
          <w:tblBorders>
            <w:top w:val="single" w:color="3F3051" w:themeColor="accent4" w:themeShade="7F" w:sz="12" w:space="0"/>
            <w:left w:val="none" w:color="auto" w:sz="0" w:space="0"/>
            <w:bottom w:val="single" w:color="3F3051" w:themeColor="accent4" w:themeShade="7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  <w:jc w:val="center"/>
        </w:trPr>
        <w:tc>
          <w:tcPr>
            <w:tcW w:w="3895" w:type="dxa"/>
            <w:tcBorders>
              <w:tl2br w:val="nil"/>
              <w:tr2bl w:val="nil"/>
            </w:tcBorders>
            <w:vAlign w:val="center"/>
          </w:tcPr>
          <w:p w14:paraId="514D276D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High-grade cytology (ASC-H+)</w:t>
            </w:r>
          </w:p>
        </w:tc>
        <w:tc>
          <w:tcPr>
            <w:tcW w:w="3368" w:type="dxa"/>
            <w:tcBorders>
              <w:tl2br w:val="nil"/>
              <w:tr2bl w:val="nil"/>
            </w:tcBorders>
            <w:vAlign w:val="center"/>
          </w:tcPr>
          <w:p w14:paraId="7BBA43B6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20 (0.23)</w:t>
            </w:r>
          </w:p>
        </w:tc>
        <w:tc>
          <w:tcPr>
            <w:tcW w:w="2904" w:type="dxa"/>
            <w:tcBorders>
              <w:tl2br w:val="nil"/>
              <w:tr2bl w:val="nil"/>
            </w:tcBorders>
            <w:vAlign w:val="center"/>
          </w:tcPr>
          <w:p w14:paraId="4B649089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527 (21.99)</w:t>
            </w:r>
          </w:p>
        </w:tc>
        <w:tc>
          <w:tcPr>
            <w:tcW w:w="1473" w:type="dxa"/>
            <w:tcBorders>
              <w:tl2br w:val="nil"/>
              <w:tr2bl w:val="nil"/>
            </w:tcBorders>
            <w:vAlign w:val="center"/>
          </w:tcPr>
          <w:p w14:paraId="779788AA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vAlign w:val="center"/>
          </w:tcPr>
          <w:p w14:paraId="6596F078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0.738</w:t>
            </w:r>
          </w:p>
        </w:tc>
      </w:tr>
      <w:tr w14:paraId="7D4D4E6D">
        <w:tblPrEx>
          <w:tblBorders>
            <w:top w:val="single" w:color="3F3051" w:themeColor="accent4" w:themeShade="7F" w:sz="12" w:space="0"/>
            <w:left w:val="none" w:color="auto" w:sz="0" w:space="0"/>
            <w:bottom w:val="single" w:color="3F3051" w:themeColor="accent4" w:themeShade="7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  <w:jc w:val="center"/>
        </w:trPr>
        <w:tc>
          <w:tcPr>
            <w:tcW w:w="3895" w:type="dxa"/>
            <w:tcBorders>
              <w:tl2br w:val="nil"/>
              <w:tr2bl w:val="nil"/>
            </w:tcBorders>
            <w:vAlign w:val="center"/>
          </w:tcPr>
          <w:p w14:paraId="279D0A1A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HPV negative</w:t>
            </w:r>
          </w:p>
        </w:tc>
        <w:tc>
          <w:tcPr>
            <w:tcW w:w="3368" w:type="dxa"/>
            <w:tcBorders>
              <w:tl2br w:val="nil"/>
              <w:tr2bl w:val="nil"/>
            </w:tcBorders>
            <w:vAlign w:val="center"/>
          </w:tcPr>
          <w:p w14:paraId="4C317A1C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8,841 (99.71)</w:t>
            </w:r>
          </w:p>
        </w:tc>
        <w:tc>
          <w:tcPr>
            <w:tcW w:w="2904" w:type="dxa"/>
            <w:tcBorders>
              <w:tl2br w:val="nil"/>
              <w:tr2bl w:val="nil"/>
            </w:tcBorders>
            <w:vAlign w:val="center"/>
          </w:tcPr>
          <w:p w14:paraId="59B49CCA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877 (36.60)</w:t>
            </w:r>
          </w:p>
        </w:tc>
        <w:tc>
          <w:tcPr>
            <w:tcW w:w="147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3B1573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8DC1FC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1.841</w:t>
            </w:r>
          </w:p>
        </w:tc>
      </w:tr>
      <w:tr w14:paraId="24822AD3">
        <w:tblPrEx>
          <w:tblBorders>
            <w:top w:val="single" w:color="3F3051" w:themeColor="accent4" w:themeShade="7F" w:sz="12" w:space="0"/>
            <w:left w:val="none" w:color="auto" w:sz="0" w:space="0"/>
            <w:bottom w:val="single" w:color="3F3051" w:themeColor="accent4" w:themeShade="7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  <w:jc w:val="center"/>
        </w:trPr>
        <w:tc>
          <w:tcPr>
            <w:tcW w:w="3895" w:type="dxa"/>
            <w:tcBorders>
              <w:tl2br w:val="nil"/>
              <w:tr2bl w:val="nil"/>
            </w:tcBorders>
            <w:vAlign w:val="center"/>
          </w:tcPr>
          <w:p w14:paraId="2C513000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HPV16/18 positive</w:t>
            </w:r>
          </w:p>
        </w:tc>
        <w:tc>
          <w:tcPr>
            <w:tcW w:w="3368" w:type="dxa"/>
            <w:tcBorders>
              <w:tl2br w:val="nil"/>
              <w:tr2bl w:val="nil"/>
            </w:tcBorders>
            <w:vAlign w:val="center"/>
          </w:tcPr>
          <w:p w14:paraId="00FE4842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 (0.10)</w:t>
            </w:r>
          </w:p>
        </w:tc>
        <w:tc>
          <w:tcPr>
            <w:tcW w:w="2904" w:type="dxa"/>
            <w:tcBorders>
              <w:tl2br w:val="nil"/>
              <w:tr2bl w:val="nil"/>
            </w:tcBorders>
            <w:vAlign w:val="center"/>
          </w:tcPr>
          <w:p w14:paraId="1DE10991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266 (11.10)</w:t>
            </w:r>
          </w:p>
        </w:tc>
        <w:tc>
          <w:tcPr>
            <w:tcW w:w="1473" w:type="dxa"/>
            <w:tcBorders>
              <w:tl2br w:val="nil"/>
              <w:tr2bl w:val="nil"/>
            </w:tcBorders>
            <w:vAlign w:val="center"/>
          </w:tcPr>
          <w:p w14:paraId="220085FF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vAlign w:val="center"/>
          </w:tcPr>
          <w:p w14:paraId="1FF69A43">
            <w:pP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0.493</w:t>
            </w:r>
          </w:p>
        </w:tc>
      </w:tr>
      <w:tr w14:paraId="4C023190">
        <w:tblPrEx>
          <w:tblBorders>
            <w:top w:val="single" w:color="3F3051" w:themeColor="accent4" w:themeShade="7F" w:sz="12" w:space="0"/>
            <w:left w:val="none" w:color="auto" w:sz="0" w:space="0"/>
            <w:bottom w:val="single" w:color="3F3051" w:themeColor="accent4" w:themeShade="7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  <w:jc w:val="center"/>
        </w:trPr>
        <w:tc>
          <w:tcPr>
            <w:tcW w:w="3895" w:type="dxa"/>
            <w:tcBorders>
              <w:tl2br w:val="nil"/>
              <w:tr2bl w:val="nil"/>
            </w:tcBorders>
            <w:vAlign w:val="center"/>
          </w:tcPr>
          <w:p w14:paraId="7DEB25B5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Other hrHPV positive</w:t>
            </w:r>
          </w:p>
        </w:tc>
        <w:tc>
          <w:tcPr>
            <w:tcW w:w="3368" w:type="dxa"/>
            <w:tcBorders>
              <w:tl2br w:val="nil"/>
              <w:tr2bl w:val="nil"/>
            </w:tcBorders>
            <w:vAlign w:val="center"/>
          </w:tcPr>
          <w:p w14:paraId="1F3DA88A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15 (0.17)</w:t>
            </w:r>
          </w:p>
        </w:tc>
        <w:tc>
          <w:tcPr>
            <w:tcW w:w="2904" w:type="dxa"/>
            <w:tcBorders>
              <w:tl2br w:val="nil"/>
              <w:tr2bl w:val="nil"/>
            </w:tcBorders>
            <w:vAlign w:val="center"/>
          </w:tcPr>
          <w:p w14:paraId="16AFF07A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1,216 (50.75)</w:t>
            </w:r>
          </w:p>
        </w:tc>
        <w:tc>
          <w:tcPr>
            <w:tcW w:w="1473" w:type="dxa"/>
            <w:tcBorders>
              <w:tl2br w:val="nil"/>
              <w:tr2bl w:val="nil"/>
            </w:tcBorders>
            <w:vAlign w:val="center"/>
          </w:tcPr>
          <w:p w14:paraId="147E9637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vAlign w:val="center"/>
          </w:tcPr>
          <w:p w14:paraId="3BE98ABB">
            <w:pP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1.426</w:t>
            </w:r>
          </w:p>
        </w:tc>
      </w:tr>
      <w:tr w14:paraId="16C12937">
        <w:tblPrEx>
          <w:tblBorders>
            <w:top w:val="single" w:color="3F3051" w:themeColor="accent4" w:themeShade="7F" w:sz="12" w:space="0"/>
            <w:left w:val="none" w:color="auto" w:sz="0" w:space="0"/>
            <w:bottom w:val="single" w:color="3F3051" w:themeColor="accent4" w:themeShade="7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  <w:jc w:val="center"/>
        </w:trPr>
        <w:tc>
          <w:tcPr>
            <w:tcW w:w="3895" w:type="dxa"/>
            <w:tcBorders>
              <w:tl2br w:val="nil"/>
              <w:tr2bl w:val="nil"/>
            </w:tcBorders>
            <w:vAlign w:val="center"/>
          </w:tcPr>
          <w:p w14:paraId="7DF0D0DC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Multiple HPV infection</w:t>
            </w:r>
          </w:p>
        </w:tc>
        <w:tc>
          <w:tcPr>
            <w:tcW w:w="3368" w:type="dxa"/>
            <w:tcBorders>
              <w:tl2br w:val="nil"/>
              <w:tr2bl w:val="nil"/>
            </w:tcBorders>
            <w:vAlign w:val="center"/>
          </w:tcPr>
          <w:p w14:paraId="740513C2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 (0.02)</w:t>
            </w:r>
          </w:p>
        </w:tc>
        <w:tc>
          <w:tcPr>
            <w:tcW w:w="2904" w:type="dxa"/>
            <w:tcBorders>
              <w:tl2br w:val="nil"/>
              <w:tr2bl w:val="nil"/>
            </w:tcBorders>
            <w:vAlign w:val="center"/>
          </w:tcPr>
          <w:p w14:paraId="1A3C5E39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37 (1.54)</w:t>
            </w:r>
          </w:p>
        </w:tc>
        <w:tc>
          <w:tcPr>
            <w:tcW w:w="1473" w:type="dxa"/>
            <w:tcBorders>
              <w:tl2br w:val="nil"/>
              <w:tr2bl w:val="nil"/>
            </w:tcBorders>
            <w:vAlign w:val="center"/>
          </w:tcPr>
          <w:p w14:paraId="77AE1D0D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vAlign w:val="center"/>
          </w:tcPr>
          <w:p w14:paraId="08944AF2">
            <w:pP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0.173</w:t>
            </w:r>
          </w:p>
        </w:tc>
      </w:tr>
      <w:tr w14:paraId="10E99E75">
        <w:tblPrEx>
          <w:tblBorders>
            <w:top w:val="single" w:color="3F3051" w:themeColor="accent4" w:themeShade="7F" w:sz="12" w:space="0"/>
            <w:left w:val="none" w:color="auto" w:sz="0" w:space="0"/>
            <w:bottom w:val="single" w:color="3F3051" w:themeColor="accent4" w:themeShade="7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  <w:jc w:val="center"/>
        </w:trPr>
        <w:tc>
          <w:tcPr>
            <w:tcW w:w="3895" w:type="dxa"/>
            <w:tcBorders>
              <w:tl2br w:val="nil"/>
              <w:tr2bl w:val="nil"/>
            </w:tcBorders>
            <w:vAlign w:val="center"/>
          </w:tcPr>
          <w:p w14:paraId="6297F7D9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P16 negative</w:t>
            </w:r>
          </w:p>
        </w:tc>
        <w:tc>
          <w:tcPr>
            <w:tcW w:w="3368" w:type="dxa"/>
            <w:tcBorders>
              <w:tl2br w:val="nil"/>
              <w:tr2bl w:val="nil"/>
            </w:tcBorders>
            <w:vAlign w:val="center"/>
          </w:tcPr>
          <w:p w14:paraId="2129431A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6,982 (78.74)</w:t>
            </w:r>
          </w:p>
        </w:tc>
        <w:tc>
          <w:tcPr>
            <w:tcW w:w="2904" w:type="dxa"/>
            <w:tcBorders>
              <w:tl2br w:val="nil"/>
              <w:tr2bl w:val="nil"/>
            </w:tcBorders>
            <w:vAlign w:val="center"/>
          </w:tcPr>
          <w:p w14:paraId="02ED8036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1,082 (45.16)</w:t>
            </w:r>
          </w:p>
        </w:tc>
        <w:tc>
          <w:tcPr>
            <w:tcW w:w="1473" w:type="dxa"/>
            <w:tcBorders>
              <w:tl2br w:val="nil"/>
              <w:tr2bl w:val="nil"/>
            </w:tcBorders>
            <w:vAlign w:val="center"/>
          </w:tcPr>
          <w:p w14:paraId="76C4A24E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vAlign w:val="center"/>
          </w:tcPr>
          <w:p w14:paraId="35B995FA">
            <w:pP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0.737</w:t>
            </w:r>
          </w:p>
        </w:tc>
      </w:tr>
      <w:tr w14:paraId="02C37B2E">
        <w:tblPrEx>
          <w:tblBorders>
            <w:top w:val="single" w:color="3F3051" w:themeColor="accent4" w:themeShade="7F" w:sz="12" w:space="0"/>
            <w:left w:val="none" w:color="auto" w:sz="0" w:space="0"/>
            <w:bottom w:val="single" w:color="3F3051" w:themeColor="accent4" w:themeShade="7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  <w:jc w:val="center"/>
        </w:trPr>
        <w:tc>
          <w:tcPr>
            <w:tcW w:w="3895" w:type="dxa"/>
            <w:tcBorders>
              <w:tl2br w:val="nil"/>
              <w:tr2bl w:val="nil"/>
            </w:tcBorders>
            <w:vAlign w:val="center"/>
          </w:tcPr>
          <w:p w14:paraId="1567EA48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P16 positive</w:t>
            </w:r>
          </w:p>
        </w:tc>
        <w:tc>
          <w:tcPr>
            <w:tcW w:w="3368" w:type="dxa"/>
            <w:tcBorders>
              <w:tl2br w:val="nil"/>
              <w:tr2bl w:val="nil"/>
            </w:tcBorders>
            <w:vAlign w:val="center"/>
          </w:tcPr>
          <w:p w14:paraId="13A05AA3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1,885 (21.26)</w:t>
            </w:r>
          </w:p>
        </w:tc>
        <w:tc>
          <w:tcPr>
            <w:tcW w:w="2904" w:type="dxa"/>
            <w:tcBorders>
              <w:tl2br w:val="nil"/>
              <w:tr2bl w:val="nil"/>
            </w:tcBorders>
            <w:vAlign w:val="center"/>
          </w:tcPr>
          <w:p w14:paraId="2B0C4CB3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1,314 (54.84)</w:t>
            </w:r>
          </w:p>
        </w:tc>
        <w:tc>
          <w:tcPr>
            <w:tcW w:w="1473" w:type="dxa"/>
            <w:tcBorders>
              <w:tl2br w:val="nil"/>
              <w:tr2bl w:val="nil"/>
            </w:tcBorders>
            <w:vAlign w:val="center"/>
          </w:tcPr>
          <w:p w14:paraId="7BC5CD00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  <w:tc>
          <w:tcPr>
            <w:tcW w:w="1718" w:type="dxa"/>
            <w:tcBorders>
              <w:tl2br w:val="nil"/>
              <w:tr2bl w:val="nil"/>
            </w:tcBorders>
            <w:vAlign w:val="center"/>
          </w:tcPr>
          <w:p w14:paraId="47E1B5D5">
            <w:pP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0.737</w:t>
            </w:r>
          </w:p>
        </w:tc>
      </w:tr>
    </w:tbl>
    <w:p w14:paraId="5A6FE21B">
      <w:pPr>
        <w:rPr>
          <w:rFonts w:hint="eastAsia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Abbreviations:</w:t>
      </w:r>
      <w:r>
        <w:rPr>
          <w:rFonts w:hint="default" w:ascii="Times New Roman" w:hAnsi="Times New Roman" w:cs="Times New Roman"/>
        </w:rPr>
        <w:t xml:space="preserve"> ASC-US, atypical squamous cells of undetermined significance; ASC-H, atypical squamous cells-cannot exclude high-grade squamous intraepithelial lesion; hrHPV, high-risk human papillomavirus; NILM, negative for intraepithelial lesion or malignancy. </w:t>
      </w:r>
      <w:r>
        <w:rPr>
          <w:rFonts w:hint="default" w:ascii="Times New Roman" w:hAnsi="Times New Roman" w:cs="Times New Roman"/>
          <w:b/>
          <w:bCs/>
        </w:rPr>
        <w:t>Note</w:t>
      </w:r>
      <w:r>
        <w:rPr>
          <w:rFonts w:hint="default" w:ascii="Times New Roman" w:hAnsi="Times New Roman" w:cs="Times New Roman"/>
        </w:rPr>
        <w:t>: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</w:rPr>
        <w:t>Percentages were calculated within women with or without histological confirmation. P values compare the distribution of each characteristic between groups and are intended to describe referral enrichment and potential verification bias.</w:t>
      </w:r>
    </w:p>
    <w:p w14:paraId="169846A9">
      <w:pPr>
        <w:rPr>
          <w:rFonts w:hint="eastAsia" w:ascii="Times New Roman" w:hAnsi="Times New Roman" w:eastAsia="Arial"/>
          <w:b/>
          <w:sz w:val="24"/>
        </w:rPr>
      </w:pPr>
      <w:r>
        <w:rPr>
          <w:rFonts w:hint="eastAsia" w:ascii="Times New Roman" w:hAnsi="Times New Roman" w:eastAsia="Arial"/>
          <w:b/>
          <w:sz w:val="24"/>
        </w:rPr>
        <w:t xml:space="preserve">Supplementary Table </w:t>
      </w:r>
      <w:r>
        <w:rPr>
          <w:rFonts w:hint="eastAsia" w:ascii="Times New Roman" w:hAnsi="Times New Roman" w:eastAsia="宋体"/>
          <w:b/>
          <w:sz w:val="24"/>
          <w:lang w:val="en-US" w:eastAsia="zh-CN"/>
        </w:rPr>
        <w:t>2</w:t>
      </w:r>
      <w:r>
        <w:rPr>
          <w:rFonts w:hint="eastAsia" w:ascii="Times New Roman" w:hAnsi="Times New Roman" w:eastAsia="Arial"/>
          <w:b/>
          <w:sz w:val="24"/>
        </w:rPr>
        <w:t>. Distribution of HPV, cytology, and P16 results across histological categories.</w:t>
      </w:r>
    </w:p>
    <w:tbl>
      <w:tblPr>
        <w:tblStyle w:val="35"/>
        <w:tblW w:w="0" w:type="auto"/>
        <w:jc w:val="center"/>
        <w:tblBorders>
          <w:top w:val="single" w:color="3F3051" w:themeColor="accent4" w:themeShade="7F" w:sz="12" w:space="0"/>
          <w:left w:val="none" w:color="auto" w:sz="0" w:space="0"/>
          <w:bottom w:val="single" w:color="3F3051" w:themeColor="accent4" w:themeShade="7F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37"/>
        <w:gridCol w:w="2134"/>
        <w:gridCol w:w="1563"/>
        <w:gridCol w:w="1563"/>
        <w:gridCol w:w="1563"/>
        <w:gridCol w:w="1563"/>
        <w:gridCol w:w="1566"/>
      </w:tblGrid>
      <w:tr w14:paraId="6693F9E8">
        <w:tblPrEx>
          <w:tblBorders>
            <w:top w:val="single" w:color="3F3051" w:themeColor="accent4" w:themeShade="7F" w:sz="12" w:space="0"/>
            <w:left w:val="none" w:color="auto" w:sz="0" w:space="0"/>
            <w:bottom w:val="single" w:color="3F3051" w:themeColor="accent4" w:themeShade="7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637" w:type="dxa"/>
            <w:tcBorders>
              <w:bottom w:val="single" w:color="3B5F21" w:sz="8" w:space="0"/>
              <w:tl2br w:val="nil"/>
              <w:tr2bl w:val="nil"/>
            </w:tcBorders>
            <w:vAlign w:val="top"/>
          </w:tcPr>
          <w:p w14:paraId="3AFE762C">
            <w:pPr>
              <w:jc w:val="both"/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  <w:t>Variables</w:t>
            </w:r>
          </w:p>
        </w:tc>
        <w:tc>
          <w:tcPr>
            <w:tcW w:w="2134" w:type="dxa"/>
            <w:tcBorders>
              <w:bottom w:val="single" w:color="3B5F21" w:sz="8" w:space="0"/>
              <w:tl2br w:val="nil"/>
              <w:tr2bl w:val="nil"/>
            </w:tcBorders>
            <w:vAlign w:val="top"/>
          </w:tcPr>
          <w:p w14:paraId="0D0E2799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 xml:space="preserve">Normal 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(n=887)</w:t>
            </w:r>
          </w:p>
        </w:tc>
        <w:tc>
          <w:tcPr>
            <w:tcW w:w="1563" w:type="dxa"/>
            <w:tcBorders>
              <w:bottom w:val="single" w:color="3B5F21" w:sz="8" w:space="0"/>
              <w:tl2br w:val="nil"/>
              <w:tr2bl w:val="nil"/>
            </w:tcBorders>
            <w:vAlign w:val="top"/>
          </w:tcPr>
          <w:p w14:paraId="004994DB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 xml:space="preserve">CIN1  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(n=856)</w:t>
            </w:r>
          </w:p>
        </w:tc>
        <w:tc>
          <w:tcPr>
            <w:tcW w:w="1563" w:type="dxa"/>
            <w:tcBorders>
              <w:bottom w:val="single" w:color="3B5F21" w:sz="8" w:space="0"/>
              <w:tl2br w:val="nil"/>
              <w:tr2bl w:val="nil"/>
            </w:tcBorders>
            <w:vAlign w:val="top"/>
          </w:tcPr>
          <w:p w14:paraId="78C31BD1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 xml:space="preserve">CIN2  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(n=294)</w:t>
            </w:r>
          </w:p>
        </w:tc>
        <w:tc>
          <w:tcPr>
            <w:tcW w:w="1563" w:type="dxa"/>
            <w:tcBorders>
              <w:bottom w:val="single" w:color="3B5F21" w:sz="8" w:space="0"/>
              <w:tl2br w:val="nil"/>
              <w:tr2bl w:val="nil"/>
            </w:tcBorders>
            <w:vAlign w:val="top"/>
          </w:tcPr>
          <w:p w14:paraId="3E411C76">
            <w:pP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 xml:space="preserve">CIN3  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(n=324)</w:t>
            </w:r>
          </w:p>
        </w:tc>
        <w:tc>
          <w:tcPr>
            <w:tcW w:w="1563" w:type="dxa"/>
            <w:tcBorders>
              <w:bottom w:val="single" w:color="3B5F21" w:sz="8" w:space="0"/>
              <w:tl2br w:val="nil"/>
              <w:tr2bl w:val="nil"/>
            </w:tcBorders>
            <w:vAlign w:val="top"/>
          </w:tcPr>
          <w:p w14:paraId="1B32F770">
            <w:pP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 xml:space="preserve">Cancer  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(n=35)</w:t>
            </w:r>
          </w:p>
        </w:tc>
        <w:tc>
          <w:tcPr>
            <w:tcW w:w="1566" w:type="dxa"/>
            <w:tcBorders>
              <w:bottom w:val="single" w:color="3B5F21" w:sz="8" w:space="0"/>
              <w:tl2br w:val="nil"/>
              <w:tr2bl w:val="nil"/>
            </w:tcBorders>
            <w:vAlign w:val="top"/>
          </w:tcPr>
          <w:p w14:paraId="3C33484A">
            <w:pP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P for trend</w:t>
            </w:r>
          </w:p>
        </w:tc>
      </w:tr>
      <w:tr w14:paraId="4FACF9E0">
        <w:tblPrEx>
          <w:tblBorders>
            <w:top w:val="single" w:color="3F3051" w:themeColor="accent4" w:themeShade="7F" w:sz="12" w:space="0"/>
            <w:left w:val="none" w:color="auto" w:sz="0" w:space="0"/>
            <w:bottom w:val="single" w:color="3F3051" w:themeColor="accent4" w:themeShade="7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637" w:type="dxa"/>
            <w:tcBorders>
              <w:top w:val="single" w:color="3B5F21" w:sz="8" w:space="0"/>
            </w:tcBorders>
            <w:vAlign w:val="top"/>
          </w:tcPr>
          <w:p w14:paraId="225285FD">
            <w:pP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HPV positive</w:t>
            </w:r>
          </w:p>
        </w:tc>
        <w:tc>
          <w:tcPr>
            <w:tcW w:w="2134" w:type="dxa"/>
            <w:tcBorders>
              <w:top w:val="single" w:color="3B5F21" w:sz="8" w:space="0"/>
            </w:tcBorders>
            <w:vAlign w:val="top"/>
          </w:tcPr>
          <w:p w14:paraId="1CCFEDBA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244 (27.51%)</w:t>
            </w:r>
          </w:p>
        </w:tc>
        <w:tc>
          <w:tcPr>
            <w:tcW w:w="1563" w:type="dxa"/>
            <w:tcBorders>
              <w:top w:val="single" w:color="3B5F21" w:sz="8" w:space="0"/>
            </w:tcBorders>
            <w:vAlign w:val="top"/>
          </w:tcPr>
          <w:p w14:paraId="2F508E94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651 (76.05%)</w:t>
            </w:r>
          </w:p>
        </w:tc>
        <w:tc>
          <w:tcPr>
            <w:tcW w:w="1563" w:type="dxa"/>
            <w:tcBorders>
              <w:top w:val="single" w:color="3B5F21" w:sz="8" w:space="0"/>
            </w:tcBorders>
            <w:vAlign w:val="top"/>
          </w:tcPr>
          <w:p w14:paraId="0F3EF1E8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275 (93.54%)</w:t>
            </w:r>
          </w:p>
        </w:tc>
        <w:tc>
          <w:tcPr>
            <w:tcW w:w="1563" w:type="dxa"/>
            <w:tcBorders>
              <w:top w:val="single" w:color="3B5F21" w:sz="8" w:space="0"/>
            </w:tcBorders>
            <w:vAlign w:val="top"/>
          </w:tcPr>
          <w:p w14:paraId="18578762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316 (97.53%)</w:t>
            </w:r>
          </w:p>
        </w:tc>
        <w:tc>
          <w:tcPr>
            <w:tcW w:w="1563" w:type="dxa"/>
            <w:tcBorders>
              <w:top w:val="single" w:color="3B5F21" w:sz="8" w:space="0"/>
            </w:tcBorders>
            <w:vAlign w:val="top"/>
          </w:tcPr>
          <w:p w14:paraId="6DA85591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33 (94.29%)</w:t>
            </w:r>
          </w:p>
        </w:tc>
        <w:tc>
          <w:tcPr>
            <w:tcW w:w="1566" w:type="dxa"/>
            <w:tcBorders>
              <w:top w:val="single" w:color="3B5F21" w:sz="8" w:space="0"/>
            </w:tcBorders>
            <w:vAlign w:val="top"/>
          </w:tcPr>
          <w:p w14:paraId="42662C22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&lt;0.001</w:t>
            </w:r>
          </w:p>
        </w:tc>
      </w:tr>
      <w:tr w14:paraId="263502F9">
        <w:tblPrEx>
          <w:tblBorders>
            <w:top w:val="single" w:color="3F3051" w:themeColor="accent4" w:themeShade="7F" w:sz="12" w:space="0"/>
            <w:left w:val="none" w:color="auto" w:sz="0" w:space="0"/>
            <w:bottom w:val="single" w:color="3F3051" w:themeColor="accent4" w:themeShade="7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637" w:type="dxa"/>
            <w:tcBorders>
              <w:tl2br w:val="nil"/>
              <w:tr2bl w:val="nil"/>
            </w:tcBorders>
            <w:vAlign w:val="top"/>
          </w:tcPr>
          <w:p w14:paraId="0A8E68BB">
            <w:pP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</w:rPr>
              <w:t>HPV16/18 positive</w:t>
            </w:r>
          </w:p>
        </w:tc>
        <w:tc>
          <w:tcPr>
            <w:tcW w:w="2134" w:type="dxa"/>
            <w:tcBorders>
              <w:tl2br w:val="nil"/>
              <w:tr2bl w:val="nil"/>
            </w:tcBorders>
            <w:vAlign w:val="top"/>
          </w:tcPr>
          <w:p w14:paraId="206BB954">
            <w:pPr>
              <w:rPr>
                <w:rFonts w:hint="eastAsia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54 (6.09%)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1563" w:type="dxa"/>
            <w:tcBorders>
              <w:tl2br w:val="nil"/>
              <w:tr2bl w:val="nil"/>
            </w:tcBorders>
            <w:vAlign w:val="top"/>
          </w:tcPr>
          <w:p w14:paraId="2892A301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62 (7.24%)</w:t>
            </w:r>
          </w:p>
        </w:tc>
        <w:tc>
          <w:tcPr>
            <w:tcW w:w="156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6F0A2F2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  <w:t>52(17.69%)</w:t>
            </w:r>
          </w:p>
        </w:tc>
        <w:tc>
          <w:tcPr>
            <w:tcW w:w="156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782F2C1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79 (24.38%)</w:t>
            </w:r>
          </w:p>
        </w:tc>
        <w:tc>
          <w:tcPr>
            <w:tcW w:w="1563" w:type="dxa"/>
            <w:tcBorders>
              <w:tl2br w:val="nil"/>
              <w:tr2bl w:val="nil"/>
            </w:tcBorders>
            <w:vAlign w:val="top"/>
          </w:tcPr>
          <w:p w14:paraId="4F367652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19 (54.29%)</w:t>
            </w:r>
          </w:p>
        </w:tc>
        <w:tc>
          <w:tcPr>
            <w:tcW w:w="1566" w:type="dxa"/>
            <w:tcBorders>
              <w:tl2br w:val="nil"/>
              <w:tr2bl w:val="nil"/>
            </w:tcBorders>
            <w:vAlign w:val="top"/>
          </w:tcPr>
          <w:p w14:paraId="6111D76C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&lt;0.001</w:t>
            </w:r>
          </w:p>
        </w:tc>
      </w:tr>
      <w:tr w14:paraId="2EB13EA4">
        <w:tblPrEx>
          <w:tblBorders>
            <w:top w:val="single" w:color="3F3051" w:themeColor="accent4" w:themeShade="7F" w:sz="12" w:space="0"/>
            <w:left w:val="none" w:color="auto" w:sz="0" w:space="0"/>
            <w:bottom w:val="single" w:color="3F3051" w:themeColor="accent4" w:themeShade="7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637" w:type="dxa"/>
            <w:tcBorders>
              <w:tl2br w:val="nil"/>
              <w:tr2bl w:val="nil"/>
            </w:tcBorders>
            <w:vAlign w:val="top"/>
          </w:tcPr>
          <w:p w14:paraId="34DFDE0E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Other hrHPV positive</w:t>
            </w:r>
          </w:p>
        </w:tc>
        <w:tc>
          <w:tcPr>
            <w:tcW w:w="2134" w:type="dxa"/>
            <w:tcBorders>
              <w:tl2br w:val="nil"/>
              <w:tr2bl w:val="nil"/>
            </w:tcBorders>
            <w:vAlign w:val="top"/>
          </w:tcPr>
          <w:p w14:paraId="40BD7E65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  <w:t>183 (20.63%)</w:t>
            </w:r>
          </w:p>
        </w:tc>
        <w:tc>
          <w:tcPr>
            <w:tcW w:w="1563" w:type="dxa"/>
            <w:tcBorders>
              <w:tl2br w:val="nil"/>
              <w:tr2bl w:val="nil"/>
            </w:tcBorders>
            <w:vAlign w:val="top"/>
          </w:tcPr>
          <w:p w14:paraId="23EBB7DA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  <w:t>579 (67.64%)</w:t>
            </w:r>
          </w:p>
        </w:tc>
        <w:tc>
          <w:tcPr>
            <w:tcW w:w="156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31BD23A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215(73.13%)</w:t>
            </w:r>
          </w:p>
        </w:tc>
        <w:tc>
          <w:tcPr>
            <w:tcW w:w="156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557C936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  <w:t>227(70.06%)</w:t>
            </w:r>
          </w:p>
        </w:tc>
        <w:tc>
          <w:tcPr>
            <w:tcW w:w="1563" w:type="dxa"/>
            <w:tcBorders>
              <w:tl2br w:val="nil"/>
              <w:tr2bl w:val="nil"/>
            </w:tcBorders>
            <w:vAlign w:val="top"/>
          </w:tcPr>
          <w:p w14:paraId="6330C1E7">
            <w:pP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12 (34.29%)</w:t>
            </w:r>
          </w:p>
        </w:tc>
        <w:tc>
          <w:tcPr>
            <w:tcW w:w="1566" w:type="dxa"/>
            <w:tcBorders>
              <w:tl2br w:val="nil"/>
              <w:tr2bl w:val="nil"/>
            </w:tcBorders>
            <w:vAlign w:val="top"/>
          </w:tcPr>
          <w:p w14:paraId="49E7802C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&lt;0.001</w:t>
            </w:r>
          </w:p>
        </w:tc>
      </w:tr>
      <w:tr w14:paraId="34ADD775">
        <w:tblPrEx>
          <w:tblBorders>
            <w:top w:val="single" w:color="3F3051" w:themeColor="accent4" w:themeShade="7F" w:sz="12" w:space="0"/>
            <w:left w:val="none" w:color="auto" w:sz="0" w:space="0"/>
            <w:bottom w:val="single" w:color="3F3051" w:themeColor="accent4" w:themeShade="7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637" w:type="dxa"/>
            <w:tcBorders>
              <w:tl2br w:val="nil"/>
              <w:tr2bl w:val="nil"/>
            </w:tcBorders>
            <w:vAlign w:val="top"/>
          </w:tcPr>
          <w:p w14:paraId="2F8B158E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Multiple HPV infection</w:t>
            </w:r>
          </w:p>
        </w:tc>
        <w:tc>
          <w:tcPr>
            <w:tcW w:w="2134" w:type="dxa"/>
            <w:tcBorders>
              <w:tl2br w:val="nil"/>
              <w:tr2bl w:val="nil"/>
            </w:tcBorders>
            <w:vAlign w:val="top"/>
          </w:tcPr>
          <w:p w14:paraId="71081407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7 (0.79%)</w:t>
            </w:r>
          </w:p>
        </w:tc>
        <w:tc>
          <w:tcPr>
            <w:tcW w:w="1563" w:type="dxa"/>
            <w:tcBorders>
              <w:tl2br w:val="nil"/>
              <w:tr2bl w:val="nil"/>
            </w:tcBorders>
            <w:vAlign w:val="top"/>
          </w:tcPr>
          <w:p w14:paraId="41CAFB8E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10 (1.17%)</w:t>
            </w:r>
          </w:p>
        </w:tc>
        <w:tc>
          <w:tcPr>
            <w:tcW w:w="156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9A4AE1A"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  <w:t>8 (2.72%)</w:t>
            </w:r>
          </w:p>
        </w:tc>
        <w:tc>
          <w:tcPr>
            <w:tcW w:w="156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10CA446">
            <w:pP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10(3.09%)</w:t>
            </w:r>
          </w:p>
        </w:tc>
        <w:tc>
          <w:tcPr>
            <w:tcW w:w="1563" w:type="dxa"/>
            <w:tcBorders>
              <w:tl2br w:val="nil"/>
              <w:tr2bl w:val="nil"/>
            </w:tcBorders>
            <w:vAlign w:val="top"/>
          </w:tcPr>
          <w:p w14:paraId="0A75A7A4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 (5.71%)</w:t>
            </w:r>
          </w:p>
        </w:tc>
        <w:tc>
          <w:tcPr>
            <w:tcW w:w="1566" w:type="dxa"/>
            <w:tcBorders>
              <w:tl2br w:val="nil"/>
              <w:tr2bl w:val="nil"/>
            </w:tcBorders>
            <w:vAlign w:val="top"/>
          </w:tcPr>
          <w:p w14:paraId="01F07BE6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&lt;0.001</w:t>
            </w:r>
          </w:p>
        </w:tc>
      </w:tr>
      <w:tr w14:paraId="6EEA6B62">
        <w:tblPrEx>
          <w:tblBorders>
            <w:top w:val="single" w:color="3F3051" w:themeColor="accent4" w:themeShade="7F" w:sz="12" w:space="0"/>
            <w:left w:val="none" w:color="auto" w:sz="0" w:space="0"/>
            <w:bottom w:val="single" w:color="3F3051" w:themeColor="accent4" w:themeShade="7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637" w:type="dxa"/>
            <w:tcBorders>
              <w:tl2br w:val="nil"/>
              <w:tr2bl w:val="nil"/>
            </w:tcBorders>
            <w:vAlign w:val="top"/>
          </w:tcPr>
          <w:p w14:paraId="3A9F0FEB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highlight w:val="none"/>
                <w:vertAlign w:val="baseline"/>
                <w:lang w:val="en-US" w:eastAsia="zh-CN"/>
              </w:rPr>
              <w:t>Cytology abnormal (≥ASC-US)</w:t>
            </w:r>
          </w:p>
        </w:tc>
        <w:tc>
          <w:tcPr>
            <w:tcW w:w="2134" w:type="dxa"/>
            <w:tcBorders>
              <w:tl2br w:val="nil"/>
              <w:tr2bl w:val="nil"/>
            </w:tcBorders>
            <w:vAlign w:val="top"/>
          </w:tcPr>
          <w:p w14:paraId="71F8533C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371 (41.83%)</w:t>
            </w:r>
          </w:p>
        </w:tc>
        <w:tc>
          <w:tcPr>
            <w:tcW w:w="1563" w:type="dxa"/>
            <w:tcBorders>
              <w:tl2br w:val="nil"/>
              <w:tr2bl w:val="nil"/>
            </w:tcBorders>
            <w:vAlign w:val="top"/>
          </w:tcPr>
          <w:p w14:paraId="00E3638A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632 (73.83%)</w:t>
            </w:r>
          </w:p>
        </w:tc>
        <w:tc>
          <w:tcPr>
            <w:tcW w:w="1563" w:type="dxa"/>
            <w:tcBorders>
              <w:tl2br w:val="nil"/>
              <w:tr2bl w:val="nil"/>
            </w:tcBorders>
            <w:vAlign w:val="top"/>
          </w:tcPr>
          <w:p w14:paraId="25A37BA9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262(89.12%)</w:t>
            </w:r>
          </w:p>
        </w:tc>
        <w:tc>
          <w:tcPr>
            <w:tcW w:w="1563" w:type="dxa"/>
            <w:tcBorders>
              <w:tl2br w:val="nil"/>
              <w:tr2bl w:val="nil"/>
            </w:tcBorders>
            <w:vAlign w:val="top"/>
          </w:tcPr>
          <w:p w14:paraId="21E67E32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303(93.52%)</w:t>
            </w:r>
          </w:p>
        </w:tc>
        <w:tc>
          <w:tcPr>
            <w:tcW w:w="1563" w:type="dxa"/>
            <w:tcBorders>
              <w:tl2br w:val="nil"/>
              <w:tr2bl w:val="nil"/>
            </w:tcBorders>
            <w:vAlign w:val="top"/>
          </w:tcPr>
          <w:p w14:paraId="31D2F685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35 (100.00%)</w:t>
            </w:r>
          </w:p>
        </w:tc>
        <w:tc>
          <w:tcPr>
            <w:tcW w:w="1566" w:type="dxa"/>
            <w:tcBorders>
              <w:tl2br w:val="nil"/>
              <w:tr2bl w:val="nil"/>
            </w:tcBorders>
            <w:vAlign w:val="top"/>
          </w:tcPr>
          <w:p w14:paraId="7F172175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&lt;0.001</w:t>
            </w:r>
          </w:p>
        </w:tc>
      </w:tr>
      <w:tr w14:paraId="6087B1A9">
        <w:tblPrEx>
          <w:tblBorders>
            <w:top w:val="single" w:color="3F3051" w:themeColor="accent4" w:themeShade="7F" w:sz="12" w:space="0"/>
            <w:left w:val="none" w:color="auto" w:sz="0" w:space="0"/>
            <w:bottom w:val="single" w:color="3F3051" w:themeColor="accent4" w:themeShade="7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637" w:type="dxa"/>
            <w:tcBorders>
              <w:tl2br w:val="nil"/>
              <w:tr2bl w:val="nil"/>
            </w:tcBorders>
            <w:vAlign w:val="top"/>
          </w:tcPr>
          <w:p w14:paraId="0DCE1038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  <w:t>High-grade cytology (ASC-H+)</w:t>
            </w:r>
          </w:p>
        </w:tc>
        <w:tc>
          <w:tcPr>
            <w:tcW w:w="2134" w:type="dxa"/>
            <w:tcBorders>
              <w:tl2br w:val="nil"/>
              <w:tr2bl w:val="nil"/>
            </w:tcBorders>
            <w:vAlign w:val="top"/>
          </w:tcPr>
          <w:p w14:paraId="5A425CDE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  <w:t>23 (2.59%)</w:t>
            </w:r>
          </w:p>
        </w:tc>
        <w:tc>
          <w:tcPr>
            <w:tcW w:w="1563" w:type="dxa"/>
            <w:tcBorders>
              <w:tl2br w:val="nil"/>
              <w:tr2bl w:val="nil"/>
            </w:tcBorders>
            <w:vAlign w:val="top"/>
          </w:tcPr>
          <w:p w14:paraId="419146DC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  <w:t>61 (7.13%)</w:t>
            </w:r>
          </w:p>
        </w:tc>
        <w:tc>
          <w:tcPr>
            <w:tcW w:w="1563" w:type="dxa"/>
            <w:tcBorders>
              <w:tl2br w:val="nil"/>
              <w:tr2bl w:val="nil"/>
            </w:tcBorders>
            <w:vAlign w:val="top"/>
          </w:tcPr>
          <w:p w14:paraId="6E59E97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  <w:t>131 (44.56%)</w:t>
            </w:r>
          </w:p>
        </w:tc>
        <w:tc>
          <w:tcPr>
            <w:tcW w:w="1563" w:type="dxa"/>
            <w:tcBorders>
              <w:tl2br w:val="nil"/>
              <w:tr2bl w:val="nil"/>
            </w:tcBorders>
            <w:vAlign w:val="top"/>
          </w:tcPr>
          <w:p w14:paraId="1BB79531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  <w:t>278(85.80%)</w:t>
            </w:r>
          </w:p>
        </w:tc>
        <w:tc>
          <w:tcPr>
            <w:tcW w:w="1563" w:type="dxa"/>
            <w:tcBorders>
              <w:tl2br w:val="nil"/>
              <w:tr2bl w:val="nil"/>
            </w:tcBorders>
            <w:vAlign w:val="top"/>
          </w:tcPr>
          <w:p w14:paraId="2F6C4C54">
            <w:pPr>
              <w:rPr>
                <w:rFonts w:hint="eastAsia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  <w:t>34 (97.14%)</w:t>
            </w:r>
          </w:p>
        </w:tc>
        <w:tc>
          <w:tcPr>
            <w:tcW w:w="1566" w:type="dxa"/>
            <w:tcBorders>
              <w:tl2br w:val="nil"/>
              <w:tr2bl w:val="nil"/>
            </w:tcBorders>
            <w:vAlign w:val="top"/>
          </w:tcPr>
          <w:p w14:paraId="1D5CE649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&lt;0.001</w:t>
            </w:r>
          </w:p>
        </w:tc>
      </w:tr>
      <w:tr w14:paraId="58FCCB75">
        <w:tblPrEx>
          <w:tblBorders>
            <w:top w:val="single" w:color="3F3051" w:themeColor="accent4" w:themeShade="7F" w:sz="12" w:space="0"/>
            <w:left w:val="none" w:color="auto" w:sz="0" w:space="0"/>
            <w:bottom w:val="single" w:color="3F3051" w:themeColor="accent4" w:themeShade="7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637" w:type="dxa"/>
            <w:tcBorders>
              <w:tl2br w:val="nil"/>
              <w:tr2bl w:val="nil"/>
            </w:tcBorders>
            <w:vAlign w:val="top"/>
          </w:tcPr>
          <w:p w14:paraId="7001E4D1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</w:rPr>
              <w:t>P16 positive</w:t>
            </w:r>
          </w:p>
        </w:tc>
        <w:tc>
          <w:tcPr>
            <w:tcW w:w="2134" w:type="dxa"/>
            <w:tcBorders>
              <w:tl2br w:val="nil"/>
              <w:tr2bl w:val="nil"/>
            </w:tcBorders>
            <w:vAlign w:val="top"/>
          </w:tcPr>
          <w:p w14:paraId="54D61DF8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171(19.28%)</w:t>
            </w:r>
          </w:p>
        </w:tc>
        <w:tc>
          <w:tcPr>
            <w:tcW w:w="1563" w:type="dxa"/>
            <w:tcBorders>
              <w:tl2br w:val="nil"/>
              <w:tr2bl w:val="nil"/>
            </w:tcBorders>
            <w:vAlign w:val="top"/>
          </w:tcPr>
          <w:p w14:paraId="74E50A71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546(63.79%)</w:t>
            </w:r>
          </w:p>
        </w:tc>
        <w:tc>
          <w:tcPr>
            <w:tcW w:w="156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B6D326A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  <w:t>256(87.07%)</w:t>
            </w:r>
          </w:p>
        </w:tc>
        <w:tc>
          <w:tcPr>
            <w:tcW w:w="156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D214A30">
            <w:pPr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  <w:t>30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  <w:t>(94.44%)</w:t>
            </w:r>
          </w:p>
        </w:tc>
        <w:tc>
          <w:tcPr>
            <w:tcW w:w="1563" w:type="dxa"/>
            <w:tcBorders>
              <w:tl2br w:val="nil"/>
              <w:tr2bl w:val="nil"/>
            </w:tcBorders>
            <w:vAlign w:val="top"/>
          </w:tcPr>
          <w:p w14:paraId="3971B1BF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35 (100.00%)</w:t>
            </w:r>
          </w:p>
        </w:tc>
        <w:tc>
          <w:tcPr>
            <w:tcW w:w="1566" w:type="dxa"/>
            <w:tcBorders>
              <w:tl2br w:val="nil"/>
              <w:tr2bl w:val="nil"/>
            </w:tcBorders>
            <w:vAlign w:val="top"/>
          </w:tcPr>
          <w:p w14:paraId="78C8D9CB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&lt;0.001</w:t>
            </w:r>
          </w:p>
        </w:tc>
      </w:tr>
      <w:tr w14:paraId="3CD9367C">
        <w:tblPrEx>
          <w:tblBorders>
            <w:top w:val="single" w:color="3F3051" w:themeColor="accent4" w:themeShade="7F" w:sz="12" w:space="0"/>
            <w:left w:val="none" w:color="auto" w:sz="0" w:space="0"/>
            <w:bottom w:val="single" w:color="3F3051" w:themeColor="accent4" w:themeShade="7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637" w:type="dxa"/>
            <w:tcBorders>
              <w:tl2br w:val="nil"/>
              <w:tr2bl w:val="nil"/>
            </w:tcBorders>
            <w:vAlign w:val="top"/>
          </w:tcPr>
          <w:p w14:paraId="79EDB184">
            <w:pPr>
              <w:rPr>
                <w:rFonts w:hint="eastAsia" w:ascii="Times New Roman" w:hAnsi="Times New Roman" w:cs="Times New Roman" w:eastAsiaTheme="minor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</w:rPr>
              <w:t>HPV16/18 positive and P16 positive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</w:p>
        </w:tc>
        <w:tc>
          <w:tcPr>
            <w:tcW w:w="2134" w:type="dxa"/>
            <w:tcBorders>
              <w:tl2br w:val="nil"/>
              <w:tr2bl w:val="nil"/>
            </w:tcBorders>
            <w:vAlign w:val="top"/>
          </w:tcPr>
          <w:p w14:paraId="77C0A8E9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11(1.24%)</w:t>
            </w:r>
          </w:p>
        </w:tc>
        <w:tc>
          <w:tcPr>
            <w:tcW w:w="1563" w:type="dxa"/>
            <w:tcBorders>
              <w:tl2br w:val="nil"/>
              <w:tr2bl w:val="nil"/>
            </w:tcBorders>
            <w:vAlign w:val="top"/>
          </w:tcPr>
          <w:p w14:paraId="19E12184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shd w:val="clear"/>
                <w:vertAlign w:val="baseline"/>
                <w:lang w:val="en-US" w:eastAsia="zh-CN"/>
              </w:rPr>
              <w:t>40(4.67%)</w:t>
            </w:r>
          </w:p>
        </w:tc>
        <w:tc>
          <w:tcPr>
            <w:tcW w:w="1563" w:type="dxa"/>
            <w:tcBorders>
              <w:tl2br w:val="nil"/>
              <w:tr2bl w:val="nil"/>
            </w:tcBorders>
            <w:vAlign w:val="top"/>
          </w:tcPr>
          <w:p w14:paraId="3EFA268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45(15.31%)</w:t>
            </w:r>
          </w:p>
        </w:tc>
        <w:tc>
          <w:tcPr>
            <w:tcW w:w="1563" w:type="dxa"/>
            <w:tcBorders>
              <w:tl2br w:val="nil"/>
              <w:tr2bl w:val="nil"/>
            </w:tcBorders>
            <w:vAlign w:val="top"/>
          </w:tcPr>
          <w:p w14:paraId="3F59D486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76(23.46%)</w:t>
            </w:r>
          </w:p>
        </w:tc>
        <w:tc>
          <w:tcPr>
            <w:tcW w:w="1563" w:type="dxa"/>
            <w:tcBorders>
              <w:tl2br w:val="nil"/>
              <w:tr2bl w:val="nil"/>
            </w:tcBorders>
            <w:vAlign w:val="top"/>
          </w:tcPr>
          <w:p w14:paraId="479E1721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19(54.29%)</w:t>
            </w:r>
          </w:p>
        </w:tc>
        <w:tc>
          <w:tcPr>
            <w:tcW w:w="1566" w:type="dxa"/>
            <w:tcBorders>
              <w:tl2br w:val="nil"/>
              <w:tr2bl w:val="nil"/>
            </w:tcBorders>
            <w:vAlign w:val="top"/>
          </w:tcPr>
          <w:p w14:paraId="0CFED0F7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&lt;0.001</w:t>
            </w:r>
          </w:p>
        </w:tc>
      </w:tr>
      <w:tr w14:paraId="1D48D81D">
        <w:tblPrEx>
          <w:tblBorders>
            <w:top w:val="single" w:color="3F3051" w:themeColor="accent4" w:themeShade="7F" w:sz="12" w:space="0"/>
            <w:left w:val="none" w:color="auto" w:sz="0" w:space="0"/>
            <w:bottom w:val="single" w:color="3F3051" w:themeColor="accent4" w:themeShade="7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637" w:type="dxa"/>
            <w:tcBorders>
              <w:tl2br w:val="nil"/>
              <w:tr2bl w:val="nil"/>
            </w:tcBorders>
            <w:vAlign w:val="top"/>
          </w:tcPr>
          <w:p w14:paraId="1DB0A68C">
            <w:pP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</w:rPr>
              <w:t>Other hrHPV positive and P16 positive</w:t>
            </w:r>
          </w:p>
        </w:tc>
        <w:tc>
          <w:tcPr>
            <w:tcW w:w="2134" w:type="dxa"/>
            <w:tcBorders>
              <w:tl2br w:val="nil"/>
              <w:tr2bl w:val="nil"/>
            </w:tcBorders>
            <w:vAlign w:val="top"/>
          </w:tcPr>
          <w:p w14:paraId="15289108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69(7.78%)</w:t>
            </w:r>
          </w:p>
        </w:tc>
        <w:tc>
          <w:tcPr>
            <w:tcW w:w="1563" w:type="dxa"/>
            <w:tcBorders>
              <w:tl2br w:val="nil"/>
              <w:tr2bl w:val="nil"/>
            </w:tcBorders>
            <w:vAlign w:val="top"/>
          </w:tcPr>
          <w:p w14:paraId="2760C66E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310(36.21%)</w:t>
            </w:r>
          </w:p>
        </w:tc>
        <w:tc>
          <w:tcPr>
            <w:tcW w:w="1563" w:type="dxa"/>
            <w:tcBorders>
              <w:tl2br w:val="nil"/>
              <w:tr2bl w:val="nil"/>
            </w:tcBorders>
            <w:vAlign w:val="top"/>
          </w:tcPr>
          <w:p w14:paraId="50F4678F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185(62.93%)</w:t>
            </w:r>
          </w:p>
        </w:tc>
        <w:tc>
          <w:tcPr>
            <w:tcW w:w="1563" w:type="dxa"/>
            <w:tcBorders>
              <w:tl2br w:val="nil"/>
              <w:tr2bl w:val="nil"/>
            </w:tcBorders>
            <w:vAlign w:val="top"/>
          </w:tcPr>
          <w:p w14:paraId="2F192400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215(66.36%)</w:t>
            </w:r>
          </w:p>
        </w:tc>
        <w:tc>
          <w:tcPr>
            <w:tcW w:w="1563" w:type="dxa"/>
            <w:tcBorders>
              <w:tl2br w:val="nil"/>
              <w:tr2bl w:val="nil"/>
            </w:tcBorders>
            <w:vAlign w:val="top"/>
          </w:tcPr>
          <w:p w14:paraId="754A6B7C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12(34.29%)</w:t>
            </w:r>
          </w:p>
        </w:tc>
        <w:tc>
          <w:tcPr>
            <w:tcW w:w="1566" w:type="dxa"/>
            <w:tcBorders>
              <w:tl2br w:val="nil"/>
              <w:tr2bl w:val="nil"/>
            </w:tcBorders>
            <w:vAlign w:val="top"/>
          </w:tcPr>
          <w:p w14:paraId="4F6EA3E9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&lt;0.001</w:t>
            </w:r>
          </w:p>
        </w:tc>
      </w:tr>
      <w:tr w14:paraId="2D801E45">
        <w:tblPrEx>
          <w:tblBorders>
            <w:top w:val="single" w:color="3F3051" w:themeColor="accent4" w:themeShade="7F" w:sz="12" w:space="0"/>
            <w:left w:val="none" w:color="auto" w:sz="0" w:space="0"/>
            <w:bottom w:val="single" w:color="3F3051" w:themeColor="accent4" w:themeShade="7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637" w:type="dxa"/>
            <w:tcBorders>
              <w:tl2br w:val="nil"/>
              <w:tr2bl w:val="nil"/>
            </w:tcBorders>
            <w:vAlign w:val="top"/>
          </w:tcPr>
          <w:p w14:paraId="597C7C15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Cytology abnormal and P16 positive</w:t>
            </w:r>
          </w:p>
        </w:tc>
        <w:tc>
          <w:tcPr>
            <w:tcW w:w="2134" w:type="dxa"/>
            <w:tcBorders>
              <w:tl2br w:val="nil"/>
              <w:tr2bl w:val="nil"/>
            </w:tcBorders>
            <w:vAlign w:val="top"/>
          </w:tcPr>
          <w:p w14:paraId="23F1AB82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130(14.66%)</w:t>
            </w:r>
          </w:p>
        </w:tc>
        <w:tc>
          <w:tcPr>
            <w:tcW w:w="1563" w:type="dxa"/>
            <w:tcBorders>
              <w:tl2br w:val="nil"/>
              <w:tr2bl w:val="nil"/>
            </w:tcBorders>
            <w:vAlign w:val="top"/>
          </w:tcPr>
          <w:p w14:paraId="6E4C0D61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485(56.66%)</w:t>
            </w:r>
          </w:p>
        </w:tc>
        <w:tc>
          <w:tcPr>
            <w:tcW w:w="1563" w:type="dxa"/>
            <w:tcBorders>
              <w:tl2br w:val="nil"/>
              <w:tr2bl w:val="nil"/>
            </w:tcBorders>
            <w:vAlign w:val="top"/>
          </w:tcPr>
          <w:p w14:paraId="02D1074A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225(76.53%)</w:t>
            </w:r>
          </w:p>
        </w:tc>
        <w:tc>
          <w:tcPr>
            <w:tcW w:w="1563" w:type="dxa"/>
            <w:tcBorders>
              <w:tl2br w:val="nil"/>
              <w:tr2bl w:val="nil"/>
            </w:tcBorders>
            <w:vAlign w:val="top"/>
          </w:tcPr>
          <w:p w14:paraId="36E644B1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285(87.96%)</w:t>
            </w:r>
          </w:p>
        </w:tc>
        <w:tc>
          <w:tcPr>
            <w:tcW w:w="1563" w:type="dxa"/>
            <w:tcBorders>
              <w:tl2br w:val="nil"/>
              <w:tr2bl w:val="nil"/>
            </w:tcBorders>
            <w:vAlign w:val="top"/>
          </w:tcPr>
          <w:p w14:paraId="570E7954">
            <w:pPr>
              <w:rPr>
                <w:rFonts w:hint="default" w:ascii="Times New Roman" w:hAnsi="Times New Roman" w:cs="Times New Roman" w:eastAsia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35(100.00%)</w:t>
            </w:r>
          </w:p>
        </w:tc>
        <w:tc>
          <w:tcPr>
            <w:tcW w:w="1566" w:type="dxa"/>
            <w:tcBorders>
              <w:tl2br w:val="nil"/>
              <w:tr2bl w:val="nil"/>
            </w:tcBorders>
            <w:vAlign w:val="top"/>
          </w:tcPr>
          <w:p w14:paraId="38B8F475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vertAlign w:val="baseline"/>
              </w:rPr>
              <w:t>&lt;0.001</w:t>
            </w:r>
          </w:p>
        </w:tc>
      </w:tr>
    </w:tbl>
    <w:p w14:paraId="1CD2EEB1"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 xml:space="preserve">Abbreviations: </w:t>
      </w:r>
      <w:r>
        <w:rPr>
          <w:rFonts w:hint="default" w:ascii="Times New Roman" w:hAnsi="Times New Roman" w:cs="Times New Roman"/>
        </w:rPr>
        <w:t>hrHPV, high-risk human papillomavirus; ASC-US, atypical squamous cells of undetermined significance</w:t>
      </w:r>
      <w:r>
        <w:rPr>
          <w:rFonts w:hint="eastAsia" w:ascii="Times New Roman" w:hAnsi="Times New Roman" w:eastAsia="宋体" w:cs="Times New Roman"/>
          <w:lang w:val="en-US" w:eastAsia="zh-CN"/>
        </w:rPr>
        <w:t>,</w:t>
      </w:r>
      <w:r>
        <w:rPr>
          <w:rFonts w:hint="default" w:ascii="Times New Roman" w:hAnsi="Times New Roman" w:cs="Times New Roman"/>
        </w:rPr>
        <w:t xml:space="preserve"> HSIL, high-grade squamous intraepithelial lesion</w:t>
      </w:r>
      <w:r>
        <w:rPr>
          <w:rFonts w:hint="eastAsia" w:ascii="Times New Roman" w:hAnsi="Times New Roman" w:eastAsia="宋体" w:cs="Times New Roman"/>
          <w:lang w:val="en-US" w:eastAsia="zh-CN"/>
        </w:rPr>
        <w:t>,</w:t>
      </w:r>
      <w:r>
        <w:rPr>
          <w:rFonts w:hint="default" w:ascii="Times New Roman" w:hAnsi="Times New Roman" w:cs="Times New Roman"/>
        </w:rPr>
        <w:t xml:space="preserve"> NA, not available from aggregated data.</w:t>
      </w:r>
      <w:r>
        <w:rPr>
          <w:rFonts w:hint="eastAsia" w:ascii="Times New Roman" w:hAnsi="Times New Roman" w:cs="Times New Roman"/>
          <w:lang w:val="en-US" w:eastAsia="zh-CN"/>
        </w:rPr>
        <w:t xml:space="preserve"> P for trend was calculated using the Cochran–Armitage trend test across ordered histological categories (Normal, CIN1, CIN2, CIN3, and cancer). </w:t>
      </w:r>
      <w:r>
        <w:rPr>
          <w:rFonts w:hint="default" w:ascii="Times New Roman" w:hAnsi="Times New Roman" w:cs="Times New Roman"/>
          <w:b/>
          <w:bCs/>
        </w:rPr>
        <w:t>Note</w:t>
      </w:r>
      <w:r>
        <w:rPr>
          <w:rFonts w:hint="default" w:ascii="Times New Roman" w:hAnsi="Times New Roman" w:cs="Times New Roman"/>
        </w:rPr>
        <w:t>: High-grade cytology (ASC-H+) was defined as ASC-H, HSIL, AGC, and cancer cytology.</w:t>
      </w:r>
    </w:p>
    <w:p w14:paraId="6509A76E">
      <w:pPr>
        <w:rPr>
          <w:rFonts w:hint="eastAsia" w:ascii="Times New Roman" w:hAnsi="Times New Roman" w:eastAsia="Arial"/>
          <w:b/>
          <w:sz w:val="24"/>
        </w:rPr>
      </w:pPr>
    </w:p>
    <w:p w14:paraId="34130A7E">
      <w:pPr>
        <w:rPr>
          <w:rFonts w:hint="eastAsia" w:ascii="Times New Roman" w:hAnsi="Times New Roman" w:eastAsia="Arial"/>
          <w:b/>
          <w:sz w:val="24"/>
        </w:rPr>
      </w:pPr>
    </w:p>
    <w:p w14:paraId="28F4B329">
      <w:pPr>
        <w:rPr>
          <w:rFonts w:hint="eastAsia" w:ascii="Times New Roman" w:hAnsi="Times New Roman" w:eastAsia="Arial"/>
          <w:b/>
          <w:sz w:val="24"/>
          <w:lang w:val="en-US" w:eastAsia="zh-CN"/>
        </w:rPr>
      </w:pPr>
    </w:p>
    <w:p w14:paraId="3EE86C6B">
      <w:pPr>
        <w:rPr>
          <w:rFonts w:hint="eastAsia" w:ascii="Times New Roman" w:hAnsi="Times New Roman" w:eastAsia="Arial"/>
          <w:b/>
          <w:sz w:val="24"/>
          <w:lang w:val="en-US" w:eastAsia="zh-CN"/>
        </w:rPr>
      </w:pPr>
      <w:r>
        <w:rPr>
          <w:rFonts w:hint="eastAsia" w:ascii="Times New Roman" w:hAnsi="Times New Roman" w:eastAsia="Arial"/>
          <w:b/>
          <w:sz w:val="24"/>
          <w:lang w:val="en-US" w:eastAsia="zh-CN"/>
        </w:rPr>
        <w:t>Supplementary Table 3. Clinical performance of the same simulated triage strategies for detecting CIN2+ among women with available histological outcomes</w:t>
      </w:r>
    </w:p>
    <w:tbl>
      <w:tblPr>
        <w:tblStyle w:val="35"/>
        <w:tblW w:w="14028" w:type="dxa"/>
        <w:tblInd w:w="0" w:type="dxa"/>
        <w:tblBorders>
          <w:top w:val="single" w:color="3A5E20" w:sz="12" w:space="0"/>
          <w:left w:val="none" w:color="auto" w:sz="0" w:space="0"/>
          <w:bottom w:val="single" w:color="3A5E20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95"/>
        <w:gridCol w:w="1834"/>
        <w:gridCol w:w="1866"/>
        <w:gridCol w:w="1934"/>
        <w:gridCol w:w="2000"/>
        <w:gridCol w:w="1066"/>
        <w:gridCol w:w="1000"/>
        <w:gridCol w:w="833"/>
      </w:tblGrid>
      <w:tr w14:paraId="74A5261C">
        <w:tblPrEx>
          <w:tblBorders>
            <w:top w:val="single" w:color="3A5E20" w:sz="12" w:space="0"/>
            <w:left w:val="none" w:color="auto" w:sz="0" w:space="0"/>
            <w:bottom w:val="single" w:color="3A5E2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3495" w:type="dxa"/>
            <w:tcBorders>
              <w:bottom w:val="single" w:color="3B5F21" w:sz="8" w:space="0"/>
              <w:tl2br w:val="nil"/>
              <w:tr2bl w:val="nil"/>
            </w:tcBorders>
            <w:vAlign w:val="top"/>
          </w:tcPr>
          <w:p w14:paraId="082D9099">
            <w:pPr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  <w:t>Triage strategies</w:t>
            </w:r>
          </w:p>
        </w:tc>
        <w:tc>
          <w:tcPr>
            <w:tcW w:w="1834" w:type="dxa"/>
            <w:tcBorders>
              <w:bottom w:val="single" w:color="3B5F21" w:sz="8" w:space="0"/>
              <w:tl2br w:val="nil"/>
              <w:tr2bl w:val="nil"/>
            </w:tcBorders>
            <w:vAlign w:val="top"/>
          </w:tcPr>
          <w:p w14:paraId="59A22325">
            <w:pPr>
              <w:jc w:val="both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  <w:t>Sensitivity No./Total No. (%)</w:t>
            </w: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  <w:t>(95% CI)</w:t>
            </w:r>
          </w:p>
        </w:tc>
        <w:tc>
          <w:tcPr>
            <w:tcW w:w="1866" w:type="dxa"/>
            <w:tcBorders>
              <w:bottom w:val="single" w:color="3B5F21" w:sz="8" w:space="0"/>
              <w:tl2br w:val="nil"/>
              <w:tr2bl w:val="nil"/>
            </w:tcBorders>
            <w:vAlign w:val="top"/>
          </w:tcPr>
          <w:p w14:paraId="7A5D32A4">
            <w:pPr>
              <w:jc w:val="both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  <w:t>Specificity No./Total No. (%)</w:t>
            </w: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  <w:t>(95% CI)</w:t>
            </w:r>
          </w:p>
        </w:tc>
        <w:tc>
          <w:tcPr>
            <w:tcW w:w="1934" w:type="dxa"/>
            <w:tcBorders>
              <w:bottom w:val="single" w:color="3B5F21" w:sz="8" w:space="0"/>
              <w:tl2br w:val="nil"/>
              <w:tr2bl w:val="nil"/>
            </w:tcBorders>
            <w:vAlign w:val="top"/>
          </w:tcPr>
          <w:p w14:paraId="16A64495">
            <w:pPr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  <w:t>PPV</w:t>
            </w: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  <w:t>No./Total No. (%) (95% CI)</w:t>
            </w:r>
          </w:p>
        </w:tc>
        <w:tc>
          <w:tcPr>
            <w:tcW w:w="2000" w:type="dxa"/>
            <w:tcBorders>
              <w:bottom w:val="single" w:color="3B5F21" w:sz="8" w:space="0"/>
              <w:tl2br w:val="nil"/>
              <w:tr2bl w:val="nil"/>
            </w:tcBorders>
            <w:vAlign w:val="top"/>
          </w:tcPr>
          <w:p w14:paraId="311CC134">
            <w:pPr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  <w:t>N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  <w:t>PV</w:t>
            </w: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  <w:t>No./Total No. (%) (95% CI)</w:t>
            </w:r>
          </w:p>
        </w:tc>
        <w:tc>
          <w:tcPr>
            <w:tcW w:w="1066" w:type="dxa"/>
            <w:tcBorders>
              <w:bottom w:val="single" w:color="3B5F21" w:sz="8" w:space="0"/>
              <w:tl2br w:val="nil"/>
              <w:tr2bl w:val="nil"/>
            </w:tcBorders>
            <w:vAlign w:val="top"/>
          </w:tcPr>
          <w:p w14:paraId="44520B42">
            <w:pPr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  <w:t xml:space="preserve">Referral </w:t>
            </w:r>
          </w:p>
        </w:tc>
        <w:tc>
          <w:tcPr>
            <w:tcW w:w="1000" w:type="dxa"/>
            <w:tcBorders>
              <w:bottom w:val="single" w:color="3B5F21" w:sz="8" w:space="0"/>
              <w:tl2br w:val="nil"/>
              <w:tr2bl w:val="nil"/>
            </w:tcBorders>
            <w:shd w:val="clear" w:color="auto" w:fill="auto"/>
            <w:vAlign w:val="top"/>
          </w:tcPr>
          <w:p w14:paraId="718929EB">
            <w:pPr>
              <w:jc w:val="both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  <w:t>No. of CIN2+ detected</w:t>
            </w:r>
          </w:p>
        </w:tc>
        <w:tc>
          <w:tcPr>
            <w:tcW w:w="833" w:type="dxa"/>
            <w:tcBorders>
              <w:bottom w:val="single" w:color="3B5F21" w:sz="8" w:space="0"/>
              <w:tl2br w:val="nil"/>
              <w:tr2bl w:val="nil"/>
            </w:tcBorders>
            <w:shd w:val="clear" w:color="auto" w:fill="auto"/>
            <w:vAlign w:val="top"/>
          </w:tcPr>
          <w:p w14:paraId="58B13523">
            <w:pPr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  <w:vertAlign w:val="baseline"/>
                <w:lang w:val="en-US" w:eastAsia="zh-CN"/>
              </w:rPr>
              <w:t>NNR</w:t>
            </w:r>
          </w:p>
        </w:tc>
      </w:tr>
      <w:tr w14:paraId="7291ECCC">
        <w:tblPrEx>
          <w:tblBorders>
            <w:top w:val="single" w:color="3A5E20" w:sz="12" w:space="0"/>
            <w:left w:val="none" w:color="auto" w:sz="0" w:space="0"/>
            <w:bottom w:val="single" w:color="3A5E2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3495" w:type="dxa"/>
            <w:tcBorders>
              <w:bottom w:val="nil"/>
              <w:tl2br w:val="nil"/>
              <w:tr2bl w:val="nil"/>
            </w:tcBorders>
            <w:vAlign w:val="top"/>
          </w:tcPr>
          <w:p w14:paraId="0034A105">
            <w:pPr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HPV16/18+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or ASC-US+</w:t>
            </w:r>
          </w:p>
        </w:tc>
        <w:tc>
          <w:tcPr>
            <w:tcW w:w="1834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5EF307E5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611/653 (93.57) [91.42–95.21]</w:t>
            </w:r>
          </w:p>
        </w:tc>
        <w:tc>
          <w:tcPr>
            <w:tcW w:w="1866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14629350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678/1743 (38.90) [36.64–41.21]</w:t>
            </w:r>
          </w:p>
        </w:tc>
        <w:tc>
          <w:tcPr>
            <w:tcW w:w="1934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23DB4FE3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611/1676 (36.46) [34.18–38.79]</w:t>
            </w:r>
          </w:p>
        </w:tc>
        <w:tc>
          <w:tcPr>
            <w:tcW w:w="2000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4C52DD9A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678/720 (94.17) [92.20–95.62]</w:t>
            </w:r>
          </w:p>
        </w:tc>
        <w:tc>
          <w:tcPr>
            <w:tcW w:w="1066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6694E427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1676/2396 (69.95)</w:t>
            </w:r>
          </w:p>
        </w:tc>
        <w:tc>
          <w:tcPr>
            <w:tcW w:w="1000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3FEE1858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611</w:t>
            </w:r>
          </w:p>
        </w:tc>
        <w:tc>
          <w:tcPr>
            <w:tcW w:w="833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29799A32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2.74</w:t>
            </w:r>
          </w:p>
        </w:tc>
      </w:tr>
      <w:tr w14:paraId="0936ECE0">
        <w:tblPrEx>
          <w:tblBorders>
            <w:top w:val="single" w:color="3A5E20" w:sz="12" w:space="0"/>
            <w:left w:val="none" w:color="auto" w:sz="0" w:space="0"/>
            <w:bottom w:val="single" w:color="3A5E2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3495" w:type="dxa"/>
            <w:tcBorders>
              <w:bottom w:val="nil"/>
              <w:tl2br w:val="nil"/>
              <w:tr2bl w:val="nil"/>
            </w:tcBorders>
            <w:vAlign w:val="top"/>
          </w:tcPr>
          <w:p w14:paraId="171E70FF">
            <w:pPr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HPV16/18+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or p16+</w:t>
            </w:r>
          </w:p>
        </w:tc>
        <w:tc>
          <w:tcPr>
            <w:tcW w:w="1834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53A58992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607/653 (92.96) [90.73–94.68]</w:t>
            </w:r>
          </w:p>
        </w:tc>
        <w:tc>
          <w:tcPr>
            <w:tcW w:w="1866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1DBED26E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961/1743 (55.13) [52.79–57.46]</w:t>
            </w:r>
          </w:p>
        </w:tc>
        <w:tc>
          <w:tcPr>
            <w:tcW w:w="1934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53C98010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607/1389 (43.70) [41.11–46.32]</w:t>
            </w:r>
          </w:p>
        </w:tc>
        <w:tc>
          <w:tcPr>
            <w:tcW w:w="2000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6237397D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961/1007 (95.43) [93.96–96.56]</w:t>
            </w:r>
          </w:p>
        </w:tc>
        <w:tc>
          <w:tcPr>
            <w:tcW w:w="1066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5E8D0CD7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1389/2396 (57.97)</w:t>
            </w:r>
          </w:p>
        </w:tc>
        <w:tc>
          <w:tcPr>
            <w:tcW w:w="1000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4ED59B62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607</w:t>
            </w:r>
          </w:p>
        </w:tc>
        <w:tc>
          <w:tcPr>
            <w:tcW w:w="833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664971D3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2.29</w:t>
            </w:r>
          </w:p>
        </w:tc>
      </w:tr>
      <w:tr w14:paraId="662DDF25">
        <w:tblPrEx>
          <w:tblBorders>
            <w:top w:val="single" w:color="3A5E20" w:sz="12" w:space="0"/>
            <w:left w:val="none" w:color="auto" w:sz="0" w:space="0"/>
            <w:bottom w:val="single" w:color="3A5E2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3495" w:type="dxa"/>
            <w:tcBorders>
              <w:bottom w:val="nil"/>
              <w:tl2br w:val="nil"/>
              <w:tr2bl w:val="nil"/>
            </w:tcBorders>
            <w:shd w:val="clear" w:color="auto" w:fill="auto"/>
            <w:vAlign w:val="top"/>
          </w:tcPr>
          <w:p w14:paraId="5023E26C">
            <w:pPr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Other hrHPV+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 xml:space="preserve"> &amp; 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ASC-US+</w:t>
            </w:r>
          </w:p>
        </w:tc>
        <w:tc>
          <w:tcPr>
            <w:tcW w:w="1834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75A3531C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419/653 (64.17) [60.41–67.75]</w:t>
            </w:r>
          </w:p>
        </w:tc>
        <w:tc>
          <w:tcPr>
            <w:tcW w:w="1866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15A568CE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1235/1743 (70.85) [68.68–72.94]</w:t>
            </w:r>
          </w:p>
        </w:tc>
        <w:tc>
          <w:tcPr>
            <w:tcW w:w="1934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47B5D690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419/927 (45.20) [42.02–48.42]</w:t>
            </w:r>
          </w:p>
        </w:tc>
        <w:tc>
          <w:tcPr>
            <w:tcW w:w="2000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17671463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1235/1469 (84.07) [82.14–85.85]</w:t>
            </w:r>
          </w:p>
        </w:tc>
        <w:tc>
          <w:tcPr>
            <w:tcW w:w="1066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2805506B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927/2396 (38.69)</w:t>
            </w:r>
          </w:p>
        </w:tc>
        <w:tc>
          <w:tcPr>
            <w:tcW w:w="1000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722865FE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419</w:t>
            </w:r>
          </w:p>
        </w:tc>
        <w:tc>
          <w:tcPr>
            <w:tcW w:w="833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3F5756E8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2.21</w:t>
            </w:r>
          </w:p>
        </w:tc>
      </w:tr>
      <w:tr w14:paraId="621263FE">
        <w:tblPrEx>
          <w:tblBorders>
            <w:top w:val="single" w:color="3A5E20" w:sz="12" w:space="0"/>
            <w:left w:val="none" w:color="auto" w:sz="0" w:space="0"/>
            <w:bottom w:val="single" w:color="3A5E2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3495" w:type="dxa"/>
            <w:tcBorders>
              <w:bottom w:val="nil"/>
              <w:tl2br w:val="nil"/>
              <w:tr2bl w:val="nil"/>
            </w:tcBorders>
            <w:vAlign w:val="top"/>
          </w:tcPr>
          <w:p w14:paraId="2686BC9D">
            <w:pPr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Other hrHPV+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 xml:space="preserve"> &amp;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 xml:space="preserve"> p16+</w:t>
            </w:r>
          </w:p>
        </w:tc>
        <w:tc>
          <w:tcPr>
            <w:tcW w:w="1834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57B9A6D0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412/653 (63.09) [59.33–66.71]</w:t>
            </w:r>
          </w:p>
        </w:tc>
        <w:tc>
          <w:tcPr>
            <w:tcW w:w="1866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068B34DF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1364/1743 (78.26) [76.26–80.13]</w:t>
            </w:r>
          </w:p>
        </w:tc>
        <w:tc>
          <w:tcPr>
            <w:tcW w:w="1934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0B9EE12B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412/791 (52.09) [48.60–55.55]</w:t>
            </w:r>
          </w:p>
        </w:tc>
        <w:tc>
          <w:tcPr>
            <w:tcW w:w="2000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6CD9032C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1364/1605 (84.98) [83.15–86.65]</w:t>
            </w:r>
          </w:p>
        </w:tc>
        <w:tc>
          <w:tcPr>
            <w:tcW w:w="1066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2E7DAE85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791/2396 (33.01)</w:t>
            </w:r>
          </w:p>
        </w:tc>
        <w:tc>
          <w:tcPr>
            <w:tcW w:w="1000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48A42194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412</w:t>
            </w:r>
          </w:p>
        </w:tc>
        <w:tc>
          <w:tcPr>
            <w:tcW w:w="833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7A75773C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1.92</w:t>
            </w:r>
          </w:p>
        </w:tc>
      </w:tr>
      <w:tr w14:paraId="06DCB853">
        <w:tblPrEx>
          <w:tblBorders>
            <w:top w:val="single" w:color="3A5E20" w:sz="12" w:space="0"/>
            <w:left w:val="none" w:color="auto" w:sz="0" w:space="0"/>
            <w:bottom w:val="single" w:color="3A5E2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3495" w:type="dxa"/>
            <w:tcBorders>
              <w:bottom w:val="nil"/>
              <w:tl2br w:val="nil"/>
              <w:tr2bl w:val="nil"/>
            </w:tcBorders>
            <w:vAlign w:val="top"/>
          </w:tcPr>
          <w:p w14:paraId="02645D06">
            <w:pPr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 xml:space="preserve">ASC-US+ 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 xml:space="preserve">&amp; 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p16+</w:t>
            </w:r>
          </w:p>
        </w:tc>
        <w:tc>
          <w:tcPr>
            <w:tcW w:w="1834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415F155F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545/653 (83.46) [80.42–86.11]</w:t>
            </w:r>
          </w:p>
        </w:tc>
        <w:tc>
          <w:tcPr>
            <w:tcW w:w="1866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5A30015C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1128/1743 (64.72) [62.44–66.92]</w:t>
            </w:r>
          </w:p>
        </w:tc>
        <w:tc>
          <w:tcPr>
            <w:tcW w:w="1934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6B85FBC0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545/1160 (46.98) [44.13–49.86]</w:t>
            </w:r>
          </w:p>
        </w:tc>
        <w:tc>
          <w:tcPr>
            <w:tcW w:w="2000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6D2795BB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1128/1236 (91.26) [89.56–92.71]</w:t>
            </w:r>
          </w:p>
        </w:tc>
        <w:tc>
          <w:tcPr>
            <w:tcW w:w="1066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5BB92FBB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1160/2396 (48.41)</w:t>
            </w:r>
          </w:p>
        </w:tc>
        <w:tc>
          <w:tcPr>
            <w:tcW w:w="1000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6FB148F7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545</w:t>
            </w:r>
          </w:p>
        </w:tc>
        <w:tc>
          <w:tcPr>
            <w:tcW w:w="833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65AFDA23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2.13</w:t>
            </w:r>
          </w:p>
        </w:tc>
      </w:tr>
      <w:tr w14:paraId="71429DF5">
        <w:tblPrEx>
          <w:tblBorders>
            <w:top w:val="single" w:color="3A5E20" w:sz="12" w:space="0"/>
            <w:left w:val="none" w:color="auto" w:sz="0" w:space="0"/>
            <w:bottom w:val="single" w:color="3A5E2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3495" w:type="dxa"/>
            <w:tcBorders>
              <w:bottom w:val="nil"/>
              <w:tl2br w:val="nil"/>
              <w:tr2bl w:val="nil"/>
            </w:tcBorders>
            <w:vAlign w:val="top"/>
          </w:tcPr>
          <w:p w14:paraId="3C0F2519">
            <w:pPr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ASC-H+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or p16+</w:t>
            </w:r>
          </w:p>
        </w:tc>
        <w:tc>
          <w:tcPr>
            <w:tcW w:w="1834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0DB44B7A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631/653 (96.63) [94.95–97.76]</w:t>
            </w:r>
          </w:p>
        </w:tc>
        <w:tc>
          <w:tcPr>
            <w:tcW w:w="1866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1C294B5B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989/1743 (56.74) [54.40–59.05]</w:t>
            </w:r>
          </w:p>
        </w:tc>
        <w:tc>
          <w:tcPr>
            <w:tcW w:w="1934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13DCF3D6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631/1385 (45.56) [42.95–48.19]</w:t>
            </w:r>
          </w:p>
        </w:tc>
        <w:tc>
          <w:tcPr>
            <w:tcW w:w="2000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5644898B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989/1011 (97.82) [96.73–98.56]</w:t>
            </w:r>
          </w:p>
        </w:tc>
        <w:tc>
          <w:tcPr>
            <w:tcW w:w="1066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65396C37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1385/2396 (57.80)</w:t>
            </w:r>
          </w:p>
        </w:tc>
        <w:tc>
          <w:tcPr>
            <w:tcW w:w="1000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36EC65C8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631</w:t>
            </w:r>
          </w:p>
        </w:tc>
        <w:tc>
          <w:tcPr>
            <w:tcW w:w="833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4A1F36E6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2.19</w:t>
            </w:r>
          </w:p>
        </w:tc>
      </w:tr>
      <w:tr w14:paraId="43B8B74D">
        <w:tblPrEx>
          <w:tblBorders>
            <w:top w:val="single" w:color="3A5E20" w:sz="12" w:space="0"/>
            <w:left w:val="none" w:color="auto" w:sz="0" w:space="0"/>
            <w:bottom w:val="single" w:color="3A5E20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3495" w:type="dxa"/>
            <w:tcBorders>
              <w:bottom w:val="nil"/>
              <w:tl2br w:val="nil"/>
              <w:tr2bl w:val="nil"/>
            </w:tcBorders>
            <w:vAlign w:val="top"/>
          </w:tcPr>
          <w:p w14:paraId="13E6FE7E">
            <w:pPr>
              <w:jc w:val="both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Other hrHPV+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 xml:space="preserve"> &amp; 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>ASC-US+</w:t>
            </w: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 xml:space="preserve"> &amp;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 xml:space="preserve"> p16+</w:t>
            </w:r>
          </w:p>
        </w:tc>
        <w:tc>
          <w:tcPr>
            <w:tcW w:w="1834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326E7381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388/653 (59.42) [55.61–63.12]</w:t>
            </w:r>
          </w:p>
        </w:tc>
        <w:tc>
          <w:tcPr>
            <w:tcW w:w="1866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61915195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1448/1743 (83.08) [81.24–84.76]</w:t>
            </w:r>
          </w:p>
        </w:tc>
        <w:tc>
          <w:tcPr>
            <w:tcW w:w="1934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57328FA0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388/683 (56.81) [53.07–60.47]</w:t>
            </w:r>
          </w:p>
        </w:tc>
        <w:tc>
          <w:tcPr>
            <w:tcW w:w="2000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2BC8CBC9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1448/1713 (84.53) [82.74–86.17]</w:t>
            </w:r>
          </w:p>
        </w:tc>
        <w:tc>
          <w:tcPr>
            <w:tcW w:w="1066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0BAFFDB7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683/2396 (28.51)</w:t>
            </w:r>
          </w:p>
        </w:tc>
        <w:tc>
          <w:tcPr>
            <w:tcW w:w="1000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103768D7">
            <w:pPr>
              <w:rPr>
                <w:rFonts w:hint="default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388</w:t>
            </w:r>
          </w:p>
        </w:tc>
        <w:tc>
          <w:tcPr>
            <w:tcW w:w="833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23817AC2">
            <w:pP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vertAlign w:val="baseline"/>
                <w:lang w:val="en-US" w:eastAsia="zh-CN"/>
              </w:rPr>
              <w:t>1.76</w:t>
            </w:r>
          </w:p>
        </w:tc>
      </w:tr>
    </w:tbl>
    <w:p w14:paraId="0310ABE0">
      <w:pPr>
        <w:rPr>
          <w:rFonts w:hint="eastAsia" w:ascii="Times New Roman" w:hAnsi="Times New Roman" w:eastAsia="Arial"/>
          <w:b/>
          <w:sz w:val="24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Abbreviations</w:t>
      </w:r>
      <w:r>
        <w:rPr>
          <w:rFonts w:hint="eastAsia" w:ascii="Times New Roman" w:hAnsi="Times New Roman" w:cs="Times New Roman"/>
          <w:lang w:val="en-US" w:eastAsia="zh-CN"/>
        </w:rPr>
        <w:t xml:space="preserve">: PPV, positive predictive value; NPV, negative predictive value; NNR, number needed to refer; hrHPV, high-risk human papillomavirus; ASC-US, atypical squamous cells of undetermined significance; ASC-H, atypical squamous cells-cannot exclude high-grade squamous intraepithelial lesion. 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Note: </w:t>
      </w:r>
      <w:r>
        <w:rPr>
          <w:rFonts w:hint="eastAsia" w:ascii="Times New Roman" w:hAnsi="Times New Roman" w:cs="Times New Roman"/>
          <w:lang w:val="en-US" w:eastAsia="zh-CN"/>
        </w:rPr>
        <w:t>This table includes the absolute sensitivity and specificity for CIN2+ detection, with 95% confidence intervals, the computed PPV and NPV, referral positivity, the number of CIN2</w:t>
      </w:r>
      <w:bookmarkStart w:id="0" w:name="_GoBack"/>
      <w:bookmarkEnd w:id="0"/>
      <w:r>
        <w:rPr>
          <w:rFonts w:hint="eastAsia" w:ascii="Times New Roman" w:hAnsi="Times New Roman" w:cs="Times New Roman"/>
          <w:lang w:val="en-US" w:eastAsia="zh-CN"/>
        </w:rPr>
        <w:t xml:space="preserve">+ cases detected, and the NNR (number needed to refer to colposcopy to find 1 case of CIN2+). </w:t>
      </w:r>
    </w:p>
    <w:p w14:paraId="0BDFE395">
      <w:pPr>
        <w:rPr>
          <w:rFonts w:hint="eastAsia" w:ascii="Times New Roman" w:hAnsi="Times New Roman" w:eastAsia="Arial"/>
          <w:b/>
          <w:sz w:val="24"/>
        </w:rPr>
      </w:pPr>
      <w:r>
        <w:rPr>
          <w:rFonts w:hint="eastAsia" w:ascii="Times New Roman" w:hAnsi="Times New Roman" w:eastAsia="Arial"/>
          <w:b/>
          <w:sz w:val="24"/>
        </w:rPr>
        <w:t>Supplementary Table</w:t>
      </w:r>
      <w:r>
        <w:rPr>
          <w:rFonts w:hint="eastAsia" w:ascii="Times New Roman" w:hAnsi="Times New Roman" w:eastAsia="宋体"/>
          <w:b/>
          <w:sz w:val="24"/>
          <w:lang w:val="en-US" w:eastAsia="zh-CN"/>
        </w:rPr>
        <w:t xml:space="preserve"> 4</w:t>
      </w:r>
      <w:r>
        <w:rPr>
          <w:rFonts w:hint="eastAsia" w:ascii="Times New Roman" w:hAnsi="Times New Roman" w:eastAsia="Arial"/>
          <w:b/>
          <w:sz w:val="24"/>
        </w:rPr>
        <w:t>. Risk stratification and triage performance of P16 and HPV16/18 genotyping among HPV-positive women with NILM cytology.</w:t>
      </w:r>
    </w:p>
    <w:tbl>
      <w:tblPr>
        <w:tblStyle w:val="35"/>
        <w:tblW w:w="14029" w:type="dxa"/>
        <w:tblInd w:w="0" w:type="dxa"/>
        <w:tblBorders>
          <w:top w:val="single" w:color="3F3051" w:themeColor="accent4" w:themeShade="7F" w:sz="12" w:space="0"/>
          <w:left w:val="none" w:color="auto" w:sz="0" w:space="0"/>
          <w:bottom w:val="single" w:color="3F3051" w:themeColor="accent4" w:themeShade="7F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29"/>
        <w:gridCol w:w="983"/>
        <w:gridCol w:w="1183"/>
        <w:gridCol w:w="900"/>
        <w:gridCol w:w="1735"/>
        <w:gridCol w:w="1015"/>
        <w:gridCol w:w="1500"/>
        <w:gridCol w:w="1484"/>
        <w:gridCol w:w="1600"/>
      </w:tblGrid>
      <w:tr w14:paraId="08FFE106">
        <w:tblPrEx>
          <w:tblBorders>
            <w:top w:val="single" w:color="3F3051" w:themeColor="accent4" w:themeShade="7F" w:sz="12" w:space="0"/>
            <w:left w:val="none" w:color="auto" w:sz="0" w:space="0"/>
            <w:bottom w:val="single" w:color="3F3051" w:themeColor="accent4" w:themeShade="7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3629" w:type="dxa"/>
            <w:tcBorders>
              <w:bottom w:val="single" w:color="3B5F21" w:sz="8" w:space="0"/>
              <w:tl2br w:val="nil"/>
              <w:tr2bl w:val="nil"/>
            </w:tcBorders>
            <w:vAlign w:val="center"/>
          </w:tcPr>
          <w:p w14:paraId="799A0E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Strategy</w:t>
            </w:r>
          </w:p>
        </w:tc>
        <w:tc>
          <w:tcPr>
            <w:tcW w:w="983" w:type="dxa"/>
            <w:tcBorders>
              <w:bottom w:val="single" w:color="3B5F21" w:sz="8" w:space="0"/>
              <w:tl2br w:val="nil"/>
              <w:tr2bl w:val="nil"/>
            </w:tcBorders>
            <w:vAlign w:val="center"/>
          </w:tcPr>
          <w:p w14:paraId="4E9C5C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No. of</w:t>
            </w:r>
          </w:p>
          <w:p w14:paraId="7DBF04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eastAsia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women</w:t>
            </w:r>
          </w:p>
        </w:tc>
        <w:tc>
          <w:tcPr>
            <w:tcW w:w="1183" w:type="dxa"/>
            <w:tcBorders>
              <w:bottom w:val="single" w:color="3B5F21" w:sz="8" w:space="0"/>
              <w:tl2br w:val="nil"/>
              <w:tr2bl w:val="nil"/>
            </w:tcBorders>
            <w:vAlign w:val="center"/>
          </w:tcPr>
          <w:p w14:paraId="5FF69D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Referral rate, %</w:t>
            </w:r>
          </w:p>
        </w:tc>
        <w:tc>
          <w:tcPr>
            <w:tcW w:w="900" w:type="dxa"/>
            <w:tcBorders>
              <w:bottom w:val="single" w:color="3B5F21" w:sz="8" w:space="0"/>
              <w:tl2br w:val="nil"/>
              <w:tr2bl w:val="nil"/>
            </w:tcBorders>
            <w:vAlign w:val="center"/>
          </w:tcPr>
          <w:p w14:paraId="7FC167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No. of</w:t>
            </w:r>
          </w:p>
          <w:p w14:paraId="4847AC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CIN2+</w:t>
            </w:r>
          </w:p>
        </w:tc>
        <w:tc>
          <w:tcPr>
            <w:tcW w:w="1735" w:type="dxa"/>
            <w:tcBorders>
              <w:bottom w:val="single" w:color="3B5F21" w:sz="8" w:space="0"/>
              <w:tl2br w:val="nil"/>
              <w:tr2bl w:val="nil"/>
            </w:tcBorders>
            <w:shd w:val="clear" w:color="auto" w:fill="auto"/>
            <w:vAlign w:val="center"/>
          </w:tcPr>
          <w:p w14:paraId="257BDC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CIN2+ risk, %</w:t>
            </w:r>
          </w:p>
          <w:p w14:paraId="4D0127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(95% CI)</w:t>
            </w:r>
          </w:p>
        </w:tc>
        <w:tc>
          <w:tcPr>
            <w:tcW w:w="1015" w:type="dxa"/>
            <w:tcBorders>
              <w:bottom w:val="single" w:color="3B5F21" w:sz="8" w:space="0"/>
              <w:tl2br w:val="nil"/>
              <w:tr2bl w:val="nil"/>
            </w:tcBorders>
            <w:shd w:val="clear" w:color="auto" w:fill="auto"/>
            <w:vAlign w:val="center"/>
          </w:tcPr>
          <w:p w14:paraId="332072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 xml:space="preserve">No. of </w:t>
            </w:r>
          </w:p>
          <w:p w14:paraId="4C1604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CIN3+</w:t>
            </w:r>
          </w:p>
        </w:tc>
        <w:tc>
          <w:tcPr>
            <w:tcW w:w="1500" w:type="dxa"/>
            <w:tcBorders>
              <w:bottom w:val="single" w:color="3B5F21" w:sz="8" w:space="0"/>
              <w:tl2br w:val="nil"/>
              <w:tr2bl w:val="nil"/>
            </w:tcBorders>
            <w:shd w:val="clear" w:color="auto" w:fill="auto"/>
            <w:vAlign w:val="center"/>
          </w:tcPr>
          <w:p w14:paraId="1E483B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CIN3+ risk, %</w:t>
            </w:r>
          </w:p>
          <w:p w14:paraId="541814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(95% CI)</w:t>
            </w:r>
          </w:p>
        </w:tc>
        <w:tc>
          <w:tcPr>
            <w:tcW w:w="1484" w:type="dxa"/>
            <w:tcBorders>
              <w:bottom w:val="single" w:color="3B5F21" w:sz="8" w:space="0"/>
              <w:tl2br w:val="nil"/>
              <w:tr2bl w:val="nil"/>
            </w:tcBorders>
            <w:shd w:val="clear" w:color="auto" w:fill="auto"/>
            <w:vAlign w:val="center"/>
          </w:tcPr>
          <w:p w14:paraId="61D513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Sensitivity for CIN3+, %</w:t>
            </w:r>
          </w:p>
          <w:p w14:paraId="587936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1"/>
                <w:szCs w:val="21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(95% CI)</w:t>
            </w:r>
          </w:p>
        </w:tc>
        <w:tc>
          <w:tcPr>
            <w:tcW w:w="1600" w:type="dxa"/>
            <w:tcBorders>
              <w:bottom w:val="single" w:color="3B5F21" w:sz="8" w:space="0"/>
              <w:tl2br w:val="nil"/>
              <w:tr2bl w:val="nil"/>
            </w:tcBorders>
            <w:shd w:val="clear" w:color="auto" w:fill="auto"/>
            <w:vAlign w:val="center"/>
          </w:tcPr>
          <w:p w14:paraId="095E49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Specificity for CIN3+, %</w:t>
            </w:r>
          </w:p>
          <w:p w14:paraId="384DAA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(95% CI)</w:t>
            </w:r>
          </w:p>
        </w:tc>
      </w:tr>
      <w:tr w14:paraId="040C0CC8">
        <w:tblPrEx>
          <w:tblBorders>
            <w:top w:val="single" w:color="3F3051" w:themeColor="accent4" w:themeShade="7F" w:sz="12" w:space="0"/>
            <w:left w:val="none" w:color="auto" w:sz="0" w:space="0"/>
            <w:bottom w:val="single" w:color="3F3051" w:themeColor="accent4" w:themeShade="7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3629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3AA845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P16 positive</w:t>
            </w:r>
          </w:p>
        </w:tc>
        <w:tc>
          <w:tcPr>
            <w:tcW w:w="983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734931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140</w:t>
            </w:r>
          </w:p>
        </w:tc>
        <w:tc>
          <w:tcPr>
            <w:tcW w:w="1183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36D30D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37.43</w:t>
            </w:r>
          </w:p>
        </w:tc>
        <w:tc>
          <w:tcPr>
            <w:tcW w:w="900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5B93DF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34</w:t>
            </w:r>
          </w:p>
        </w:tc>
        <w:tc>
          <w:tcPr>
            <w:tcW w:w="1735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355EB9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24.29</w:t>
            </w:r>
          </w:p>
          <w:p w14:paraId="6F613C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(17.93–32.01)</w:t>
            </w:r>
          </w:p>
        </w:tc>
        <w:tc>
          <w:tcPr>
            <w:tcW w:w="1015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4EC572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1500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69D15E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8.57</w:t>
            </w:r>
          </w:p>
          <w:p w14:paraId="0A4B73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(4.97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14.38)</w:t>
            </w:r>
          </w:p>
        </w:tc>
        <w:tc>
          <w:tcPr>
            <w:tcW w:w="1484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022401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63.16 </w:t>
            </w:r>
          </w:p>
          <w:p w14:paraId="012D67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(41.04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80.85)</w:t>
            </w:r>
          </w:p>
        </w:tc>
        <w:tc>
          <w:tcPr>
            <w:tcW w:w="1600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7BD3CB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63.94</w:t>
            </w:r>
          </w:p>
          <w:p w14:paraId="4E1292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(58.82–68.76)</w:t>
            </w:r>
          </w:p>
        </w:tc>
      </w:tr>
      <w:tr w14:paraId="60835C96">
        <w:tblPrEx>
          <w:tblBorders>
            <w:top w:val="single" w:color="3F3051" w:themeColor="accent4" w:themeShade="7F" w:sz="12" w:space="0"/>
            <w:left w:val="none" w:color="auto" w:sz="0" w:space="0"/>
            <w:bottom w:val="single" w:color="3F3051" w:themeColor="accent4" w:themeShade="7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36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68F5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HPV16/18 positive</w:t>
            </w:r>
          </w:p>
        </w:tc>
        <w:tc>
          <w:tcPr>
            <w:tcW w:w="9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9460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73</w:t>
            </w:r>
          </w:p>
        </w:tc>
        <w:tc>
          <w:tcPr>
            <w:tcW w:w="11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C7CE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19.52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33FF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1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30C5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15.07 </w:t>
            </w:r>
          </w:p>
          <w:p w14:paraId="07A55E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(8.63–25.00)</w:t>
            </w:r>
          </w:p>
        </w:tc>
        <w:tc>
          <w:tcPr>
            <w:tcW w:w="10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281E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D9CD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9.59 </w:t>
            </w:r>
          </w:p>
          <w:p w14:paraId="74FEFC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(4.72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18.50)</w:t>
            </w:r>
          </w:p>
        </w:tc>
        <w:tc>
          <w:tcPr>
            <w:tcW w:w="14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64B9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36.84 </w:t>
            </w:r>
          </w:p>
          <w:p w14:paraId="4F1935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(19.15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58.96)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87F9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81.41 </w:t>
            </w:r>
          </w:p>
          <w:p w14:paraId="6BFA28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(77.03–85.11)</w:t>
            </w:r>
          </w:p>
        </w:tc>
      </w:tr>
      <w:tr w14:paraId="7F9ED2EB">
        <w:tblPrEx>
          <w:tblBorders>
            <w:top w:val="single" w:color="3F3051" w:themeColor="accent4" w:themeShade="7F" w:sz="12" w:space="0"/>
            <w:left w:val="none" w:color="auto" w:sz="0" w:space="0"/>
            <w:bottom w:val="single" w:color="3F3051" w:themeColor="accent4" w:themeShade="7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36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C7B9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HPV16/18 positive or P16 positive</w:t>
            </w:r>
          </w:p>
        </w:tc>
        <w:tc>
          <w:tcPr>
            <w:tcW w:w="9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29FC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184</w:t>
            </w:r>
          </w:p>
        </w:tc>
        <w:tc>
          <w:tcPr>
            <w:tcW w:w="11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2E9A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49.20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73C4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36</w:t>
            </w:r>
          </w:p>
        </w:tc>
        <w:tc>
          <w:tcPr>
            <w:tcW w:w="1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0AA8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19.57 </w:t>
            </w:r>
          </w:p>
          <w:p w14:paraId="7F5916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(14.48–25.89)</w:t>
            </w:r>
          </w:p>
        </w:tc>
        <w:tc>
          <w:tcPr>
            <w:tcW w:w="10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02E5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0C5C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7.07 </w:t>
            </w:r>
          </w:p>
          <w:p w14:paraId="3E7C9F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(4.18–11.71)</w:t>
            </w:r>
          </w:p>
        </w:tc>
        <w:tc>
          <w:tcPr>
            <w:tcW w:w="14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4B41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68.42</w:t>
            </w:r>
          </w:p>
          <w:p w14:paraId="09EF98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(46.01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84.64)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D53F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51.83 </w:t>
            </w:r>
          </w:p>
          <w:p w14:paraId="658754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(46.64–56.98)</w:t>
            </w:r>
          </w:p>
        </w:tc>
      </w:tr>
      <w:tr w14:paraId="6D55A34B">
        <w:tblPrEx>
          <w:tblBorders>
            <w:top w:val="single" w:color="3F3051" w:themeColor="accent4" w:themeShade="7F" w:sz="12" w:space="0"/>
            <w:left w:val="none" w:color="auto" w:sz="0" w:space="0"/>
            <w:bottom w:val="single" w:color="3F3051" w:themeColor="accent4" w:themeShade="7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36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F69A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HPV16/18 positive and P16 positive</w:t>
            </w:r>
          </w:p>
        </w:tc>
        <w:tc>
          <w:tcPr>
            <w:tcW w:w="9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EECF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29</w:t>
            </w:r>
          </w:p>
        </w:tc>
        <w:tc>
          <w:tcPr>
            <w:tcW w:w="11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4CBB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7.75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81B8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1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76C3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31.03 </w:t>
            </w:r>
          </w:p>
          <w:p w14:paraId="5129BF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(17.28–49.23)</w:t>
            </w:r>
          </w:p>
        </w:tc>
        <w:tc>
          <w:tcPr>
            <w:tcW w:w="10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0AA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4D08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20.69 </w:t>
            </w:r>
          </w:p>
          <w:p w14:paraId="495513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(9.85–38.39)</w:t>
            </w:r>
          </w:p>
        </w:tc>
        <w:tc>
          <w:tcPr>
            <w:tcW w:w="14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F547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31.58 </w:t>
            </w:r>
          </w:p>
          <w:p w14:paraId="445EEA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(15.36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53.99)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8BCB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93.52 </w:t>
            </w:r>
          </w:p>
          <w:p w14:paraId="5AAA6C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(90.47–95.64)</w:t>
            </w:r>
          </w:p>
        </w:tc>
      </w:tr>
      <w:tr w14:paraId="251BA476">
        <w:tblPrEx>
          <w:tblBorders>
            <w:top w:val="single" w:color="3F3051" w:themeColor="accent4" w:themeShade="7F" w:sz="12" w:space="0"/>
            <w:left w:val="none" w:color="auto" w:sz="0" w:space="0"/>
            <w:bottom w:val="single" w:color="3F3051" w:themeColor="accent4" w:themeShade="7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36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EF95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Other hrHPV positive and P16 positive</w:t>
            </w:r>
          </w:p>
        </w:tc>
        <w:tc>
          <w:tcPr>
            <w:tcW w:w="9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FA38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108</w:t>
            </w:r>
          </w:p>
        </w:tc>
        <w:tc>
          <w:tcPr>
            <w:tcW w:w="11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7A71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28.88</w:t>
            </w:r>
          </w:p>
        </w:tc>
        <w:tc>
          <w:tcPr>
            <w:tcW w:w="9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F7B8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24</w:t>
            </w:r>
          </w:p>
        </w:tc>
        <w:tc>
          <w:tcPr>
            <w:tcW w:w="17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72D9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22.22 </w:t>
            </w:r>
          </w:p>
          <w:p w14:paraId="2D3D6E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(15.41–30.94)</w:t>
            </w:r>
          </w:p>
        </w:tc>
        <w:tc>
          <w:tcPr>
            <w:tcW w:w="10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0C42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6B3E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5.56</w:t>
            </w:r>
          </w:p>
          <w:p w14:paraId="708507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(2.57–11.59)</w:t>
            </w:r>
          </w:p>
        </w:tc>
        <w:tc>
          <w:tcPr>
            <w:tcW w:w="148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7D87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31.58</w:t>
            </w:r>
          </w:p>
          <w:p w14:paraId="72FC28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(15.36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-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53.99)</w:t>
            </w:r>
          </w:p>
        </w:tc>
        <w:tc>
          <w:tcPr>
            <w:tcW w:w="16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6A04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>71.27</w:t>
            </w:r>
          </w:p>
          <w:p w14:paraId="6DF5DB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t xml:space="preserve"> (66.35–75.73)</w:t>
            </w:r>
          </w:p>
        </w:tc>
      </w:tr>
    </w:tbl>
    <w:p w14:paraId="538FE4C2">
      <w:pPr>
        <w:rPr>
          <w:rFonts w:hint="eastAsia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 xml:space="preserve">Note: </w:t>
      </w:r>
      <w:r>
        <w:rPr>
          <w:rFonts w:hint="eastAsia" w:ascii="Times New Roman" w:hAnsi="Times New Roman" w:cs="Times New Roman"/>
          <w:lang w:val="en-US" w:eastAsia="zh-CN"/>
        </w:rPr>
        <w:t>This subgroup analysis was restricted to HPV-positive women with NILM cytology. For each triage strategy, women meeting the specified criterion were considered referred to colposcopy. CIN2+ and CIN3+ risks were calculated within each strategy-defined subgroup. Sensitivity and specificity were calculated using CIN3+ as the clinical endpoint. HPV-positive women included those with multiple HPV infections, whereas genotype-specific strata were restricted to mutually exclusive HPV16/18-positive only and other hrHPV-positive only groups; therefore, genotype-specific strata do not necessarily sum to the total HPV-positive population.</w:t>
      </w:r>
    </w:p>
    <w:p w14:paraId="4C2180F4">
      <w:pPr>
        <w:rPr>
          <w:rFonts w:hint="eastAsia" w:ascii="Times New Roman" w:hAnsi="Times New Roman" w:cs="Times New Roman"/>
          <w:lang w:val="en-US" w:eastAsia="zh-CN"/>
        </w:rPr>
      </w:pPr>
    </w:p>
    <w:p w14:paraId="391A30A4">
      <w:pPr>
        <w:rPr>
          <w:rFonts w:hint="eastAsia" w:ascii="Times New Roman" w:hAnsi="Times New Roman" w:eastAsia="Arial"/>
          <w:b/>
          <w:sz w:val="24"/>
        </w:rPr>
      </w:pPr>
      <w:r>
        <w:rPr>
          <w:rFonts w:hint="eastAsia" w:ascii="Times New Roman" w:hAnsi="Times New Roman" w:eastAsia="Arial"/>
          <w:b/>
          <w:sz w:val="24"/>
        </w:rPr>
        <w:t xml:space="preserve">Supplementary Table </w:t>
      </w:r>
      <w:r>
        <w:rPr>
          <w:rFonts w:hint="eastAsia" w:ascii="Times New Roman" w:hAnsi="Times New Roman" w:eastAsia="宋体"/>
          <w:b/>
          <w:sz w:val="24"/>
          <w:lang w:val="en-US" w:eastAsia="zh-CN"/>
        </w:rPr>
        <w:t>5</w:t>
      </w:r>
      <w:r>
        <w:rPr>
          <w:rFonts w:hint="eastAsia" w:ascii="Times New Roman" w:hAnsi="Times New Roman" w:eastAsia="Arial"/>
          <w:b/>
          <w:sz w:val="24"/>
        </w:rPr>
        <w:t>. Logistic regression analysis of baseline predictors for one-year composite high-risk outcomes.</w:t>
      </w:r>
    </w:p>
    <w:tbl>
      <w:tblPr>
        <w:tblStyle w:val="35"/>
        <w:tblW w:w="12645" w:type="dxa"/>
        <w:tblInd w:w="0" w:type="dxa"/>
        <w:tblBorders>
          <w:top w:val="single" w:color="3F3051" w:themeColor="accent4" w:themeShade="7F" w:sz="12" w:space="0"/>
          <w:left w:val="none" w:color="auto" w:sz="0" w:space="0"/>
          <w:bottom w:val="single" w:color="3F3051" w:themeColor="accent4" w:themeShade="7F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5"/>
        <w:gridCol w:w="1717"/>
        <w:gridCol w:w="3800"/>
        <w:gridCol w:w="2950"/>
        <w:gridCol w:w="1583"/>
      </w:tblGrid>
      <w:tr w14:paraId="343306B2">
        <w:tblPrEx>
          <w:tblBorders>
            <w:top w:val="single" w:color="3F3051" w:themeColor="accent4" w:themeShade="7F" w:sz="12" w:space="0"/>
            <w:left w:val="none" w:color="auto" w:sz="0" w:space="0"/>
            <w:bottom w:val="single" w:color="3F3051" w:themeColor="accent4" w:themeShade="7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2595" w:type="dxa"/>
            <w:tcBorders>
              <w:bottom w:val="single" w:color="3B5F21" w:sz="8" w:space="0"/>
              <w:tl2br w:val="nil"/>
              <w:tr2bl w:val="nil"/>
            </w:tcBorders>
            <w:shd w:val="clear" w:color="auto" w:fill="auto"/>
            <w:vAlign w:val="center"/>
          </w:tcPr>
          <w:p w14:paraId="31BE4221">
            <w:pP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Variable</w:t>
            </w:r>
          </w:p>
        </w:tc>
        <w:tc>
          <w:tcPr>
            <w:tcW w:w="1717" w:type="dxa"/>
            <w:tcBorders>
              <w:bottom w:val="single" w:color="3B5F21" w:sz="8" w:space="0"/>
              <w:tl2br w:val="nil"/>
              <w:tr2bl w:val="nil"/>
            </w:tcBorders>
            <w:shd w:val="clear" w:color="auto" w:fill="auto"/>
            <w:vAlign w:val="center"/>
          </w:tcPr>
          <w:p w14:paraId="62EB0DBD">
            <w:pP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No. of women</w:t>
            </w:r>
          </w:p>
        </w:tc>
        <w:tc>
          <w:tcPr>
            <w:tcW w:w="3800" w:type="dxa"/>
            <w:tcBorders>
              <w:bottom w:val="single" w:color="3B5F21" w:sz="8" w:space="0"/>
              <w:tl2br w:val="nil"/>
              <w:tr2bl w:val="nil"/>
            </w:tcBorders>
            <w:shd w:val="clear" w:color="auto" w:fill="auto"/>
            <w:vAlign w:val="center"/>
          </w:tcPr>
          <w:p w14:paraId="7479D7DA">
            <w:pP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Composite high-risk outcome, n (%)</w:t>
            </w:r>
          </w:p>
        </w:tc>
        <w:tc>
          <w:tcPr>
            <w:tcW w:w="2950" w:type="dxa"/>
            <w:tcBorders>
              <w:bottom w:val="single" w:color="3B5F21" w:sz="8" w:space="0"/>
              <w:tl2br w:val="nil"/>
              <w:tr2bl w:val="nil"/>
            </w:tcBorders>
            <w:shd w:val="clear" w:color="auto" w:fill="auto"/>
            <w:vAlign w:val="center"/>
          </w:tcPr>
          <w:p w14:paraId="7F6F83B2">
            <w:pP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Univariate OR (95% CI)</w:t>
            </w:r>
          </w:p>
        </w:tc>
        <w:tc>
          <w:tcPr>
            <w:tcW w:w="1583" w:type="dxa"/>
            <w:tcBorders>
              <w:bottom w:val="single" w:color="3B5F21" w:sz="8" w:space="0"/>
              <w:tl2br w:val="nil"/>
              <w:tr2bl w:val="nil"/>
            </w:tcBorders>
            <w:shd w:val="clear" w:color="auto" w:fill="auto"/>
            <w:vAlign w:val="center"/>
          </w:tcPr>
          <w:p w14:paraId="40EA514A">
            <w:pP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P value</w:t>
            </w:r>
          </w:p>
        </w:tc>
      </w:tr>
      <w:tr w14:paraId="7AA17321">
        <w:tblPrEx>
          <w:tblBorders>
            <w:top w:val="single" w:color="3F3051" w:themeColor="accent4" w:themeShade="7F" w:sz="12" w:space="0"/>
            <w:left w:val="none" w:color="auto" w:sz="0" w:space="0"/>
            <w:bottom w:val="single" w:color="3F3051" w:themeColor="accent4" w:themeShade="7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2595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366DB9A5">
            <w:pP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Age &gt;45 years</w:t>
            </w:r>
          </w:p>
        </w:tc>
        <w:tc>
          <w:tcPr>
            <w:tcW w:w="1717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290BDC5C">
            <w:pP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328</w:t>
            </w:r>
          </w:p>
        </w:tc>
        <w:tc>
          <w:tcPr>
            <w:tcW w:w="3800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1FC4BE77">
            <w:pP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57 (17.4%)</w:t>
            </w:r>
          </w:p>
        </w:tc>
        <w:tc>
          <w:tcPr>
            <w:tcW w:w="2950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6C87E626">
            <w:pP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2.62 (1.66–4.13)</w:t>
            </w:r>
          </w:p>
        </w:tc>
        <w:tc>
          <w:tcPr>
            <w:tcW w:w="1583" w:type="dxa"/>
            <w:tcBorders>
              <w:bottom w:val="nil"/>
              <w:tl2br w:val="nil"/>
              <w:tr2bl w:val="nil"/>
            </w:tcBorders>
            <w:shd w:val="clear" w:color="auto" w:fill="auto"/>
            <w:vAlign w:val="center"/>
          </w:tcPr>
          <w:p w14:paraId="0A81E49B">
            <w:pP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  <w:tr w14:paraId="7E0E9E89">
        <w:tblPrEx>
          <w:tblBorders>
            <w:top w:val="single" w:color="3F3051" w:themeColor="accent4" w:themeShade="7F" w:sz="12" w:space="0"/>
            <w:left w:val="none" w:color="auto" w:sz="0" w:space="0"/>
            <w:bottom w:val="single" w:color="3F3051" w:themeColor="accent4" w:themeShade="7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25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16E866">
            <w:pP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HPV16/18 positivity</w:t>
            </w:r>
          </w:p>
        </w:tc>
        <w:tc>
          <w:tcPr>
            <w:tcW w:w="1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B5C853">
            <w:pP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98</w:t>
            </w:r>
          </w:p>
        </w:tc>
        <w:tc>
          <w:tcPr>
            <w:tcW w:w="3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F75470">
            <w:pP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22 (22.4%)</w:t>
            </w:r>
          </w:p>
        </w:tc>
        <w:tc>
          <w:tcPr>
            <w:tcW w:w="2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8EEF15">
            <w:pP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2.58 (1.51–4.41)</w:t>
            </w:r>
          </w:p>
        </w:tc>
        <w:tc>
          <w:tcPr>
            <w:tcW w:w="15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B4CD1E">
            <w:pP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0.001</w:t>
            </w:r>
          </w:p>
        </w:tc>
      </w:tr>
      <w:tr w14:paraId="226A9154">
        <w:tblPrEx>
          <w:tblBorders>
            <w:top w:val="single" w:color="3F3051" w:themeColor="accent4" w:themeShade="7F" w:sz="12" w:space="0"/>
            <w:left w:val="none" w:color="auto" w:sz="0" w:space="0"/>
            <w:bottom w:val="single" w:color="3F3051" w:themeColor="accent4" w:themeShade="7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259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E0DBAC">
            <w:pP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Cytology ≥ASC-US</w:t>
            </w:r>
          </w:p>
        </w:tc>
        <w:tc>
          <w:tcPr>
            <w:tcW w:w="171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EDEE14">
            <w:pP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544</w:t>
            </w:r>
          </w:p>
        </w:tc>
        <w:tc>
          <w:tcPr>
            <w:tcW w:w="38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762052">
            <w:pP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77 (14.2%)</w:t>
            </w:r>
          </w:p>
        </w:tc>
        <w:tc>
          <w:tcPr>
            <w:tcW w:w="295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9F62A1">
            <w:pP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2.73 (1.48–5.02)</w:t>
            </w:r>
          </w:p>
        </w:tc>
        <w:tc>
          <w:tcPr>
            <w:tcW w:w="15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8DB0A3">
            <w:pP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  <w:tr w14:paraId="3FFAF64B">
        <w:tblPrEx>
          <w:tblBorders>
            <w:top w:val="single" w:color="3F3051" w:themeColor="accent4" w:themeShade="7F" w:sz="12" w:space="0"/>
            <w:left w:val="none" w:color="auto" w:sz="0" w:space="0"/>
            <w:bottom w:val="single" w:color="3F3051" w:themeColor="accent4" w:themeShade="7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2595" w:type="dxa"/>
            <w:shd w:val="clear" w:color="auto" w:fill="auto"/>
            <w:vAlign w:val="center"/>
          </w:tcPr>
          <w:p w14:paraId="60906D53">
            <w:pP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P16 positivity</w:t>
            </w:r>
          </w:p>
        </w:tc>
        <w:tc>
          <w:tcPr>
            <w:tcW w:w="1717" w:type="dxa"/>
            <w:shd w:val="clear" w:color="auto" w:fill="auto"/>
            <w:vAlign w:val="center"/>
          </w:tcPr>
          <w:p w14:paraId="73DAD94A">
            <w:pP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412</w:t>
            </w:r>
          </w:p>
        </w:tc>
        <w:tc>
          <w:tcPr>
            <w:tcW w:w="3800" w:type="dxa"/>
            <w:shd w:val="clear" w:color="auto" w:fill="auto"/>
            <w:vAlign w:val="center"/>
          </w:tcPr>
          <w:p w14:paraId="57267AAE">
            <w:pP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79 (19.2%)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043AA69E">
            <w:pP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7.53 (3.94–14.39)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6499A0C5">
            <w:pP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  <w:tr w14:paraId="4B04486A">
        <w:tblPrEx>
          <w:tblBorders>
            <w:top w:val="single" w:color="3F3051" w:themeColor="accent4" w:themeShade="7F" w:sz="12" w:space="0"/>
            <w:left w:val="none" w:color="auto" w:sz="0" w:space="0"/>
            <w:bottom w:val="single" w:color="3F3051" w:themeColor="accent4" w:themeShade="7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2595" w:type="dxa"/>
            <w:shd w:val="clear" w:color="auto" w:fill="auto"/>
            <w:vAlign w:val="center"/>
          </w:tcPr>
          <w:p w14:paraId="2137E6F0">
            <w:pP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Baseline CIN1</w:t>
            </w:r>
          </w:p>
        </w:tc>
        <w:tc>
          <w:tcPr>
            <w:tcW w:w="1717" w:type="dxa"/>
            <w:shd w:val="clear" w:color="auto" w:fill="auto"/>
            <w:vAlign w:val="center"/>
          </w:tcPr>
          <w:p w14:paraId="2A54DC1B">
            <w:pP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528</w:t>
            </w:r>
          </w:p>
        </w:tc>
        <w:tc>
          <w:tcPr>
            <w:tcW w:w="3800" w:type="dxa"/>
            <w:shd w:val="clear" w:color="auto" w:fill="auto"/>
            <w:vAlign w:val="center"/>
          </w:tcPr>
          <w:p w14:paraId="153DF713">
            <w:pP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84 (15.9%)</w:t>
            </w:r>
          </w:p>
        </w:tc>
        <w:tc>
          <w:tcPr>
            <w:tcW w:w="2950" w:type="dxa"/>
            <w:shd w:val="clear" w:color="auto" w:fill="auto"/>
            <w:vAlign w:val="center"/>
          </w:tcPr>
          <w:p w14:paraId="0A3DAEC2">
            <w:pP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7.51 (3.24–17.41)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5FFDDCB0">
            <w:pP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vertAlign w:val="baseline"/>
                <w:lang w:val="en-US" w:eastAsia="zh-CN"/>
              </w:rPr>
              <w:t>&lt;0.001</w:t>
            </w:r>
          </w:p>
        </w:tc>
      </w:tr>
    </w:tbl>
    <w:p w14:paraId="3CB049B4">
      <w:pPr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 xml:space="preserve">Note: </w:t>
      </w:r>
      <w:r>
        <w:rPr>
          <w:rFonts w:hint="default" w:ascii="Times New Roman" w:hAnsi="Times New Roman" w:cs="Times New Roman"/>
          <w:lang w:val="en-US" w:eastAsia="zh-CN"/>
        </w:rPr>
        <w:t>The analysis was restricted to baseline HPV-positive women with valid cytology and P16 results, baseline histology &lt;CIN2, and eligible 1-year follow-up data. The composite high-risk outcome was defined as any of the following at 1 year: persistent HPV positivity with ASC-US+ cytology, P16 positivity, or histologically confirmed CIN2+/CIN3+ if available. Univariate ORs were calculated using logistic regression. Reference groups were age ≤45 years, HPV16/18 negative or other hrHPV, NILM cytology, P16 negativity, and baseline normal histology. OR, odds ratio; CI, confidence interval.</w:t>
      </w:r>
    </w:p>
    <w:p w14:paraId="6E96C8C8">
      <w:pPr>
        <w:rPr>
          <w:rFonts w:hint="default" w:ascii="Times New Roman" w:hAnsi="Times New Roman" w:cs="Times New Roman"/>
          <w:b w:val="0"/>
          <w:bCs w:val="0"/>
          <w:sz w:val="24"/>
          <w:szCs w:val="32"/>
          <w:vertAlign w:val="baseline"/>
        </w:rPr>
      </w:pPr>
    </w:p>
    <w:p w14:paraId="302446D5">
      <w:pPr>
        <w:rPr>
          <w:rFonts w:hint="default" w:ascii="Times New Roman" w:hAnsi="Times New Roman" w:cs="Times New Roman"/>
          <w:b w:val="0"/>
          <w:bCs w:val="0"/>
          <w:sz w:val="24"/>
          <w:szCs w:val="32"/>
          <w:vertAlign w:val="baseline"/>
        </w:rPr>
      </w:pPr>
    </w:p>
    <w:p w14:paraId="723AE1AD">
      <w:pPr>
        <w:rPr>
          <w:rFonts w:hint="default" w:ascii="Times New Roman" w:hAnsi="Times New Roman" w:cs="Times New Roman"/>
          <w:b w:val="0"/>
          <w:bCs w:val="0"/>
          <w:sz w:val="24"/>
          <w:szCs w:val="32"/>
          <w:vertAlign w:val="baseline"/>
        </w:rPr>
      </w:pPr>
    </w:p>
    <w:p w14:paraId="436DDFC2">
      <w:pPr>
        <w:rPr>
          <w:rFonts w:hint="default" w:ascii="Times New Roman" w:hAnsi="Times New Roman" w:cs="Times New Roman"/>
          <w:b w:val="0"/>
          <w:bCs w:val="0"/>
          <w:sz w:val="24"/>
          <w:szCs w:val="32"/>
          <w:vertAlign w:val="baseline"/>
        </w:rPr>
      </w:pPr>
    </w:p>
    <w:p w14:paraId="0D0F53E5">
      <w:pPr>
        <w:rPr>
          <w:rFonts w:hint="default" w:ascii="Times New Roman" w:hAnsi="Times New Roman" w:cs="Times New Roman"/>
          <w:b w:val="0"/>
          <w:bCs w:val="0"/>
          <w:sz w:val="24"/>
          <w:szCs w:val="32"/>
          <w:vertAlign w:val="baseline"/>
        </w:rPr>
      </w:pPr>
    </w:p>
    <w:p w14:paraId="33005A3F">
      <w:pPr>
        <w:rPr>
          <w:rFonts w:hint="eastAsia" w:ascii="Times New Roman" w:hAnsi="Times New Roman" w:eastAsia="宋体"/>
          <w:b/>
          <w:sz w:val="24"/>
          <w:lang w:val="en-US" w:eastAsia="zh-CN"/>
        </w:rPr>
      </w:pPr>
      <w:r>
        <w:rPr>
          <w:rFonts w:hint="eastAsia" w:ascii="Times New Roman" w:hAnsi="Times New Roman" w:eastAsia="Arial"/>
          <w:b/>
          <w:sz w:val="24"/>
        </w:rPr>
        <w:t xml:space="preserve">Supplementary Table </w:t>
      </w:r>
      <w:r>
        <w:rPr>
          <w:rFonts w:hint="eastAsia" w:ascii="Times New Roman" w:hAnsi="Times New Roman" w:eastAsia="宋体"/>
          <w:b/>
          <w:sz w:val="24"/>
          <w:lang w:val="en-US" w:eastAsia="zh-CN"/>
        </w:rPr>
        <w:t>6. Multivariable bias-reduced logistic regression for one-year CIN2+ detection.</w:t>
      </w:r>
    </w:p>
    <w:tbl>
      <w:tblPr>
        <w:tblStyle w:val="35"/>
        <w:tblW w:w="9084" w:type="dxa"/>
        <w:jc w:val="center"/>
        <w:tblBorders>
          <w:top w:val="single" w:color="3F3051" w:themeColor="accent4" w:themeShade="7F" w:sz="12" w:space="0"/>
          <w:left w:val="none" w:color="auto" w:sz="0" w:space="0"/>
          <w:bottom w:val="single" w:color="3F3051" w:themeColor="accent4" w:themeShade="7F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01"/>
        <w:gridCol w:w="2040"/>
        <w:gridCol w:w="1920"/>
        <w:gridCol w:w="1823"/>
      </w:tblGrid>
      <w:tr w14:paraId="4F32BD36">
        <w:tblPrEx>
          <w:tblBorders>
            <w:top w:val="single" w:color="3F3051" w:themeColor="accent4" w:themeShade="7F" w:sz="12" w:space="0"/>
            <w:left w:val="none" w:color="auto" w:sz="0" w:space="0"/>
            <w:bottom w:val="single" w:color="3F3051" w:themeColor="accent4" w:themeShade="7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3301" w:type="dxa"/>
            <w:tcBorders>
              <w:bottom w:val="single" w:color="3B5F21" w:sz="8" w:space="0"/>
              <w:tl2br w:val="nil"/>
              <w:tr2bl w:val="nil"/>
            </w:tcBorders>
            <w:shd w:val="clear" w:color="auto" w:fill="auto"/>
            <w:vAlign w:val="top"/>
          </w:tcPr>
          <w:p w14:paraId="4B7AF5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vertAlign w:val="baseline"/>
                <w:lang w:val="en-US" w:eastAsia="zh-CN"/>
              </w:rPr>
              <w:t>Predictor</w:t>
            </w:r>
          </w:p>
        </w:tc>
        <w:tc>
          <w:tcPr>
            <w:tcW w:w="2040" w:type="dxa"/>
            <w:tcBorders>
              <w:bottom w:val="single" w:color="3B5F21" w:sz="8" w:space="0"/>
              <w:tl2br w:val="nil"/>
              <w:tr2bl w:val="nil"/>
            </w:tcBorders>
            <w:shd w:val="clear" w:color="auto" w:fill="auto"/>
            <w:vAlign w:val="top"/>
          </w:tcPr>
          <w:p w14:paraId="75D780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eastAsia" w:ascii="Times New Roman" w:hAnsi="Times New Roman" w:cs="Times New Roman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vertAlign w:val="baseline"/>
                <w:lang w:val="en-US" w:eastAsia="zh-CN"/>
              </w:rPr>
              <w:t>Adjusted OR</w:t>
            </w:r>
          </w:p>
        </w:tc>
        <w:tc>
          <w:tcPr>
            <w:tcW w:w="1920" w:type="dxa"/>
            <w:tcBorders>
              <w:bottom w:val="single" w:color="3B5F21" w:sz="8" w:space="0"/>
              <w:tl2br w:val="nil"/>
              <w:tr2bl w:val="nil"/>
            </w:tcBorders>
            <w:shd w:val="clear" w:color="auto" w:fill="auto"/>
            <w:vAlign w:val="top"/>
          </w:tcPr>
          <w:p w14:paraId="53B07D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vertAlign w:val="baseline"/>
                <w:lang w:val="en-US" w:eastAsia="zh-CN"/>
              </w:rPr>
              <w:t>95% CI</w:t>
            </w:r>
          </w:p>
        </w:tc>
        <w:tc>
          <w:tcPr>
            <w:tcW w:w="1823" w:type="dxa"/>
            <w:tcBorders>
              <w:bottom w:val="single" w:color="3B5F21" w:sz="8" w:space="0"/>
              <w:tl2br w:val="nil"/>
              <w:tr2bl w:val="nil"/>
            </w:tcBorders>
            <w:shd w:val="clear" w:color="auto" w:fill="auto"/>
            <w:vAlign w:val="top"/>
          </w:tcPr>
          <w:p w14:paraId="5575E9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/>
                <w:vertAlign w:val="baseline"/>
                <w:lang w:val="en-US" w:eastAsia="zh-CN"/>
              </w:rPr>
              <w:t>P value</w:t>
            </w:r>
          </w:p>
        </w:tc>
      </w:tr>
      <w:tr w14:paraId="591DD56B">
        <w:tblPrEx>
          <w:tblBorders>
            <w:top w:val="single" w:color="3F3051" w:themeColor="accent4" w:themeShade="7F" w:sz="12" w:space="0"/>
            <w:left w:val="none" w:color="auto" w:sz="0" w:space="0"/>
            <w:bottom w:val="single" w:color="3F3051" w:themeColor="accent4" w:themeShade="7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3301" w:type="dxa"/>
            <w:tcBorders>
              <w:bottom w:val="nil"/>
              <w:tl2br w:val="nil"/>
              <w:tr2bl w:val="nil"/>
            </w:tcBorders>
            <w:shd w:val="clear" w:color="auto" w:fill="auto"/>
            <w:vAlign w:val="top"/>
          </w:tcPr>
          <w:p w14:paraId="3A21F6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  <w:t>Baseline p16 positive</w:t>
            </w:r>
          </w:p>
        </w:tc>
        <w:tc>
          <w:tcPr>
            <w:tcW w:w="2040" w:type="dxa"/>
            <w:tcBorders>
              <w:bottom w:val="nil"/>
              <w:tl2br w:val="nil"/>
              <w:tr2bl w:val="nil"/>
            </w:tcBorders>
            <w:shd w:val="clear" w:color="auto" w:fill="auto"/>
            <w:vAlign w:val="top"/>
          </w:tcPr>
          <w:p w14:paraId="1A6E65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  <w:t>9.53</w:t>
            </w:r>
          </w:p>
        </w:tc>
        <w:tc>
          <w:tcPr>
            <w:tcW w:w="1920" w:type="dxa"/>
            <w:tcBorders>
              <w:bottom w:val="nil"/>
              <w:tl2br w:val="nil"/>
              <w:tr2bl w:val="nil"/>
            </w:tcBorders>
            <w:shd w:val="clear" w:color="auto" w:fill="auto"/>
            <w:vAlign w:val="top"/>
          </w:tcPr>
          <w:p w14:paraId="6BD5E3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  <w:t>3.80-23.95</w:t>
            </w:r>
          </w:p>
        </w:tc>
        <w:tc>
          <w:tcPr>
            <w:tcW w:w="1823" w:type="dxa"/>
            <w:tcBorders>
              <w:bottom w:val="nil"/>
              <w:tl2br w:val="nil"/>
              <w:tr2bl w:val="nil"/>
            </w:tcBorders>
            <w:shd w:val="clear" w:color="auto" w:fill="auto"/>
            <w:vAlign w:val="top"/>
          </w:tcPr>
          <w:p w14:paraId="5F5F07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  <w:t>&lt;0.001</w:t>
            </w:r>
          </w:p>
        </w:tc>
      </w:tr>
      <w:tr w14:paraId="281ACD01">
        <w:tblPrEx>
          <w:tblBorders>
            <w:top w:val="single" w:color="3F3051" w:themeColor="accent4" w:themeShade="7F" w:sz="12" w:space="0"/>
            <w:left w:val="none" w:color="auto" w:sz="0" w:space="0"/>
            <w:bottom w:val="single" w:color="3F3051" w:themeColor="accent4" w:themeShade="7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3301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6952C0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  <w:t>Age &gt;45 years</w:t>
            </w: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DB6BB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  <w:t>2.52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1DE27E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  <w:t>0.97-6.55</w:t>
            </w:r>
          </w:p>
        </w:tc>
        <w:tc>
          <w:tcPr>
            <w:tcW w:w="18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75055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  <w:t>0.057</w:t>
            </w:r>
          </w:p>
        </w:tc>
      </w:tr>
      <w:tr w14:paraId="386D199A">
        <w:tblPrEx>
          <w:tblBorders>
            <w:top w:val="single" w:color="3F3051" w:themeColor="accent4" w:themeShade="7F" w:sz="12" w:space="0"/>
            <w:left w:val="none" w:color="auto" w:sz="0" w:space="0"/>
            <w:bottom w:val="single" w:color="3F3051" w:themeColor="accent4" w:themeShade="7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3301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B8AC4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  <w:t>HPV16/18 positive</w:t>
            </w: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B9870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  <w:t>5.53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5ED07E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  <w:t>1.72-17.79</w:t>
            </w:r>
          </w:p>
        </w:tc>
        <w:tc>
          <w:tcPr>
            <w:tcW w:w="18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3138F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  <w:t>0.004</w:t>
            </w:r>
          </w:p>
        </w:tc>
      </w:tr>
      <w:tr w14:paraId="2A22F92B">
        <w:tblPrEx>
          <w:tblBorders>
            <w:top w:val="single" w:color="3F3051" w:themeColor="accent4" w:themeShade="7F" w:sz="12" w:space="0"/>
            <w:left w:val="none" w:color="auto" w:sz="0" w:space="0"/>
            <w:bottom w:val="single" w:color="3F3051" w:themeColor="accent4" w:themeShade="7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3301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BA1B0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  <w:t>Baseline ASC-US+ cytology</w:t>
            </w: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F2106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  <w:t>19.17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338C27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  <w:t>5.53-66.49</w:t>
            </w:r>
          </w:p>
        </w:tc>
        <w:tc>
          <w:tcPr>
            <w:tcW w:w="18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DDB11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  <w:t>&lt;0.001</w:t>
            </w:r>
          </w:p>
        </w:tc>
      </w:tr>
      <w:tr w14:paraId="5EFBC66C">
        <w:tblPrEx>
          <w:tblBorders>
            <w:top w:val="single" w:color="3F3051" w:themeColor="accent4" w:themeShade="7F" w:sz="12" w:space="0"/>
            <w:left w:val="none" w:color="auto" w:sz="0" w:space="0"/>
            <w:bottom w:val="single" w:color="3F3051" w:themeColor="accent4" w:themeShade="7F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3301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01B1C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  <w:t>Baseline CIN1 histology</w:t>
            </w:r>
          </w:p>
        </w:tc>
        <w:tc>
          <w:tcPr>
            <w:tcW w:w="204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42012A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  <w:t>81.00</w:t>
            </w:r>
          </w:p>
        </w:tc>
        <w:tc>
          <w:tcPr>
            <w:tcW w:w="1920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0ECFC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  <w:t>4.50-1458.30</w:t>
            </w:r>
          </w:p>
        </w:tc>
        <w:tc>
          <w:tcPr>
            <w:tcW w:w="1823" w:type="dxa"/>
            <w:tcBorders>
              <w:tl2br w:val="nil"/>
              <w:tr2bl w:val="nil"/>
            </w:tcBorders>
            <w:shd w:val="clear" w:color="auto" w:fill="auto"/>
            <w:vAlign w:val="top"/>
          </w:tcPr>
          <w:p w14:paraId="7FFF36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40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 w:val="0"/>
                <w:bCs w:val="0"/>
                <w:vertAlign w:val="baseline"/>
                <w:lang w:val="en-US" w:eastAsia="zh-CN"/>
              </w:rPr>
              <w:t>0.003</w:t>
            </w:r>
          </w:p>
        </w:tc>
      </w:tr>
    </w:tbl>
    <w:p w14:paraId="68FFD02C">
      <w:r>
        <w:rPr>
          <w:rFonts w:hint="eastAsia" w:ascii="Times New Roman" w:hAnsi="Times New Roman" w:cs="Times New Roman"/>
          <w:b/>
          <w:bCs/>
          <w:highlight w:val="none"/>
          <w:lang w:val="en-US" w:eastAsia="zh-CN"/>
        </w:rPr>
        <w:t xml:space="preserve">Note: 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The one-year follow-up cohort was restricted to baseline HPV-positive women with valid baseline cytology and p16 results, baseline histology &lt;CIN2, and eligible one-year follow-up data. The outcome variable was histologically confirmed CIN2+ detected during one-year follow-up. Adjusted odds ratios (ORs), 95% confidence intervals (CIs), and P values were estimated using Firth’s bias-reduced logistic regression because of the limited number of one-year CIN2+ events</w:t>
      </w:r>
    </w:p>
    <w:p w14:paraId="670D1BD8"/>
    <w:p w14:paraId="16AD7DD6"/>
    <w:p w14:paraId="205F13E3"/>
    <w:p w14:paraId="53442DED"/>
    <w:p w14:paraId="1193F3AE"/>
    <w:p w14:paraId="22CDA319"/>
    <w:p w14:paraId="13FD1940"/>
    <w:p w14:paraId="0DA098D9">
      <w:pPr>
        <w:numPr>
          <w:ilvl w:val="0"/>
          <w:numId w:val="7"/>
        </w:numPr>
        <w:spacing w:before="240" w:after="240" w:line="480" w:lineRule="auto"/>
        <w:contextualSpacing w:val="0"/>
        <w:outlineLvl w:val="0"/>
        <w:rPr>
          <w:rFonts w:ascii="Times New Roman" w:hAnsi="Times New Roman" w:eastAsia="Cambria" w:cs="Times New Roman"/>
          <w:b/>
          <w:sz w:val="24"/>
          <w:szCs w:val="24"/>
          <w:lang w:val="en-US" w:eastAsia="en-US" w:bidi="ar-SA"/>
        </w:rPr>
      </w:pPr>
      <w:r>
        <w:rPr>
          <w:rFonts w:ascii="Times New Roman" w:hAnsi="Times New Roman" w:eastAsia="Cambria" w:cs="Times New Roman"/>
          <w:b/>
          <w:sz w:val="24"/>
          <w:szCs w:val="24"/>
          <w:lang w:val="en-US" w:eastAsia="en-US" w:bidi="ar-SA"/>
        </w:rPr>
        <w:t xml:space="preserve">Supplementary </w:t>
      </w:r>
      <w:r>
        <w:rPr>
          <w:rFonts w:hint="eastAsia" w:ascii="Times New Roman" w:hAnsi="Times New Roman" w:eastAsia="宋体" w:cs="Times New Roman"/>
          <w:b/>
          <w:sz w:val="24"/>
          <w:szCs w:val="24"/>
          <w:lang w:val="en-US" w:eastAsia="zh-CN" w:bidi="ar-SA"/>
        </w:rPr>
        <w:t>Figures</w:t>
      </w:r>
    </w:p>
    <w:p w14:paraId="32600C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center"/>
        <w:textAlignment w:val="auto"/>
      </w:pPr>
      <w:r>
        <w:drawing>
          <wp:inline distT="0" distB="0" distL="114300" distR="114300">
            <wp:extent cx="5943600" cy="3698875"/>
            <wp:effectExtent l="0" t="0" r="0" b="158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98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CFF7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center"/>
        <w:textAlignment w:val="auto"/>
        <w:rPr>
          <w:rFonts w:ascii="Times New Roman" w:hAnsi="Times New Roman" w:eastAsia="Arial"/>
          <w:b w:val="0"/>
          <w:bCs w:val="0"/>
          <w:sz w:val="24"/>
        </w:rPr>
      </w:pPr>
      <w:r>
        <w:rPr>
          <w:rFonts w:hint="eastAsia" w:ascii="Times New Roman" w:hAnsi="Times New Roman" w:eastAsia="Arial"/>
          <w:b/>
          <w:bCs/>
          <w:sz w:val="24"/>
        </w:rPr>
        <w:t>Supplementary Figure</w:t>
      </w:r>
      <w:r>
        <w:rPr>
          <w:rFonts w:hint="eastAsia" w:ascii="Times New Roman" w:hAnsi="Times New Roman" w:eastAsia="宋体"/>
          <w:b/>
          <w:bCs/>
          <w:sz w:val="24"/>
          <w:lang w:val="en-US" w:eastAsia="zh-CN"/>
        </w:rPr>
        <w:t xml:space="preserve"> 1</w:t>
      </w:r>
      <w:r>
        <w:rPr>
          <w:rFonts w:ascii="Times New Roman" w:hAnsi="Times New Roman" w:eastAsia="Arial"/>
          <w:b/>
          <w:bCs/>
          <w:sz w:val="24"/>
        </w:rPr>
        <w:t xml:space="preserve">. Traffic-light risk summary of immediate and one-year risks after combined HPV, cytology and p16 triage. </w:t>
      </w:r>
      <w:r>
        <w:rPr>
          <w:rFonts w:ascii="Times New Roman" w:hAnsi="Times New Roman" w:eastAsia="Arial"/>
          <w:b w:val="0"/>
          <w:bCs w:val="0"/>
          <w:sz w:val="24"/>
        </w:rPr>
        <w:t xml:space="preserve">Green indicates risk &lt;4%, amber indicates risk 4% to &lt;25%, and red indicates risk &gt;=25%. Immediate risks were calculated for CIN3+ in the pathology-confirmed cohort, whereas one-year risks were calculated for histologically confirmed CIN2+ in the follow-up cohort with baseline histology &lt;CIN2. </w:t>
      </w:r>
    </w:p>
    <w:p w14:paraId="29D64F94"/>
    <w:sectPr>
      <w:pgSz w:w="16838" w:h="11906" w:orient="landscape"/>
      <w:pgMar w:top="1800" w:right="1440" w:bottom="180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7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1EC0601A"/>
    <w:multiLevelType w:val="multilevel"/>
    <w:tmpl w:val="1EC0601A"/>
    <w:lvl w:ilvl="0" w:tentative="0">
      <w:start w:val="1"/>
      <w:numFmt w:val="decimal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 w:tentative="0">
      <w:start w:val="1"/>
      <w:numFmt w:val="decimal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216351E"/>
    <w:rsid w:val="07A11279"/>
    <w:rsid w:val="07EF03E6"/>
    <w:rsid w:val="08B72E20"/>
    <w:rsid w:val="0AC40FE8"/>
    <w:rsid w:val="0D9C2C0E"/>
    <w:rsid w:val="22392BD8"/>
    <w:rsid w:val="23DC40A3"/>
    <w:rsid w:val="330C6454"/>
    <w:rsid w:val="358D6913"/>
    <w:rsid w:val="39DC420F"/>
    <w:rsid w:val="3B0C0B24"/>
    <w:rsid w:val="3CD64F45"/>
    <w:rsid w:val="40EA6C37"/>
    <w:rsid w:val="42816B30"/>
    <w:rsid w:val="43D35EE7"/>
    <w:rsid w:val="46181CD3"/>
    <w:rsid w:val="46E22739"/>
    <w:rsid w:val="4BBB6659"/>
    <w:rsid w:val="4F427EF3"/>
    <w:rsid w:val="56703650"/>
    <w:rsid w:val="57BE4AFC"/>
    <w:rsid w:val="57CC6861"/>
    <w:rsid w:val="58360B36"/>
    <w:rsid w:val="6D9F7164"/>
    <w:rsid w:val="6FF173C5"/>
    <w:rsid w:val="7C674BB8"/>
    <w:rsid w:val="7DD81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="Arial" w:cstheme="minorBidi"/>
      <w:sz w:val="22"/>
      <w:szCs w:val="22"/>
      <w:lang w:val="en-US" w:eastAsia="en-US" w:bidi="ar-SA"/>
    </w:rPr>
  </w:style>
  <w:style w:type="paragraph" w:styleId="3">
    <w:name w:val="heading 1"/>
    <w:basedOn w:val="4"/>
    <w:next w:val="1"/>
    <w:link w:val="141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5">
    <w:name w:val="heading 2"/>
    <w:basedOn w:val="3"/>
    <w:next w:val="1"/>
    <w:link w:val="142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6">
    <w:name w:val="heading 3"/>
    <w:basedOn w:val="1"/>
    <w:next w:val="1"/>
    <w:link w:val="143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4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8">
    <w:name w:val="heading 5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9">
    <w:name w:val="heading 6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10">
    <w:name w:val="heading 7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1">
    <w:name w:val="heading 8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2">
    <w:name w:val="heading 9"/>
    <w:basedOn w:val="1"/>
    <w:next w:val="1"/>
    <w:link w:val="157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4">
    <w:name w:val="Default Paragraph Font"/>
    <w:semiHidden/>
    <w:unhideWhenUsed/>
    <w:qFormat/>
    <w:uiPriority w:val="1"/>
  </w:style>
  <w:style w:type="table" w:default="1" w:styleId="3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9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4">
    <w:name w:val="List Paragraph"/>
    <w:basedOn w:val="1"/>
    <w:qFormat/>
    <w:uiPriority w:val="34"/>
    <w:pPr>
      <w:ind w:left="720"/>
      <w:contextualSpacing/>
    </w:pPr>
  </w:style>
  <w:style w:type="paragraph" w:styleId="13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4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5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7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8">
    <w:name w:val="Body Text 3"/>
    <w:basedOn w:val="1"/>
    <w:link w:val="148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46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3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3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5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47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2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3">
    <w:name w:val="Title"/>
    <w:basedOn w:val="1"/>
    <w:next w:val="1"/>
    <w:link w:val="144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5">
    <w:name w:val="Table Grid"/>
    <w:basedOn w:val="3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6">
    <w:name w:val="Light Shading"/>
    <w:basedOn w:val="34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7">
    <w:name w:val="Light Shading Accent 1"/>
    <w:basedOn w:val="34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8">
    <w:name w:val="Light Shading Accent 2"/>
    <w:basedOn w:val="34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9">
    <w:name w:val="Light Shading Accent 3"/>
    <w:basedOn w:val="34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0">
    <w:name w:val="Light Shading Accent 4"/>
    <w:basedOn w:val="34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1">
    <w:name w:val="Light Shading Accent 5"/>
    <w:basedOn w:val="34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2">
    <w:name w:val="Light Shading Accent 6"/>
    <w:basedOn w:val="34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3">
    <w:name w:val="Light List"/>
    <w:basedOn w:val="34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4">
    <w:name w:val="Light List Accent 1"/>
    <w:basedOn w:val="34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5">
    <w:name w:val="Light List Accent 2"/>
    <w:basedOn w:val="34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6">
    <w:name w:val="Light List Accent 3"/>
    <w:basedOn w:val="34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7">
    <w:name w:val="Light List Accent 4"/>
    <w:basedOn w:val="34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8">
    <w:name w:val="Light List Accent 5"/>
    <w:basedOn w:val="34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9">
    <w:name w:val="Light List Accent 6"/>
    <w:basedOn w:val="34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0">
    <w:name w:val="Light Grid"/>
    <w:basedOn w:val="34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1">
    <w:name w:val="Light Grid Accent 1"/>
    <w:basedOn w:val="34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2">
    <w:name w:val="Light Grid Accent 2"/>
    <w:basedOn w:val="34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3">
    <w:name w:val="Light Grid Accent 3"/>
    <w:basedOn w:val="34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4">
    <w:name w:val="Light Grid Accent 4"/>
    <w:basedOn w:val="34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5">
    <w:name w:val="Light Grid Accent 5"/>
    <w:basedOn w:val="34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6">
    <w:name w:val="Light Grid Accent 6"/>
    <w:basedOn w:val="34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7">
    <w:name w:val="Medium Shading 1"/>
    <w:basedOn w:val="34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1"/>
    <w:basedOn w:val="34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2"/>
    <w:basedOn w:val="34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3"/>
    <w:basedOn w:val="34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4"/>
    <w:basedOn w:val="34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5"/>
    <w:basedOn w:val="34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6"/>
    <w:basedOn w:val="34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1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2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3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4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5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6"/>
    <w:basedOn w:val="34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Lis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2">
    <w:name w:val="Medium List 1 Accent 1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3">
    <w:name w:val="Medium List 1 Accent 2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4">
    <w:name w:val="Medium List 1 Accent 3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5">
    <w:name w:val="Medium List 1 Accent 4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6">
    <w:name w:val="Medium List 1 Accent 5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7">
    <w:name w:val="Medium List 1 Accent 6"/>
    <w:basedOn w:val="34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8">
    <w:name w:val="Medium Lis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1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2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3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4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5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6"/>
    <w:basedOn w:val="34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Grid 1"/>
    <w:basedOn w:val="34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6">
    <w:name w:val="Medium Grid 1 Accent 1"/>
    <w:basedOn w:val="34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7">
    <w:name w:val="Medium Grid 1 Accent 2"/>
    <w:basedOn w:val="34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8">
    <w:name w:val="Medium Grid 1 Accent 3"/>
    <w:basedOn w:val="34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9">
    <w:name w:val="Medium Grid 1 Accent 4"/>
    <w:basedOn w:val="34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0">
    <w:name w:val="Medium Grid 1 Accent 5"/>
    <w:basedOn w:val="34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1">
    <w:name w:val="Medium Grid 1 Accent 6"/>
    <w:basedOn w:val="34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2">
    <w:name w:val="Medium Grid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1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2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3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4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5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6"/>
    <w:basedOn w:val="34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0">
    <w:name w:val="Medium Grid 3 Accent 1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1">
    <w:name w:val="Medium Grid 3 Accent 2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2">
    <w:name w:val="Medium Grid 3 Accent 3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3">
    <w:name w:val="Medium Grid 3 Accent 4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4">
    <w:name w:val="Medium Grid 3 Accent 5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5">
    <w:name w:val="Medium Grid 3 Accent 6"/>
    <w:basedOn w:val="34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6">
    <w:name w:val="Dark List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7">
    <w:name w:val="Dark List Accent 1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8">
    <w:name w:val="Dark List Accent 2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9">
    <w:name w:val="Dark List Accent 3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0">
    <w:name w:val="Dark List Accent 4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1">
    <w:name w:val="Dark List Accent 5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2">
    <w:name w:val="Dark List Accent 6"/>
    <w:basedOn w:val="34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3">
    <w:name w:val="Colorful Shading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1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2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3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7">
    <w:name w:val="Colorful Shading Accent 4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5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6"/>
    <w:basedOn w:val="34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List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1">
    <w:name w:val="Colorful List Accent 1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2">
    <w:name w:val="Colorful List Accent 2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3">
    <w:name w:val="Colorful List Accent 3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4">
    <w:name w:val="Colorful List Accent 4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5">
    <w:name w:val="Colorful List Accent 5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6">
    <w:name w:val="Colorful List Accent 6"/>
    <w:basedOn w:val="34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7">
    <w:name w:val="Colorful Grid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8">
    <w:name w:val="Colorful Grid Accent 1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9">
    <w:name w:val="Colorful Grid Accent 2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0">
    <w:name w:val="Colorful Grid Accent 3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1">
    <w:name w:val="Colorful Grid Accent 4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2">
    <w:name w:val="Colorful Grid Accent 5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3">
    <w:name w:val="Colorful Grid Accent 6"/>
    <w:basedOn w:val="34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Emphasis"/>
    <w:basedOn w:val="134"/>
    <w:qFormat/>
    <w:uiPriority w:val="20"/>
    <w:rPr>
      <w:i/>
      <w:iCs/>
    </w:rPr>
  </w:style>
  <w:style w:type="character" w:styleId="137">
    <w:name w:val="Hyperlink"/>
    <w:basedOn w:val="134"/>
    <w:unhideWhenUsed/>
    <w:qFormat/>
    <w:uiPriority w:val="99"/>
    <w:rPr>
      <w:color w:val="0000FF"/>
      <w:u w:val="single"/>
    </w:rPr>
  </w:style>
  <w:style w:type="character" w:customStyle="1" w:styleId="138">
    <w:name w:val="Header Char"/>
    <w:basedOn w:val="134"/>
    <w:link w:val="26"/>
    <w:qFormat/>
    <w:uiPriority w:val="99"/>
  </w:style>
  <w:style w:type="character" w:customStyle="1" w:styleId="139">
    <w:name w:val="Footer Char"/>
    <w:basedOn w:val="134"/>
    <w:link w:val="25"/>
    <w:qFormat/>
    <w:uiPriority w:val="99"/>
  </w:style>
  <w:style w:type="paragraph" w:styleId="140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41">
    <w:name w:val="Heading 1 Char"/>
    <w:basedOn w:val="134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2">
    <w:name w:val="Heading 2 Char"/>
    <w:basedOn w:val="134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3">
    <w:name w:val="Heading 3 Char"/>
    <w:basedOn w:val="134"/>
    <w:link w:val="6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4">
    <w:name w:val="Title Char"/>
    <w:basedOn w:val="134"/>
    <w:link w:val="33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5">
    <w:name w:val="Subtitle Char"/>
    <w:basedOn w:val="134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146">
    <w:name w:val="Body Text Char"/>
    <w:basedOn w:val="134"/>
    <w:link w:val="20"/>
    <w:qFormat/>
    <w:uiPriority w:val="99"/>
  </w:style>
  <w:style w:type="character" w:customStyle="1" w:styleId="147">
    <w:name w:val="Body Text 2 Char"/>
    <w:basedOn w:val="134"/>
    <w:link w:val="29"/>
    <w:qFormat/>
    <w:uiPriority w:val="99"/>
  </w:style>
  <w:style w:type="character" w:customStyle="1" w:styleId="148">
    <w:name w:val="Body Text 3 Char"/>
    <w:basedOn w:val="134"/>
    <w:link w:val="18"/>
    <w:qFormat/>
    <w:uiPriority w:val="99"/>
    <w:rPr>
      <w:sz w:val="16"/>
      <w:szCs w:val="16"/>
    </w:rPr>
  </w:style>
  <w:style w:type="character" w:customStyle="1" w:styleId="149">
    <w:name w:val="Macro Text Char"/>
    <w:basedOn w:val="134"/>
    <w:link w:val="2"/>
    <w:qFormat/>
    <w:uiPriority w:val="99"/>
    <w:rPr>
      <w:rFonts w:ascii="Courier" w:hAnsi="Courier"/>
      <w:sz w:val="20"/>
      <w:szCs w:val="20"/>
    </w:rPr>
  </w:style>
  <w:style w:type="paragraph" w:styleId="150">
    <w:name w:val="Quote"/>
    <w:basedOn w:val="1"/>
    <w:next w:val="1"/>
    <w:link w:val="15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Quote Char"/>
    <w:basedOn w:val="134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2">
    <w:name w:val="Heading 4 Char"/>
    <w:basedOn w:val="134"/>
    <w:link w:val="7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3">
    <w:name w:val="Heading 5 Char"/>
    <w:basedOn w:val="134"/>
    <w:link w:val="8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4">
    <w:name w:val="Heading 6 Char"/>
    <w:basedOn w:val="134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5">
    <w:name w:val="Heading 7 Char"/>
    <w:basedOn w:val="134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6">
    <w:name w:val="Heading 8 Char"/>
    <w:basedOn w:val="134"/>
    <w:link w:val="11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7">
    <w:name w:val="Heading 9 Char"/>
    <w:basedOn w:val="134"/>
    <w:link w:val="12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8">
    <w:name w:val="Intense Quote"/>
    <w:basedOn w:val="1"/>
    <w:next w:val="1"/>
    <w:link w:val="159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Intense Quote Char"/>
    <w:basedOn w:val="134"/>
    <w:link w:val="158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Emphasis"/>
    <w:basedOn w:val="134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1">
    <w:name w:val="Intense Emphasis"/>
    <w:basedOn w:val="134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Subtle Reference"/>
    <w:basedOn w:val="134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3">
    <w:name w:val="Intense Reference"/>
    <w:basedOn w:val="134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4">
    <w:name w:val="Book Title"/>
    <w:basedOn w:val="134"/>
    <w:qFormat/>
    <w:uiPriority w:val="33"/>
    <w:rPr>
      <w:b/>
      <w:bCs/>
      <w:smallCaps/>
      <w:spacing w:val="5"/>
    </w:rPr>
  </w:style>
  <w:style w:type="paragraph" w:customStyle="1" w:styleId="165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6">
    <w:name w:val="Supplementary Material"/>
    <w:basedOn w:val="33"/>
    <w:next w:val="33"/>
    <w:qFormat/>
    <w:uiPriority w:val="0"/>
    <w:pPr>
      <w:spacing w:after="120"/>
    </w:pPr>
    <w:rPr>
      <w:i/>
    </w:rPr>
  </w:style>
  <w:style w:type="paragraph" w:customStyle="1" w:styleId="167">
    <w:name w:val="Author List"/>
    <w:basedOn w:val="27"/>
    <w:next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1253</Words>
  <Characters>8121</Characters>
  <Lines>0</Lines>
  <Paragraphs>0</Paragraphs>
  <TotalTime>0</TotalTime>
  <ScaleCrop>false</ScaleCrop>
  <LinksUpToDate>false</LinksUpToDate>
  <CharactersWithSpaces>9045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苦咖啡打搅了奶茶</cp:lastModifiedBy>
  <dcterms:modified xsi:type="dcterms:W3CDTF">2026-07-07T13:42:39Z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eyJoZGlkIjoiNTk5ZTkzOWFmNTE2MDczYTVhM2I3MWVjZGM0NWNlZGUiLCJ1c2VySWQiOiIyNDI3NTg3NjcifQ==</vt:lpwstr>
  </property>
  <property fmtid="{D5CDD505-2E9C-101B-9397-08002B2CF9AE}" pid="3" name="KSOProductBuildVer">
    <vt:lpwstr>2052-12.1.0.23542</vt:lpwstr>
  </property>
  <property fmtid="{D5CDD505-2E9C-101B-9397-08002B2CF9AE}" pid="4" name="ICV">
    <vt:lpwstr>8AA897A1B4D84C96A4E4F4B96AEF8C5E_12</vt:lpwstr>
  </property>
</Properties>
</file>