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FE" w:rsidRPr="0006410E" w:rsidRDefault="00BA22FE" w:rsidP="00BA22FE">
      <w:pPr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06410E">
        <w:rPr>
          <w:rFonts w:ascii="Times New Roman" w:hAnsi="Times New Roman"/>
          <w:b/>
          <w:bCs/>
          <w:color w:val="FF0000"/>
          <w:sz w:val="24"/>
          <w:szCs w:val="24"/>
        </w:rPr>
        <w:t>Appendix I</w:t>
      </w:r>
    </w:p>
    <w:p w:rsidR="00BA22FE" w:rsidRPr="0006410E" w:rsidRDefault="00BA22FE" w:rsidP="00BA22FE">
      <w:pPr>
        <w:jc w:val="center"/>
        <w:rPr>
          <w:color w:val="FF0000"/>
        </w:rPr>
      </w:pPr>
      <w:r w:rsidRPr="0006410E">
        <w:rPr>
          <w:rFonts w:ascii="Arial" w:hAnsi="Arial"/>
          <w:b/>
          <w:color w:val="FF0000"/>
          <w:sz w:val="28"/>
        </w:rPr>
        <w:t>Completed STROBE Checklist (Cross-sectional Studies)</w:t>
      </w:r>
    </w:p>
    <w:p w:rsidR="00BA22FE" w:rsidRPr="0006410E" w:rsidRDefault="00BA22FE" w:rsidP="00BA22FE">
      <w:pPr>
        <w:jc w:val="center"/>
        <w:rPr>
          <w:color w:val="FF0000"/>
        </w:rPr>
      </w:pPr>
      <w:r w:rsidRPr="0006410E">
        <w:rPr>
          <w:rFonts w:ascii="Arial" w:hAnsi="Arial"/>
          <w:i/>
          <w:color w:val="FF0000"/>
          <w:sz w:val="18"/>
        </w:rPr>
        <w:t>Prepared from the revised manuscript: A Multilevel Analysis of the Predictive Effects of Internal Migration and Region of Residence on Women's Empowerment in Nigeria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689"/>
        <w:gridCol w:w="4876"/>
        <w:gridCol w:w="1315"/>
      </w:tblGrid>
      <w:tr w:rsidR="00BA22FE" w:rsidRPr="0006410E" w:rsidTr="00A3773E">
        <w:trPr>
          <w:trHeight w:val="452"/>
          <w:tblHeader/>
          <w:jc w:val="center"/>
        </w:trPr>
        <w:tc>
          <w:tcPr>
            <w:tcW w:w="696" w:type="dxa"/>
            <w:shd w:val="clear" w:color="auto" w:fill="D9EAF7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bookmarkStart w:id="0" w:name="_Hlk236394171"/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Item no.</w:t>
            </w:r>
          </w:p>
        </w:tc>
        <w:tc>
          <w:tcPr>
            <w:tcW w:w="2842" w:type="dxa"/>
            <w:shd w:val="clear" w:color="auto" w:fill="D9EAF7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STROBE recommendation</w:t>
            </w:r>
          </w:p>
        </w:tc>
        <w:tc>
          <w:tcPr>
            <w:tcW w:w="5434" w:type="dxa"/>
            <w:shd w:val="clear" w:color="auto" w:fill="D9EAF7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Where it appears / manuscript details</w:t>
            </w:r>
          </w:p>
        </w:tc>
        <w:tc>
          <w:tcPr>
            <w:tcW w:w="1324" w:type="dxa"/>
            <w:shd w:val="clear" w:color="auto" w:fill="D9EAF7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Status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1a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Indicate the study’s design with a commonly used term in the title or the abstract.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title identifies the study as a multilevel analysis, and the abstract states that the study used 2024 NDHS data and multilevel logistic regression.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1b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Provide in the abstract an informative and balanced summary of what was done and what was found.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abstract summarizes the background, methods, sample size (37,762 women), key results, and conclusion.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Explain the scientific background and rationale for the investigation being reported.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Introduction explains the development challenge of women’s empowerment in Nigeria, the relevance of internal migration, and regional disparities.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State specific objectives, including any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prespecified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hypotheses.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study aims to examine internal migration status and region of residence as predictors/correlates of women’s empowerment in Nigeria.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Present key elements of study design early in the paper.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abstract and Methods identify the study as a cross-sectional analysis of the 2024 Nigeria Demographic and Health Survey.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64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Partly. The setting is Nigeria and the six geopolitical zones are described; the manuscript states 2024 NDHS data were used, but exact recruitment/data collection dates are not explicitly provided.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6a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Give the eligibility criteria, and the sources and methods of selection of participants.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study used the women recode file and included women aged 15–49 years; the final analytic sample was 37,762.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Clearly define all </w:t>
            </w: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outcomes, exposures, predictors, potential confounders, and effect modifiers.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 xml:space="preserve">Yes. The manuscript defines five empowerment </w:t>
            </w: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outcomes, internal migration status, region of residence, and the individual-level covariates.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lastRenderedPageBreak/>
              <w:t>Yes</w:t>
            </w:r>
          </w:p>
        </w:tc>
      </w:tr>
      <w:tr w:rsidR="00BA22FE" w:rsidRPr="0006410E" w:rsidTr="00A3773E">
        <w:trPr>
          <w:trHeight w:val="64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8*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For each variable of interest, give sources of data and details of methods of assessment (measurement).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All measures were derived from the 2024 NDHS women recode file, and the manuscript explains how the composite indices and migration categories were constructed.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Describe any efforts to address potential sources of bias.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Partly. The data were weighted using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svyset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to correct for under- and oversampling, and multilevel models were used; no separate bias section is provided.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Explain how the study size was arrived at.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Partly. The manuscript states that 37,762 women were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analysed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from the available 2024 NDHS women recode file; no formal sample-size calculation is reported.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Explain how quantitative variables were handled in the analyses.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manuscript explains how binary empowerment indices were coded and how age, education, wealth, union type, ethnicity, religion, income, and spouse’s education were grouped.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12a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Describe all statistical methods, including those used to control for confounding.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study used descriptive statistics, chi-square tests, and multilevel logistic regression models with odds ratios and 95% confidence intervals.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12b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Describe any methods used to examine subgroups and interactions.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 explicit subgroup or interaction analyses are reported.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211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12c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Explain how missing data were addressed.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Not reported in the manuscript.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Not reported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12d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If applicable, describe analytical methods taking account of sampling </w:t>
            </w: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strategy.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 xml:space="preserve">Yes. Survey weights were applied using STATA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svyset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to account for the sampling design.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211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12e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Describe any sensitivity analyses.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Not reported in the manuscript.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Not reported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13a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Report numbers of individuals at each stage of study.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Not reported; no participant flow counts are presented beyond the final sample size.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Not reported</w:t>
            </w:r>
          </w:p>
        </w:tc>
      </w:tr>
      <w:tr w:rsidR="00BA22FE" w:rsidRPr="0006410E" w:rsidTr="00A3773E">
        <w:trPr>
          <w:trHeight w:val="226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13b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Give reasons for non-participation at each stage.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Not reported.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Not reported</w:t>
            </w:r>
          </w:p>
        </w:tc>
      </w:tr>
      <w:tr w:rsidR="00BA22FE" w:rsidRPr="0006410E" w:rsidTr="00A3773E">
        <w:trPr>
          <w:trHeight w:val="211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13c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Consider use of a flow diagram.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Not used in the manuscript.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64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14a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Give characteristics of study participants and information on exposures and potential confounders.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Table 1 reports the characteristics of the study population, and Figure 1 and Table 2 describe the empowerment indices and bivariate patterns.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23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14b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Indicate number of participants with missing data for each variable of interest.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Not reported.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Not reported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Report numbers of outcome events or summary measures.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Results report percentages for the empowerment indices and model-based summary measures.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211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16a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Give unadjusted estimates and, if applicable, confounder-adjusted estimates and their precision.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manuscript reports null, contextual, covariate, and full multilevel models with odds ratios and 95% confidence intervals.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16b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Report category boundaries when continuous variables were categorized.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Methods specify categories for age, education, wealth, union type, ethnicity, religion, income, and spouse’s education.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16c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If relevant, consider translating estimates of relative risk into absolute </w:t>
            </w: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risk for a meaningful time period.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Not applicable / not reported.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Not applicable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Report other analyses done—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eg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analyses of subgroups and interactions, and sensitivity analyses.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Partly. The manuscript reports ICC values from the null models and model comparisons, but no subgroup or sensitivity analyses.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Summarise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key results with reference to study objectives.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Yes. The Discussion and Conclusion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summarise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the main findings on internal migration, region of residence, and women’s empowerment.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Discuss limitations of the study, taking into account sources of potential bias or imprecision.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Partly. A Strengths and Limitations section should be included; the key limitations are the cross-sectional design, self-reported responses, and the financial decision-making measure not capturing women without earnings.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Partly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Give a cautious overall interpretation of results considering objectives, limitations, and other evidence.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Discussion interprets the findings in relation to Bronfenbrenner’s theory and the broader literature.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169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Discuss the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generalisability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(external validity) of the study results.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Yes. The use of nationally representative 2024 NDHS data supports </w:t>
            </w:r>
            <w:proofErr w:type="spellStart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generalisability</w:t>
            </w:r>
            <w:proofErr w:type="spellEnd"/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to women aged 15–49 in Nigeria, with the usual limits of cross-sectional survey data.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  <w:tr w:rsidR="00BA22FE" w:rsidRPr="0006410E" w:rsidTr="00A3773E">
        <w:trPr>
          <w:trHeight w:val="437"/>
          <w:jc w:val="center"/>
        </w:trPr>
        <w:tc>
          <w:tcPr>
            <w:tcW w:w="696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Give the source of funding and the role of the funders.</w:t>
            </w:r>
          </w:p>
        </w:tc>
        <w:tc>
          <w:tcPr>
            <w:tcW w:w="543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Yes. The manuscript states that funding was not applicable.</w:t>
            </w:r>
          </w:p>
        </w:tc>
        <w:tc>
          <w:tcPr>
            <w:tcW w:w="1324" w:type="dxa"/>
          </w:tcPr>
          <w:p w:rsidR="00BA22FE" w:rsidRPr="0006410E" w:rsidRDefault="00BA22FE" w:rsidP="00A3773E">
            <w:pPr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6410E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Yes</w:t>
            </w:r>
          </w:p>
        </w:tc>
      </w:tr>
    </w:tbl>
    <w:bookmarkEnd w:id="0"/>
    <w:p w:rsidR="00A44FEF" w:rsidRPr="00BA22FE" w:rsidRDefault="00BA22FE">
      <w:pPr>
        <w:rPr>
          <w:color w:val="FF0000"/>
        </w:rPr>
      </w:pPr>
      <w:r w:rsidRPr="0006410E">
        <w:rPr>
          <w:rFonts w:ascii="Arial" w:hAnsi="Arial"/>
          <w:color w:val="FF0000"/>
          <w:sz w:val="16"/>
        </w:rPr>
        <w:t>*Items 13–14 are fully applicable only when participant flow and missing-data details are reported. Where the manuscript does not state the information, the checklist notes this as 'not reported'.</w:t>
      </w:r>
      <w:bookmarkStart w:id="1" w:name="_GoBack"/>
      <w:bookmarkEnd w:id="1"/>
    </w:p>
    <w:sectPr w:rsidR="00A44FEF" w:rsidRPr="00BA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FE"/>
    <w:rsid w:val="00A44FEF"/>
    <w:rsid w:val="00BA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2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A2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2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A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Sairah Diala</dc:creator>
  <cp:lastModifiedBy>Sairah Diala</cp:lastModifiedBy>
  <cp:revision>1</cp:revision>
  <dcterms:created xsi:type="dcterms:W3CDTF">2026-08-14T02:57:00Z</dcterms:created>
  <dcterms:modified xsi:type="dcterms:W3CDTF">2026-08-14T02:58:00Z</dcterms:modified>
</cp:coreProperties>
</file>