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2693"/>
      </w:tblGrid>
      <w:tr w:rsidR="000A1AB7" w:rsidRPr="000A1AB7" w14:paraId="1099B5AB" w14:textId="77777777" w:rsidTr="00D01E74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1ABAF01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theme="minorHAnsi"/>
                <w:b/>
                <w:bCs/>
                <w:color w:val="000000" w:themeColor="text1" w:themeShade="BF"/>
                <w:sz w:val="24"/>
                <w:szCs w:val="24"/>
                <w14:ligatures w14:val="none"/>
              </w:rPr>
              <w:t>Supplementary Table S1. Distribution of the components of composite failure during follow-up</w:t>
            </w:r>
          </w:p>
        </w:tc>
      </w:tr>
      <w:tr w:rsidR="000A1AB7" w:rsidRPr="000A1AB7" w14:paraId="290E041A" w14:textId="77777777" w:rsidTr="00D01E74"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14:paraId="73DB18A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Component or failure pattern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74D3C4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Number of patients, n</w:t>
            </w:r>
          </w:p>
        </w:tc>
      </w:tr>
      <w:tr w:rsidR="000A1AB7" w:rsidRPr="000A1AB7" w14:paraId="20DE7F99" w14:textId="77777777" w:rsidTr="00D01E74">
        <w:tc>
          <w:tcPr>
            <w:tcW w:w="5949" w:type="dxa"/>
            <w:tcBorders>
              <w:top w:val="single" w:sz="4" w:space="0" w:color="auto"/>
            </w:tcBorders>
          </w:tcPr>
          <w:p w14:paraId="19C0158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Isolated anatomical failure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9071C88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0A1AB7" w:rsidRPr="000A1AB7" w14:paraId="77FD49BA" w14:textId="77777777" w:rsidTr="00D01E74">
        <w:tc>
          <w:tcPr>
            <w:tcW w:w="5949" w:type="dxa"/>
          </w:tcPr>
          <w:p w14:paraId="12D1E388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Isolated symptomatic failure</w:t>
            </w:r>
          </w:p>
        </w:tc>
        <w:tc>
          <w:tcPr>
            <w:tcW w:w="2693" w:type="dxa"/>
          </w:tcPr>
          <w:p w14:paraId="19128ECF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1AB7" w:rsidRPr="000A1AB7" w14:paraId="2E813F99" w14:textId="77777777" w:rsidTr="00D01E74">
        <w:tc>
          <w:tcPr>
            <w:tcW w:w="5949" w:type="dxa"/>
          </w:tcPr>
          <w:p w14:paraId="4B025D0E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Both anatomical and symptomatic failure</w:t>
            </w:r>
          </w:p>
        </w:tc>
        <w:tc>
          <w:tcPr>
            <w:tcW w:w="2693" w:type="dxa"/>
          </w:tcPr>
          <w:p w14:paraId="34B8BEEC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1AB7" w:rsidRPr="000A1AB7" w14:paraId="3403BCF2" w14:textId="77777777" w:rsidTr="00D01E74">
        <w:tc>
          <w:tcPr>
            <w:tcW w:w="5949" w:type="dxa"/>
          </w:tcPr>
          <w:p w14:paraId="2F719E9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POP-related reoperation</w:t>
            </w:r>
          </w:p>
        </w:tc>
        <w:tc>
          <w:tcPr>
            <w:tcW w:w="2693" w:type="dxa"/>
          </w:tcPr>
          <w:p w14:paraId="34DD9757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1AB7" w:rsidRPr="000A1AB7" w14:paraId="5508BFC5" w14:textId="77777777" w:rsidTr="00D01E74">
        <w:tc>
          <w:tcPr>
            <w:tcW w:w="5949" w:type="dxa"/>
          </w:tcPr>
          <w:p w14:paraId="0E746FAD" w14:textId="77777777" w:rsidR="000A1AB7" w:rsidRPr="000A1AB7" w:rsidRDefault="000A1AB7" w:rsidP="00D01E74">
            <w:pPr>
              <w:spacing w:line="360" w:lineRule="auto"/>
              <w:ind w:firstLineChars="150" w:firstLine="3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Transvaginal mesh repair</w:t>
            </w:r>
          </w:p>
        </w:tc>
        <w:tc>
          <w:tcPr>
            <w:tcW w:w="2693" w:type="dxa"/>
          </w:tcPr>
          <w:p w14:paraId="23ECF892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0A1AB7" w:rsidRPr="000A1AB7" w14:paraId="76883E49" w14:textId="77777777" w:rsidTr="00D01E74">
        <w:tc>
          <w:tcPr>
            <w:tcW w:w="5949" w:type="dxa"/>
          </w:tcPr>
          <w:p w14:paraId="4BB1D463" w14:textId="77777777" w:rsidR="000A1AB7" w:rsidRPr="000A1AB7" w:rsidRDefault="000A1AB7" w:rsidP="00D01E74">
            <w:pPr>
              <w:spacing w:line="360" w:lineRule="auto"/>
              <w:ind w:firstLineChars="150" w:firstLine="3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Sacrospinous ligament fixation</w:t>
            </w:r>
          </w:p>
        </w:tc>
        <w:tc>
          <w:tcPr>
            <w:tcW w:w="2693" w:type="dxa"/>
          </w:tcPr>
          <w:p w14:paraId="002DC26B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1AB7" w:rsidRPr="000A1AB7" w14:paraId="6867F000" w14:textId="77777777" w:rsidTr="00D01E74">
        <w:tc>
          <w:tcPr>
            <w:tcW w:w="5949" w:type="dxa"/>
            <w:tcBorders>
              <w:bottom w:val="single" w:sz="4" w:space="0" w:color="auto"/>
            </w:tcBorders>
          </w:tcPr>
          <w:p w14:paraId="63CA784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Total patients with composite failure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75D48C" w14:textId="77777777" w:rsidR="000A1AB7" w:rsidRPr="000A1AB7" w:rsidRDefault="000A1AB7" w:rsidP="00D01E7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0A1AB7" w:rsidRPr="000A1AB7" w14:paraId="1E717C6A" w14:textId="77777777" w:rsidTr="00D01E74">
        <w:tc>
          <w:tcPr>
            <w:tcW w:w="8642" w:type="dxa"/>
            <w:gridSpan w:val="2"/>
            <w:tcBorders>
              <w:top w:val="single" w:sz="4" w:space="0" w:color="auto"/>
            </w:tcBorders>
          </w:tcPr>
          <w:p w14:paraId="766F147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theme="minorHAnsi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theme="minorHAnsi"/>
                <w:sz w:val="24"/>
                <w:szCs w:val="24"/>
              </w:rPr>
              <w:t xml:space="preserve">The first three failure patterns are mutually exclusive. </w:t>
            </w:r>
          </w:p>
        </w:tc>
      </w:tr>
    </w:tbl>
    <w:p w14:paraId="1CDBC943" w14:textId="3515FD11" w:rsidR="000A1AB7" w:rsidRPr="000A1AB7" w:rsidRDefault="000A1AB7" w:rsidP="000A1AB7">
      <w:pPr>
        <w:rPr>
          <w:rFonts w:ascii="Times New Roman" w:eastAsia="宋体" w:hAnsi="Times New Roman" w:cs="Times New Roman" w:hint="eastAsia"/>
          <w:sz w:val="24"/>
          <w:szCs w:val="24"/>
        </w:rPr>
      </w:pPr>
      <w:r w:rsidRPr="000A1AB7">
        <w:rPr>
          <w:rFonts w:ascii="Times New Roman" w:eastAsia="宋体" w:hAnsi="Times New Roman" w:cs="Times New Roman"/>
          <w:sz w:val="24"/>
          <w:szCs w:val="24"/>
        </w:rPr>
        <w:br w:type="page"/>
      </w:r>
    </w:p>
    <w:tbl>
      <w:tblPr>
        <w:tblStyle w:val="af4"/>
        <w:tblpPr w:leftFromText="180" w:rightFromText="180" w:vertAnchor="text" w:horzAnchor="margin" w:tblpXSpec="center" w:tblpY="331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2247"/>
        <w:gridCol w:w="1611"/>
        <w:gridCol w:w="1334"/>
        <w:gridCol w:w="1365"/>
        <w:gridCol w:w="2210"/>
      </w:tblGrid>
      <w:tr w:rsidR="000A1AB7" w:rsidRPr="000A1AB7" w14:paraId="79884E9F" w14:textId="77777777" w:rsidTr="00D01E74">
        <w:trPr>
          <w:trHeight w:val="385"/>
        </w:trPr>
        <w:tc>
          <w:tcPr>
            <w:tcW w:w="10343" w:type="dxa"/>
            <w:gridSpan w:val="6"/>
            <w:tcBorders>
              <w:bottom w:val="single" w:sz="4" w:space="0" w:color="auto"/>
            </w:tcBorders>
            <w:vAlign w:val="center"/>
          </w:tcPr>
          <w:p w14:paraId="6A91E197" w14:textId="77777777" w:rsidR="000A1AB7" w:rsidRPr="000A1AB7" w:rsidRDefault="000A1AB7" w:rsidP="00D01E74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lastRenderedPageBreak/>
              <w:t>Supplementary Table S2. Kaplan</w:t>
            </w:r>
            <w:r w:rsidRPr="000A1AB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Meier events and censoring during follow-up</w:t>
            </w:r>
          </w:p>
        </w:tc>
      </w:tr>
      <w:tr w:rsidR="000A1AB7" w:rsidRPr="000A1AB7" w14:paraId="57F5C90A" w14:textId="77777777" w:rsidTr="00D01E74">
        <w:trPr>
          <w:trHeight w:val="1707"/>
        </w:trPr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D28C3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1BC8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Follow-up interval, months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B1C81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No. at risk at interval start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14BF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B368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Censored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82BD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Cumulative failure, </w:t>
            </w:r>
            <w:proofErr w:type="gramStart"/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%(</w:t>
            </w:r>
            <w:proofErr w:type="gramEnd"/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95% CI)</w:t>
            </w:r>
          </w:p>
        </w:tc>
      </w:tr>
      <w:tr w:rsidR="000A1AB7" w:rsidRPr="000A1AB7" w14:paraId="7243C240" w14:textId="77777777" w:rsidTr="00D01E74">
        <w:trPr>
          <w:trHeight w:val="843"/>
        </w:trPr>
        <w:tc>
          <w:tcPr>
            <w:tcW w:w="1576" w:type="dxa"/>
            <w:tcBorders>
              <w:top w:val="single" w:sz="4" w:space="0" w:color="auto"/>
            </w:tcBorders>
            <w:vAlign w:val="center"/>
          </w:tcPr>
          <w:p w14:paraId="0B2E75D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Anatomical failure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</w:tcPr>
          <w:p w14:paraId="106BF148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vAlign w:val="center"/>
          </w:tcPr>
          <w:p w14:paraId="18141CC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14:paraId="56A05B3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60D8999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0" w:type="dxa"/>
            <w:tcBorders>
              <w:top w:val="single" w:sz="4" w:space="0" w:color="auto"/>
            </w:tcBorders>
            <w:vAlign w:val="center"/>
          </w:tcPr>
          <w:p w14:paraId="7089D1D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3.57 (0.51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22.76)</w:t>
            </w:r>
          </w:p>
        </w:tc>
      </w:tr>
      <w:tr w:rsidR="000A1AB7" w:rsidRPr="000A1AB7" w14:paraId="3412A49B" w14:textId="77777777" w:rsidTr="00D01E74">
        <w:trPr>
          <w:trHeight w:val="431"/>
        </w:trPr>
        <w:tc>
          <w:tcPr>
            <w:tcW w:w="1576" w:type="dxa"/>
          </w:tcPr>
          <w:p w14:paraId="2C80046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4636376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&gt;36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11" w:type="dxa"/>
            <w:vAlign w:val="center"/>
          </w:tcPr>
          <w:p w14:paraId="28F7CBD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34" w:type="dxa"/>
            <w:vAlign w:val="center"/>
          </w:tcPr>
          <w:p w14:paraId="4554197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vAlign w:val="center"/>
          </w:tcPr>
          <w:p w14:paraId="46622866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vAlign w:val="center"/>
          </w:tcPr>
          <w:p w14:paraId="3EB4AB0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3.57 (0.51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22.76)</w:t>
            </w:r>
          </w:p>
        </w:tc>
      </w:tr>
      <w:tr w:rsidR="000A1AB7" w:rsidRPr="000A1AB7" w14:paraId="233521EA" w14:textId="77777777" w:rsidTr="00D01E74">
        <w:trPr>
          <w:trHeight w:val="421"/>
        </w:trPr>
        <w:tc>
          <w:tcPr>
            <w:tcW w:w="1576" w:type="dxa"/>
          </w:tcPr>
          <w:p w14:paraId="4A419F7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528F1A7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&gt;72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11" w:type="dxa"/>
            <w:vAlign w:val="center"/>
          </w:tcPr>
          <w:p w14:paraId="56F7A56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4" w:type="dxa"/>
            <w:vAlign w:val="center"/>
          </w:tcPr>
          <w:p w14:paraId="7590DCD2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vAlign w:val="center"/>
          </w:tcPr>
          <w:p w14:paraId="517448E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10" w:type="dxa"/>
            <w:vAlign w:val="center"/>
          </w:tcPr>
          <w:p w14:paraId="751E371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7.43 (1.91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26.61)</w:t>
            </w:r>
          </w:p>
        </w:tc>
      </w:tr>
      <w:tr w:rsidR="000A1AB7" w:rsidRPr="000A1AB7" w14:paraId="5018AD5B" w14:textId="77777777" w:rsidTr="00D01E74">
        <w:trPr>
          <w:trHeight w:val="431"/>
        </w:trPr>
        <w:tc>
          <w:tcPr>
            <w:tcW w:w="1576" w:type="dxa"/>
          </w:tcPr>
          <w:p w14:paraId="4862C17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0FA583B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&gt;120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final</w:t>
            </w:r>
          </w:p>
        </w:tc>
        <w:tc>
          <w:tcPr>
            <w:tcW w:w="1611" w:type="dxa"/>
            <w:vAlign w:val="center"/>
          </w:tcPr>
          <w:p w14:paraId="5BBB033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34" w:type="dxa"/>
            <w:vAlign w:val="center"/>
          </w:tcPr>
          <w:p w14:paraId="3077E306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14:paraId="024D28F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0" w:type="dxa"/>
            <w:vAlign w:val="center"/>
          </w:tcPr>
          <w:p w14:paraId="652824CD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15.48 (6.09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36.23)</w:t>
            </w:r>
          </w:p>
        </w:tc>
      </w:tr>
      <w:tr w:rsidR="000A1AB7" w:rsidRPr="000A1AB7" w14:paraId="28EC7029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5DBF679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Symptomatic failure</w:t>
            </w:r>
          </w:p>
        </w:tc>
        <w:tc>
          <w:tcPr>
            <w:tcW w:w="2247" w:type="dxa"/>
            <w:vAlign w:val="center"/>
          </w:tcPr>
          <w:p w14:paraId="12F58BB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dxa"/>
            <w:vAlign w:val="center"/>
          </w:tcPr>
          <w:p w14:paraId="70FD6AA7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34" w:type="dxa"/>
            <w:vAlign w:val="center"/>
          </w:tcPr>
          <w:p w14:paraId="44F188F2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vAlign w:val="center"/>
          </w:tcPr>
          <w:p w14:paraId="011F848F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0" w:type="dxa"/>
            <w:vAlign w:val="center"/>
          </w:tcPr>
          <w:p w14:paraId="312D10D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3.57 (0.51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22.76)</w:t>
            </w:r>
          </w:p>
        </w:tc>
      </w:tr>
      <w:tr w:rsidR="000A1AB7" w:rsidRPr="000A1AB7" w14:paraId="489F1863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1197A8A1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022CEE83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&gt;36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11" w:type="dxa"/>
            <w:vAlign w:val="center"/>
          </w:tcPr>
          <w:p w14:paraId="10C6D466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34" w:type="dxa"/>
            <w:vAlign w:val="center"/>
          </w:tcPr>
          <w:p w14:paraId="36CEFCC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14:paraId="3DC3209D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vAlign w:val="center"/>
          </w:tcPr>
          <w:p w14:paraId="01C6F48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10.99 (3.68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30.33)</w:t>
            </w:r>
          </w:p>
        </w:tc>
      </w:tr>
      <w:tr w:rsidR="000A1AB7" w:rsidRPr="000A1AB7" w14:paraId="73242B07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1A775CC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702FA58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&gt;72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11" w:type="dxa"/>
            <w:vAlign w:val="center"/>
          </w:tcPr>
          <w:p w14:paraId="6EEDCDF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34" w:type="dxa"/>
            <w:vAlign w:val="center"/>
          </w:tcPr>
          <w:p w14:paraId="3404215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vAlign w:val="center"/>
          </w:tcPr>
          <w:p w14:paraId="1D7F52D5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10" w:type="dxa"/>
            <w:vAlign w:val="center"/>
          </w:tcPr>
          <w:p w14:paraId="38997B83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26.47 (13.57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47.69)</w:t>
            </w:r>
          </w:p>
        </w:tc>
      </w:tr>
      <w:tr w:rsidR="000A1AB7" w:rsidRPr="000A1AB7" w14:paraId="334987A1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4D938E9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30D2628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&gt;120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final</w:t>
            </w:r>
          </w:p>
        </w:tc>
        <w:tc>
          <w:tcPr>
            <w:tcW w:w="1611" w:type="dxa"/>
            <w:vAlign w:val="center"/>
          </w:tcPr>
          <w:p w14:paraId="121A411D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34" w:type="dxa"/>
            <w:vAlign w:val="center"/>
          </w:tcPr>
          <w:p w14:paraId="1440C33D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vAlign w:val="center"/>
          </w:tcPr>
          <w:p w14:paraId="138EBC8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0" w:type="dxa"/>
            <w:vAlign w:val="center"/>
          </w:tcPr>
          <w:p w14:paraId="65E23CF6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35.66 (18.15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62.13)</w:t>
            </w:r>
          </w:p>
        </w:tc>
      </w:tr>
      <w:tr w:rsidR="000A1AB7" w:rsidRPr="000A1AB7" w14:paraId="22922638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26E4F24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Composite failure</w:t>
            </w:r>
          </w:p>
        </w:tc>
        <w:tc>
          <w:tcPr>
            <w:tcW w:w="2247" w:type="dxa"/>
            <w:vAlign w:val="center"/>
          </w:tcPr>
          <w:p w14:paraId="38301A0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dxa"/>
            <w:vAlign w:val="center"/>
          </w:tcPr>
          <w:p w14:paraId="2863AF9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34" w:type="dxa"/>
            <w:vAlign w:val="center"/>
          </w:tcPr>
          <w:p w14:paraId="135462BE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14:paraId="275CC48E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0" w:type="dxa"/>
            <w:vAlign w:val="center"/>
          </w:tcPr>
          <w:p w14:paraId="2CED318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7.14 (1.84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25.65)</w:t>
            </w:r>
          </w:p>
        </w:tc>
      </w:tr>
      <w:tr w:rsidR="000A1AB7" w:rsidRPr="000A1AB7" w14:paraId="412D8AFF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5BD0F6D4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7A99FD9A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&gt;36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11" w:type="dxa"/>
            <w:vAlign w:val="center"/>
          </w:tcPr>
          <w:p w14:paraId="00A2EDF1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34" w:type="dxa"/>
            <w:vAlign w:val="center"/>
          </w:tcPr>
          <w:p w14:paraId="058EE6B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vAlign w:val="center"/>
          </w:tcPr>
          <w:p w14:paraId="563665E8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vAlign w:val="center"/>
          </w:tcPr>
          <w:p w14:paraId="7FF04FAD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10.86 (3.63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30.01)</w:t>
            </w:r>
          </w:p>
        </w:tc>
      </w:tr>
      <w:tr w:rsidR="000A1AB7" w:rsidRPr="000A1AB7" w14:paraId="74870263" w14:textId="77777777" w:rsidTr="00D01E74">
        <w:trPr>
          <w:trHeight w:val="421"/>
        </w:trPr>
        <w:tc>
          <w:tcPr>
            <w:tcW w:w="1576" w:type="dxa"/>
            <w:vAlign w:val="center"/>
          </w:tcPr>
          <w:p w14:paraId="0B3A28E3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513F548C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&gt;72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11" w:type="dxa"/>
            <w:vAlign w:val="center"/>
          </w:tcPr>
          <w:p w14:paraId="059B4EA9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34" w:type="dxa"/>
            <w:vAlign w:val="center"/>
          </w:tcPr>
          <w:p w14:paraId="32256E08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vAlign w:val="center"/>
          </w:tcPr>
          <w:p w14:paraId="60FAEB11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10" w:type="dxa"/>
            <w:vAlign w:val="center"/>
          </w:tcPr>
          <w:p w14:paraId="1518D3EE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26.36 (13.51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47.55)</w:t>
            </w:r>
          </w:p>
        </w:tc>
      </w:tr>
      <w:tr w:rsidR="000A1AB7" w:rsidRPr="000A1AB7" w14:paraId="66A258DC" w14:textId="77777777" w:rsidTr="00D01E74">
        <w:trPr>
          <w:trHeight w:val="421"/>
        </w:trPr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7A738141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14:paraId="3C328D08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&gt;120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final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14:paraId="7A592D77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14:paraId="4A322BF6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01CD4E6B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vAlign w:val="center"/>
          </w:tcPr>
          <w:p w14:paraId="3C460E60" w14:textId="77777777" w:rsidR="000A1AB7" w:rsidRPr="000A1AB7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30.45 (16.50</w:t>
            </w:r>
            <w:r w:rsidRPr="000A1AB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51.88)</w:t>
            </w:r>
          </w:p>
        </w:tc>
      </w:tr>
      <w:tr w:rsidR="000A1AB7" w14:paraId="61E1FCE3" w14:textId="77777777" w:rsidTr="00D01E74">
        <w:trPr>
          <w:trHeight w:val="421"/>
        </w:trPr>
        <w:tc>
          <w:tcPr>
            <w:tcW w:w="10343" w:type="dxa"/>
            <w:gridSpan w:val="6"/>
            <w:tcBorders>
              <w:top w:val="single" w:sz="4" w:space="0" w:color="auto"/>
            </w:tcBorders>
            <w:vAlign w:val="center"/>
          </w:tcPr>
          <w:p w14:paraId="7D37D48C" w14:textId="77777777" w:rsidR="000A1AB7" w:rsidRPr="009B686F" w:rsidRDefault="000A1AB7" w:rsidP="00D01E74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1AB7">
              <w:rPr>
                <w:rFonts w:ascii="Times New Roman" w:eastAsia="宋体" w:hAnsi="Times New Roman" w:cs="Times New Roman"/>
                <w:sz w:val="24"/>
                <w:szCs w:val="24"/>
              </w:rPr>
              <w:t>Intervals are right-closed: events and censoring at 36, 72, or 120 months are assigned to the preceding interval. The at-risk count for each later interval is the number remaining immediately after the preceding boundary. Pointwise 95% confidence intervals were calculated from Greenwood variance estimates using a log–log transformation. Median event-free survival was not reached for any outcome.</w:t>
            </w:r>
          </w:p>
        </w:tc>
      </w:tr>
    </w:tbl>
    <w:p w14:paraId="759B6409" w14:textId="35EBA7A9" w:rsidR="00557629" w:rsidRPr="000A1AB7" w:rsidRDefault="00557629" w:rsidP="000A1AB7">
      <w:pPr>
        <w:spacing w:line="360" w:lineRule="auto"/>
        <w:rPr>
          <w:rFonts w:hint="eastAsia"/>
        </w:rPr>
      </w:pPr>
    </w:p>
    <w:sectPr w:rsidR="00557629" w:rsidRPr="000A1AB7" w:rsidSect="000A1A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6A5EF" w14:textId="77777777" w:rsidR="009F3146" w:rsidRDefault="009F3146" w:rsidP="000A1AB7">
      <w:r>
        <w:separator/>
      </w:r>
    </w:p>
  </w:endnote>
  <w:endnote w:type="continuationSeparator" w:id="0">
    <w:p w14:paraId="0072DAB1" w14:textId="77777777" w:rsidR="009F3146" w:rsidRDefault="009F3146" w:rsidP="000A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72BC1" w14:textId="77777777" w:rsidR="009F3146" w:rsidRDefault="009F3146" w:rsidP="000A1AB7">
      <w:r>
        <w:separator/>
      </w:r>
    </w:p>
  </w:footnote>
  <w:footnote w:type="continuationSeparator" w:id="0">
    <w:p w14:paraId="2E2D37C1" w14:textId="77777777" w:rsidR="009F3146" w:rsidRDefault="009F3146" w:rsidP="000A1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97C0F"/>
    <w:multiLevelType w:val="hybridMultilevel"/>
    <w:tmpl w:val="FC42F85A"/>
    <w:lvl w:ilvl="0" w:tplc="EB40B9EE">
      <w:start w:val="1"/>
      <w:numFmt w:val="chineseCountingThousand"/>
      <w:pStyle w:val="a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26490585">
    <w:abstractNumId w:val="0"/>
  </w:num>
  <w:num w:numId="2" w16cid:durableId="135607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43"/>
    <w:rsid w:val="000A1AB7"/>
    <w:rsid w:val="00101E43"/>
    <w:rsid w:val="001D154D"/>
    <w:rsid w:val="00351753"/>
    <w:rsid w:val="003754A6"/>
    <w:rsid w:val="00500FF5"/>
    <w:rsid w:val="00557629"/>
    <w:rsid w:val="00583B43"/>
    <w:rsid w:val="005D11A6"/>
    <w:rsid w:val="00631212"/>
    <w:rsid w:val="00740DBA"/>
    <w:rsid w:val="00740E90"/>
    <w:rsid w:val="00863ECA"/>
    <w:rsid w:val="009F3146"/>
    <w:rsid w:val="00A00553"/>
    <w:rsid w:val="00AB549C"/>
    <w:rsid w:val="00CA35F7"/>
    <w:rsid w:val="00D32064"/>
    <w:rsid w:val="00D548BD"/>
    <w:rsid w:val="00DA3B83"/>
    <w:rsid w:val="00EB3C94"/>
    <w:rsid w:val="00F333D4"/>
    <w:rsid w:val="00F8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7DE592"/>
  <w14:defaultImageDpi w14:val="32767"/>
  <w15:chartTrackingRefBased/>
  <w15:docId w15:val="{483DD327-9A75-4EC7-8A56-9C8F3963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A1AB7"/>
    <w:pPr>
      <w:widowControl w:val="0"/>
      <w:spacing w:line="240" w:lineRule="auto"/>
    </w:pPr>
    <w:rPr>
      <w:rFonts w:asciiTheme="minorHAnsi" w:eastAsiaTheme="minorEastAsia" w:hAnsiTheme="minorHAnsi"/>
      <w:sz w:val="21"/>
      <w14:ligatures w14:val="standardContextual"/>
    </w:rPr>
  </w:style>
  <w:style w:type="paragraph" w:styleId="1">
    <w:name w:val="heading 1"/>
    <w:basedOn w:val="a0"/>
    <w:next w:val="a0"/>
    <w:link w:val="10"/>
    <w:uiPriority w:val="9"/>
    <w:qFormat/>
    <w:rsid w:val="00583B43"/>
    <w:pPr>
      <w:keepNext/>
      <w:keepLines/>
      <w:widowControl/>
      <w:spacing w:before="480" w:after="80" w:line="36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3B43"/>
    <w:pPr>
      <w:keepNext/>
      <w:keepLines/>
      <w:widowControl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83B43"/>
    <w:pPr>
      <w:keepNext/>
      <w:keepLines/>
      <w:widowControl/>
      <w:spacing w:before="160" w:after="80" w:line="36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83B43"/>
    <w:pPr>
      <w:keepNext/>
      <w:keepLines/>
      <w:widowControl/>
      <w:spacing w:before="80" w:after="40" w:line="360" w:lineRule="auto"/>
      <w:outlineLvl w:val="3"/>
    </w:pPr>
    <w:rPr>
      <w:rFonts w:cstheme="majorBidi"/>
      <w:color w:val="2F5496" w:themeColor="accent1" w:themeShade="BF"/>
      <w:sz w:val="28"/>
      <w:szCs w:val="28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583B43"/>
    <w:pPr>
      <w:keepNext/>
      <w:keepLines/>
      <w:widowControl/>
      <w:spacing w:before="80" w:after="40" w:line="360" w:lineRule="auto"/>
      <w:outlineLvl w:val="4"/>
    </w:pPr>
    <w:rPr>
      <w:rFonts w:cstheme="majorBidi"/>
      <w:color w:val="2F5496" w:themeColor="accent1" w:themeShade="BF"/>
      <w:sz w:val="24"/>
      <w:szCs w:val="24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583B43"/>
    <w:pPr>
      <w:keepNext/>
      <w:keepLines/>
      <w:widowControl/>
      <w:spacing w:before="40" w:line="360" w:lineRule="auto"/>
      <w:outlineLvl w:val="5"/>
    </w:pPr>
    <w:rPr>
      <w:rFonts w:cstheme="majorBidi"/>
      <w:b/>
      <w:bCs/>
      <w:color w:val="2F5496" w:themeColor="accent1" w:themeShade="BF"/>
      <w:sz w:val="24"/>
      <w14:ligatures w14:val="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583B43"/>
    <w:pPr>
      <w:keepNext/>
      <w:keepLines/>
      <w:widowControl/>
      <w:spacing w:before="40" w:line="360" w:lineRule="auto"/>
      <w:outlineLvl w:val="6"/>
    </w:pPr>
    <w:rPr>
      <w:rFonts w:cstheme="majorBidi"/>
      <w:b/>
      <w:bCs/>
      <w:color w:val="595959" w:themeColor="text1" w:themeTint="A6"/>
      <w:sz w:val="24"/>
      <w14:ligatures w14:val="none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583B43"/>
    <w:pPr>
      <w:keepNext/>
      <w:keepLines/>
      <w:widowControl/>
      <w:spacing w:line="360" w:lineRule="auto"/>
      <w:outlineLvl w:val="7"/>
    </w:pPr>
    <w:rPr>
      <w:rFonts w:cstheme="majorBidi"/>
      <w:color w:val="595959" w:themeColor="text1" w:themeTint="A6"/>
      <w:sz w:val="24"/>
      <w14:ligatures w14:val="none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583B43"/>
    <w:pPr>
      <w:keepNext/>
      <w:keepLines/>
      <w:widowControl/>
      <w:spacing w:line="360" w:lineRule="auto"/>
      <w:outlineLvl w:val="8"/>
    </w:pPr>
    <w:rPr>
      <w:rFonts w:eastAsiaTheme="majorEastAsia" w:cstheme="majorBidi"/>
      <w:color w:val="595959" w:themeColor="text1" w:themeTint="A6"/>
      <w:sz w:val="24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标题 一、"/>
    <w:basedOn w:val="a0"/>
    <w:link w:val="a4"/>
    <w:qFormat/>
    <w:rsid w:val="00D32064"/>
    <w:pPr>
      <w:widowControl/>
      <w:numPr>
        <w:numId w:val="1"/>
      </w:numPr>
      <w:spacing w:afterLines="50" w:after="50" w:line="360" w:lineRule="auto"/>
      <w:ind w:left="0" w:firstLine="0"/>
    </w:pPr>
    <w:rPr>
      <w:rFonts w:ascii="Times New Roman" w:eastAsia="宋体" w:hAnsi="Times New Roman"/>
      <w:b/>
      <w:sz w:val="32"/>
      <w14:ligatures w14:val="none"/>
    </w:rPr>
  </w:style>
  <w:style w:type="character" w:customStyle="1" w:styleId="a4">
    <w:name w:val="标题 一、 字符"/>
    <w:basedOn w:val="a1"/>
    <w:link w:val="a"/>
    <w:rsid w:val="00D32064"/>
    <w:rPr>
      <w:b/>
      <w:sz w:val="32"/>
    </w:rPr>
  </w:style>
  <w:style w:type="character" w:customStyle="1" w:styleId="10">
    <w:name w:val="标题 1 字符"/>
    <w:basedOn w:val="a1"/>
    <w:link w:val="1"/>
    <w:uiPriority w:val="9"/>
    <w:rsid w:val="00583B4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583B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583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583B43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583B43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583B43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583B4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583B4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583B43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0"/>
    <w:next w:val="a0"/>
    <w:link w:val="a6"/>
    <w:uiPriority w:val="10"/>
    <w:qFormat/>
    <w:rsid w:val="00583B43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6">
    <w:name w:val="标题 字符"/>
    <w:basedOn w:val="a1"/>
    <w:link w:val="a5"/>
    <w:uiPriority w:val="10"/>
    <w:rsid w:val="00583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583B43"/>
    <w:pPr>
      <w:widowControl/>
      <w:numPr>
        <w:ilvl w:val="1"/>
      </w:numPr>
      <w:spacing w:after="160"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8">
    <w:name w:val="副标题 字符"/>
    <w:basedOn w:val="a1"/>
    <w:link w:val="a7"/>
    <w:uiPriority w:val="11"/>
    <w:rsid w:val="00583B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0"/>
    <w:next w:val="a0"/>
    <w:link w:val="aa"/>
    <w:uiPriority w:val="29"/>
    <w:qFormat/>
    <w:rsid w:val="00583B43"/>
    <w:pPr>
      <w:widowControl/>
      <w:spacing w:before="160" w:after="160" w:line="360" w:lineRule="auto"/>
      <w:jc w:val="center"/>
    </w:pPr>
    <w:rPr>
      <w:rFonts w:ascii="Times New Roman" w:eastAsia="宋体" w:hAnsi="Times New Roman"/>
      <w:i/>
      <w:iCs/>
      <w:color w:val="404040" w:themeColor="text1" w:themeTint="BF"/>
      <w:sz w:val="24"/>
      <w14:ligatures w14:val="none"/>
    </w:rPr>
  </w:style>
  <w:style w:type="character" w:customStyle="1" w:styleId="aa">
    <w:name w:val="引用 字符"/>
    <w:basedOn w:val="a1"/>
    <w:link w:val="a9"/>
    <w:uiPriority w:val="29"/>
    <w:rsid w:val="00583B43"/>
    <w:rPr>
      <w:i/>
      <w:iCs/>
      <w:color w:val="404040" w:themeColor="text1" w:themeTint="BF"/>
    </w:rPr>
  </w:style>
  <w:style w:type="paragraph" w:styleId="ab">
    <w:name w:val="List Paragraph"/>
    <w:basedOn w:val="a0"/>
    <w:uiPriority w:val="34"/>
    <w:qFormat/>
    <w:rsid w:val="00583B43"/>
    <w:pPr>
      <w:widowControl/>
      <w:spacing w:line="360" w:lineRule="auto"/>
      <w:ind w:left="720"/>
      <w:contextualSpacing/>
    </w:pPr>
    <w:rPr>
      <w:rFonts w:ascii="Times New Roman" w:eastAsia="宋体" w:hAnsi="Times New Roman"/>
      <w:sz w:val="24"/>
      <w14:ligatures w14:val="none"/>
    </w:rPr>
  </w:style>
  <w:style w:type="character" w:styleId="ac">
    <w:name w:val="Intense Emphasis"/>
    <w:basedOn w:val="a1"/>
    <w:uiPriority w:val="21"/>
    <w:qFormat/>
    <w:rsid w:val="00583B43"/>
    <w:rPr>
      <w:i/>
      <w:iCs/>
      <w:color w:val="2F5496" w:themeColor="accent1" w:themeShade="BF"/>
    </w:rPr>
  </w:style>
  <w:style w:type="paragraph" w:styleId="ad">
    <w:name w:val="Intense Quote"/>
    <w:basedOn w:val="a0"/>
    <w:next w:val="a0"/>
    <w:link w:val="ae"/>
    <w:uiPriority w:val="30"/>
    <w:qFormat/>
    <w:rsid w:val="00583B4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eastAsia="宋体" w:hAnsi="Times New Roman"/>
      <w:i/>
      <w:iCs/>
      <w:color w:val="2F5496" w:themeColor="accent1" w:themeShade="BF"/>
      <w:sz w:val="24"/>
      <w14:ligatures w14:val="none"/>
    </w:rPr>
  </w:style>
  <w:style w:type="character" w:customStyle="1" w:styleId="ae">
    <w:name w:val="明显引用 字符"/>
    <w:basedOn w:val="a1"/>
    <w:link w:val="ad"/>
    <w:uiPriority w:val="30"/>
    <w:rsid w:val="00583B43"/>
    <w:rPr>
      <w:i/>
      <w:iCs/>
      <w:color w:val="2F5496" w:themeColor="accent1" w:themeShade="BF"/>
    </w:rPr>
  </w:style>
  <w:style w:type="character" w:styleId="af">
    <w:name w:val="Intense Reference"/>
    <w:basedOn w:val="a1"/>
    <w:uiPriority w:val="32"/>
    <w:qFormat/>
    <w:rsid w:val="00583B43"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0"/>
    <w:link w:val="af1"/>
    <w:uiPriority w:val="99"/>
    <w:unhideWhenUsed/>
    <w:rsid w:val="000A1AB7"/>
    <w:pPr>
      <w:widowControl/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1">
    <w:name w:val="页眉 字符"/>
    <w:basedOn w:val="a1"/>
    <w:link w:val="af0"/>
    <w:uiPriority w:val="99"/>
    <w:rsid w:val="000A1AB7"/>
    <w:rPr>
      <w:sz w:val="18"/>
      <w:szCs w:val="18"/>
    </w:rPr>
  </w:style>
  <w:style w:type="paragraph" w:styleId="af2">
    <w:name w:val="footer"/>
    <w:basedOn w:val="a0"/>
    <w:link w:val="af3"/>
    <w:uiPriority w:val="99"/>
    <w:unhideWhenUsed/>
    <w:rsid w:val="000A1AB7"/>
    <w:pPr>
      <w:widowControl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3">
    <w:name w:val="页脚 字符"/>
    <w:basedOn w:val="a1"/>
    <w:link w:val="af2"/>
    <w:uiPriority w:val="99"/>
    <w:rsid w:val="000A1AB7"/>
    <w:rPr>
      <w:sz w:val="18"/>
      <w:szCs w:val="18"/>
    </w:rPr>
  </w:style>
  <w:style w:type="table" w:styleId="af4">
    <w:name w:val="Table Grid"/>
    <w:basedOn w:val="a2"/>
    <w:uiPriority w:val="39"/>
    <w:rsid w:val="000A1AB7"/>
    <w:pPr>
      <w:spacing w:line="240" w:lineRule="auto"/>
      <w:jc w:val="left"/>
    </w:pPr>
    <w:rPr>
      <w:rFonts w:asciiTheme="minorHAnsi" w:eastAsiaTheme="minorEastAsia" w:hAnsiTheme="minorHAnsi"/>
      <w:sz w:val="21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line number"/>
    <w:basedOn w:val="a1"/>
    <w:uiPriority w:val="99"/>
    <w:semiHidden/>
    <w:unhideWhenUsed/>
    <w:rsid w:val="000A1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04093-C218-4BB2-9DEC-8CFF5ADF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1311</Characters>
  <Application>Microsoft Office Word</Application>
  <DocSecurity>0</DocSecurity>
  <Lines>34</Lines>
  <Paragraphs>19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瑾博文 闫</dc:creator>
  <cp:keywords/>
  <dc:description/>
  <cp:lastModifiedBy>瑾博文 闫</cp:lastModifiedBy>
  <cp:revision>2</cp:revision>
  <dcterms:created xsi:type="dcterms:W3CDTF">2026-08-18T12:15:00Z</dcterms:created>
  <dcterms:modified xsi:type="dcterms:W3CDTF">2026-08-18T12:16:00Z</dcterms:modified>
</cp:coreProperties>
</file>