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Supplementary Materials</w:t>
      </w:r>
    </w:p>
    <w:p>
      <w:pPr>
        <w:pStyle w:val="Normal"/>
        <w:bidi w:val="0"/>
        <w:spacing w:lineRule="auto" w:line="36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Annex 1: Types of Violence</w:t>
      </w:r>
    </w:p>
    <w:tbl>
      <w:tblPr>
        <w:tblW w:w="1016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326"/>
        <w:gridCol w:w="1178"/>
        <w:gridCol w:w="1170"/>
        <w:gridCol w:w="1081"/>
        <w:gridCol w:w="1079"/>
        <w:gridCol w:w="990"/>
        <w:gridCol w:w="1171"/>
        <w:gridCol w:w="1168"/>
      </w:tblGrid>
      <w:tr>
        <w:trPr>
          <w:trHeight w:val="20" w:hRule="atLeast"/>
        </w:trPr>
        <w:tc>
          <w:tcPr>
            <w:tcW w:w="23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Background characteristic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Emotional violence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Physical violence</w:t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Sexual violence</w:t>
            </w:r>
          </w:p>
        </w:tc>
        <w:tc>
          <w:tcPr>
            <w:tcW w:w="10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Physical and sexual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Physical and sexual and emotional</w:t>
            </w:r>
          </w:p>
        </w:tc>
        <w:tc>
          <w:tcPr>
            <w:tcW w:w="11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Physical or sexual</w:t>
            </w:r>
          </w:p>
        </w:tc>
        <w:tc>
          <w:tcPr>
            <w:tcW w:w="116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Physical or sexual or emotional</w:t>
            </w:r>
          </w:p>
        </w:tc>
      </w:tr>
      <w:tr>
        <w:trPr>
          <w:trHeight w:val="20" w:hRule="atLeast"/>
        </w:trPr>
        <w:tc>
          <w:tcPr>
            <w:tcW w:w="2326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Age</w:t>
            </w:r>
          </w:p>
        </w:tc>
        <w:tc>
          <w:tcPr>
            <w:tcW w:w="1178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7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081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079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99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71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68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15–19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92 (14.4%)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74 (11.6%)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42 (6.6%)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13 (2.1%)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 (1.3%)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104 (16.2%)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140 (21.8%)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20–24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156 (16.3%)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187 (19.6%)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72 (7.5%)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54 (5.6%)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27 (2.8%)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206 (21.5%)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252 (26.4%)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25–29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242 (17.3%)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295 (21.1%)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85 (6.1%)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63 (4.5%)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49 (3.5%)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318 (22.7%)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389 (27.8%)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30–39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345 (17.3%)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469 (23.5%)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150 (7.5%)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124 (6.2%)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82 (4.1%)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495 (24.8%)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579 (29.0%)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40–49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363 (25.4%)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443 (31.0%)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137 (9.6%)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119 (8.3%)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90 (6.3%)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462 (32.3%)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552 (38.6%)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Religion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Orthodox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599 (21.6%)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646 (23.3%)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249 (9.0%)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202 (7.3%)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133 (4.8%)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693 (25.0%)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865 (31.2%)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Catholic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 (18.8%)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 (14.3%)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 (3.0%)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 (3.0%)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 (3.0%)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 (14.3%)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9 (20.0%)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Protestant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330 (20.0%)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436 (26.4%)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104 (6.3%)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76 (4.6%)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61 (3.7%)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464 (28.1%)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544 (33.0%)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Muslim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238 (12.8%)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351 (18.9%)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122 (6.6%)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85 (4.6%)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54 (2.9%)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388 (20.9%)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451 (24.3%)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Traditional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 (14.6%)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11 (30.4%)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 (4.7%)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 (4.7%)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 (4.7%)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11 (30.4%)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13 (37.3%)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Other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21 (30.7%)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21 (31.4%)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7 (10.7%)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 (8.9%)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 (7.5%)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22 (33.2%)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30 (44.4%)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Residence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Urban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369 (17.1%)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401 (18.6%)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160 (7.4%)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125 (5.8%)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82 (3.8%)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438 (20.3%)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554 (25.7%)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Rural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832 (19.5%)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1,066 (25.0%)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328 (7.7%)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247 (5.8%)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175 (4.1%)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1,147 (26.9%)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1,356 (31.8%)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Marital status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Never married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61 (9.1%)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41 (6.1%)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43 (6.4%)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15 (2.3%)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 (0.8%)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69 (10.2%)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106 (15.8%)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Currently has intimate partner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31 (6.3%)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25 (5.0%)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32 (6.5%)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13 (2.7%)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 (0.8%)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43 (8.7%)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65 (13.1%)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Had intimate partner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30 (16.8%)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16 (9.0%)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11 (6.4%)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 (0.9%)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 (0.9%)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26 (14.5%)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42 (23.3%)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Married/living together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883 (17.6%)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1,169 (23.3%)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331 (6.6%)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261 (5.2%)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166 (3.3%)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1,240 (24.7%)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1,476 (29.4%)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Divorced/separated/widowed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254 (34.7%)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260 (35.5%)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111 (15.1%)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95 (13.0%)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83 (11.4%)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275 (37.6%)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329 (45.0%)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Employment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Employed for cash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300 (20.4%)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327 (22.2%)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121 (8.2%)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106 (7.2%)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69 (4.7%)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343 (23.3%)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434 (29.5%)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Employed not for cash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434 (23.1%)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529 (28.2%)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184 (9.8%)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141 (7.5%)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98 (5.2%)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571 (30.4%)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691 (36.8%)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Not employed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467 (15.2%)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615 (20.0%)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181 (5.9%)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126 (4.1%)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89 (2.9%)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670 (21.8%)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787 (25.6%)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Education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No education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556 (21.7%)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699 (27.3%)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241 (9.4%)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197 (7.7%)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146 (5.7%)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743 (29.0%)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873 (34.1%)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Primary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450 (20.6%)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587 (26.9%)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164 (7.5%)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131 (6.0%)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85 (3.9%)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620 (28.4%)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736 (33.7%)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Secondary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133 (13.0%)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122 (11.9%)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58 (5.7%)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28 (2.7%)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16 (1.6%)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153 (14.9%)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209 (20.4%)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More than secondary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62 (9.5%)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59 (9.0%)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25 (3.9%)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17 (2.6%)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9 (1.4%)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68 (10.4%)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93 (14.3%)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Wealth quintile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Lowest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191 (17.6%)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254 (23.3%)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61 (5.6%)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39 (3.6%)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30 (2.8%)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274 (25.2%)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320 (29.4%)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Second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233 (20.6%)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291 (25.7%)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102 (9.0%)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83 (7.3%)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52 (4.6%)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309 (27.3%)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376 (33.2%)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Middle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265 (21.6%)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315 (25.7%)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107 (8.7%)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77 (6.3%)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55 (4.5%)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345 (28.1%)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412 (33.6%)</w:t>
            </w:r>
          </w:p>
        </w:tc>
      </w:tr>
      <w:tr>
        <w:trPr>
          <w:trHeight w:val="20" w:hRule="atLeast"/>
        </w:trPr>
        <w:tc>
          <w:tcPr>
            <w:tcW w:w="2326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Fourth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259 (19.2%)</w:t>
            </w:r>
          </w:p>
        </w:tc>
        <w:tc>
          <w:tcPr>
            <w:tcW w:w="117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337 (25.0%)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98 (7.3%)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82 (6.1%)</w:t>
            </w:r>
          </w:p>
        </w:tc>
        <w:tc>
          <w:tcPr>
            <w:tcW w:w="99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63 (4.7%)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353 (26.2%)</w:t>
            </w:r>
          </w:p>
        </w:tc>
        <w:tc>
          <w:tcPr>
            <w:tcW w:w="116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428 (31.7%)</w:t>
            </w:r>
          </w:p>
        </w:tc>
      </w:tr>
      <w:tr>
        <w:trPr>
          <w:trHeight w:val="20" w:hRule="atLeast"/>
        </w:trPr>
        <w:tc>
          <w:tcPr>
            <w:tcW w:w="2326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Highest</w:t>
            </w:r>
          </w:p>
        </w:tc>
        <w:tc>
          <w:tcPr>
            <w:tcW w:w="1178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251 (15.4%)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272 (16.7%)</w:t>
            </w:r>
          </w:p>
        </w:tc>
        <w:tc>
          <w:tcPr>
            <w:tcW w:w="108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119 (7.3%)</w:t>
            </w:r>
          </w:p>
        </w:tc>
        <w:tc>
          <w:tcPr>
            <w:tcW w:w="1079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89 (5.5%)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55 (3.4%)</w:t>
            </w:r>
          </w:p>
        </w:tc>
        <w:tc>
          <w:tcPr>
            <w:tcW w:w="117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301 (18.5%)</w:t>
            </w:r>
          </w:p>
        </w:tc>
        <w:tc>
          <w:tcPr>
            <w:tcW w:w="1168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377 (23.2%)</w:t>
            </w:r>
          </w:p>
        </w:tc>
      </w:tr>
    </w:tbl>
    <w:p>
      <w:pPr>
        <w:pStyle w:val="Normal"/>
        <w:bidi w:val="0"/>
        <w:spacing w:lineRule="auto" w:line="36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36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Annex 2: Types of Violence by Region</w:t>
      </w:r>
    </w:p>
    <w:tbl>
      <w:tblPr>
        <w:tblW w:w="98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619"/>
        <w:gridCol w:w="1178"/>
        <w:gridCol w:w="1171"/>
        <w:gridCol w:w="1080"/>
        <w:gridCol w:w="1080"/>
        <w:gridCol w:w="1161"/>
        <w:gridCol w:w="1172"/>
        <w:gridCol w:w="1347"/>
      </w:tblGrid>
      <w:tr>
        <w:trPr>
          <w:trHeight w:val="20" w:hRule="atLeast"/>
        </w:trPr>
        <w:tc>
          <w:tcPr>
            <w:tcW w:w="1619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Region</w:t>
            </w:r>
          </w:p>
        </w:tc>
        <w:tc>
          <w:tcPr>
            <w:tcW w:w="1178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Emotional violence</w:t>
            </w:r>
          </w:p>
        </w:tc>
        <w:tc>
          <w:tcPr>
            <w:tcW w:w="1171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Physical violence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Sexual violence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Physical and sexual</w:t>
            </w:r>
          </w:p>
        </w:tc>
        <w:tc>
          <w:tcPr>
            <w:tcW w:w="1161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Physical and sexual and emotional</w:t>
            </w:r>
          </w:p>
        </w:tc>
        <w:tc>
          <w:tcPr>
            <w:tcW w:w="1172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Physical or sexual</w:t>
            </w:r>
          </w:p>
        </w:tc>
        <w:tc>
          <w:tcPr>
            <w:tcW w:w="1347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Physical or sexual or emotional</w:t>
            </w:r>
          </w:p>
        </w:tc>
      </w:tr>
      <w:tr>
        <w:trPr>
          <w:trHeight w:val="20" w:hRule="atLeast"/>
        </w:trPr>
        <w:tc>
          <w:tcPr>
            <w:tcW w:w="161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Tigrai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74 (19.7%)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47 (12.6%)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17 (4.5%)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9 (2.3%)</w:t>
            </w:r>
          </w:p>
        </w:tc>
        <w:tc>
          <w:tcPr>
            <w:tcW w:w="116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 (2.0%)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56 (14.9%)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88 (23.5%)</w:t>
            </w:r>
          </w:p>
        </w:tc>
      </w:tr>
      <w:tr>
        <w:trPr>
          <w:trHeight w:val="20" w:hRule="atLeast"/>
        </w:trPr>
        <w:tc>
          <w:tcPr>
            <w:tcW w:w="161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Afar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10 (16.1%)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11 (17.5%)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 (9.3%)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 (6.4%)</w:t>
            </w:r>
          </w:p>
        </w:tc>
        <w:tc>
          <w:tcPr>
            <w:tcW w:w="116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 (5.4%)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13 (20.4%)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15 (24.5%)</w:t>
            </w:r>
          </w:p>
        </w:tc>
      </w:tr>
      <w:tr>
        <w:trPr>
          <w:trHeight w:val="20" w:hRule="atLeast"/>
        </w:trPr>
        <w:tc>
          <w:tcPr>
            <w:tcW w:w="161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Amhara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386 (24.0%)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404 (25.1%)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190 (11.8%)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154 (9.6%)</w:t>
            </w:r>
          </w:p>
        </w:tc>
        <w:tc>
          <w:tcPr>
            <w:tcW w:w="116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105 (6.5%)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439 (27.3%)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556 (34.6%)</w:t>
            </w:r>
          </w:p>
        </w:tc>
      </w:tr>
      <w:tr>
        <w:trPr>
          <w:trHeight w:val="20" w:hRule="atLeast"/>
        </w:trPr>
        <w:tc>
          <w:tcPr>
            <w:tcW w:w="161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Oromia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304 (12.4%)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612 (25.0%)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157 (6.4%)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118 (4.8%)</w:t>
            </w:r>
          </w:p>
        </w:tc>
        <w:tc>
          <w:tcPr>
            <w:tcW w:w="116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76 (3.1%)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652 (26.6%)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686 (28.0%)</w:t>
            </w:r>
          </w:p>
        </w:tc>
      </w:tr>
      <w:tr>
        <w:trPr>
          <w:trHeight w:val="20" w:hRule="atLeast"/>
        </w:trPr>
        <w:tc>
          <w:tcPr>
            <w:tcW w:w="161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Somali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11 (6.6%)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14 (8.8%)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 (3.5%)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 (2.4%)</w:t>
            </w:r>
          </w:p>
        </w:tc>
        <w:tc>
          <w:tcPr>
            <w:tcW w:w="116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0 (0.3%)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16 (9.9%)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21 (12.6%)</w:t>
            </w:r>
          </w:p>
        </w:tc>
      </w:tr>
      <w:tr>
        <w:trPr>
          <w:trHeight w:val="20" w:hRule="atLeast"/>
        </w:trPr>
        <w:tc>
          <w:tcPr>
            <w:tcW w:w="161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Benishangul-Gumuz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12 (16.6%)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20 (27.2%)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 (4.4%)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 (3.7%)</w:t>
            </w:r>
          </w:p>
        </w:tc>
        <w:tc>
          <w:tcPr>
            <w:tcW w:w="116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 (1.6%)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20 (27.9%)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23 (32.0%)</w:t>
            </w:r>
          </w:p>
        </w:tc>
      </w:tr>
      <w:tr>
        <w:trPr>
          <w:trHeight w:val="20" w:hRule="atLeast"/>
        </w:trPr>
        <w:tc>
          <w:tcPr>
            <w:tcW w:w="161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Central Ethiopia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47 (18.9%)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39 (15.6%)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16 (6.2%)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9 (3.6%)</w:t>
            </w:r>
          </w:p>
        </w:tc>
        <w:tc>
          <w:tcPr>
            <w:tcW w:w="116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 (3.3%)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46 (18.2%)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65 (25.9%)</w:t>
            </w:r>
          </w:p>
        </w:tc>
      </w:tr>
      <w:tr>
        <w:trPr>
          <w:trHeight w:val="20" w:hRule="atLeast"/>
        </w:trPr>
        <w:tc>
          <w:tcPr>
            <w:tcW w:w="161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Sidama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105 (35.1%)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98 (32.9%)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28 (9.4%)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21 (6.9%)</w:t>
            </w:r>
          </w:p>
        </w:tc>
        <w:tc>
          <w:tcPr>
            <w:tcW w:w="116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17 (5.8%)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105 (35.4%)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132 (44.4%)</w:t>
            </w:r>
          </w:p>
        </w:tc>
      </w:tr>
      <w:tr>
        <w:trPr>
          <w:trHeight w:val="20" w:hRule="atLeast"/>
        </w:trPr>
        <w:tc>
          <w:tcPr>
            <w:tcW w:w="161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South West Ethiopia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54 (26.4%)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51 (25.2%)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11 (5.3%)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 (4.1%)</w:t>
            </w:r>
          </w:p>
        </w:tc>
        <w:tc>
          <w:tcPr>
            <w:tcW w:w="116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7 (3.5%)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54 (26.4%)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66 (32.7%)</w:t>
            </w:r>
          </w:p>
        </w:tc>
      </w:tr>
      <w:tr>
        <w:trPr>
          <w:trHeight w:val="20" w:hRule="atLeast"/>
        </w:trPr>
        <w:tc>
          <w:tcPr>
            <w:tcW w:w="161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South Ethiopia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112 (24.1%)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97 (20.9%)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39 (8.5%)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30 (6.5%)</w:t>
            </w:r>
          </w:p>
        </w:tc>
        <w:tc>
          <w:tcPr>
            <w:tcW w:w="116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23 (5.0%)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106 (22.8%)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142 (30.5%)</w:t>
            </w:r>
          </w:p>
        </w:tc>
      </w:tr>
      <w:tr>
        <w:trPr>
          <w:trHeight w:val="20" w:hRule="atLeast"/>
        </w:trPr>
        <w:tc>
          <w:tcPr>
            <w:tcW w:w="161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Gambella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9 (30.4%)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9 (28.5%)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 (6.3%)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 (4.2%)</w:t>
            </w:r>
          </w:p>
        </w:tc>
        <w:tc>
          <w:tcPr>
            <w:tcW w:w="116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 (3.4%)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9 (30.6%)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13 (41.7%)</w:t>
            </w:r>
          </w:p>
        </w:tc>
      </w:tr>
      <w:tr>
        <w:trPr>
          <w:trHeight w:val="20" w:hRule="atLeast"/>
        </w:trPr>
        <w:tc>
          <w:tcPr>
            <w:tcW w:w="161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Harari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3 (14.1%)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4 (20.5%)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 (4.9%)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 (3.7%)</w:t>
            </w:r>
          </w:p>
        </w:tc>
        <w:tc>
          <w:tcPr>
            <w:tcW w:w="116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 (3.1%)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 (21.7%)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 (24.4%)</w:t>
            </w:r>
          </w:p>
        </w:tc>
      </w:tr>
      <w:tr>
        <w:trPr>
          <w:trHeight w:val="80" w:hRule="atLeast"/>
        </w:trPr>
        <w:tc>
          <w:tcPr>
            <w:tcW w:w="1619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Addis Ababa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66 (17.0%)</w:t>
            </w:r>
          </w:p>
        </w:tc>
        <w:tc>
          <w:tcPr>
            <w:tcW w:w="117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54 (14.0%)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12 (3.0%)</w:t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9 (2.3%)</w:t>
            </w:r>
          </w:p>
        </w:tc>
        <w:tc>
          <w:tcPr>
            <w:tcW w:w="1161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 (1.2%)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57 (14.7%)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89 (22.9%)</w:t>
            </w:r>
          </w:p>
        </w:tc>
      </w:tr>
      <w:tr>
        <w:trPr>
          <w:trHeight w:val="20" w:hRule="atLeast"/>
        </w:trPr>
        <w:tc>
          <w:tcPr>
            <w:tcW w:w="1619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Dire Dawa</w:t>
            </w:r>
          </w:p>
        </w:tc>
        <w:tc>
          <w:tcPr>
            <w:tcW w:w="1178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7 (21.2%)</w:t>
            </w:r>
          </w:p>
        </w:tc>
        <w:tc>
          <w:tcPr>
            <w:tcW w:w="117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7 (20.0%)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2 (5.0%)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 (3.9%)</w:t>
            </w:r>
          </w:p>
        </w:tc>
        <w:tc>
          <w:tcPr>
            <w:tcW w:w="116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 (3.3%)</w:t>
            </w:r>
          </w:p>
        </w:tc>
        <w:tc>
          <w:tcPr>
            <w:tcW w:w="1172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7 (21.2%)</w:t>
            </w:r>
          </w:p>
        </w:tc>
        <w:tc>
          <w:tcPr>
            <w:tcW w:w="1347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14:ligatures w14:val="none"/>
              </w:rPr>
              <w:t>11 (30.8%)</w:t>
            </w:r>
          </w:p>
        </w:tc>
      </w:tr>
    </w:tbl>
    <w:p>
      <w:pPr>
        <w:pStyle w:val="Normal"/>
        <w:bidi w:val="0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LibreOffice/24.2.4.2$Windows_X86_64 LibreOffice_project/51a6219feb6075d9a4c46691dcfe0cd9c4fff3c2</Application>
  <AppVersion>15.0000</AppVersion>
  <Pages>2</Pages>
  <Words>757</Words>
  <Characters>3609</Characters>
  <CharactersWithSpaces>3983</CharactersWithSpaces>
  <Paragraphs>378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2026-09-25T07:14:44Z</dcterms:created>
  <dc:creator/>
  <dc:description/>
  <dc:language>en-US</dc:language>
  <cp:lastModifiedBy/>
  <dcterms:modified xsi:type="dcterms:W3CDTF">2026-09-25T07:14:59Z</dcterms:modified>
  <cp:revision>1</cp:revision>
  <dc:subject/>
  <dc:title/>
</cp:coreProperties>
</file>