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5CA" w:rsidRPr="00C025CA" w:rsidRDefault="00C025CA" w:rsidP="00C025CA">
      <w:pPr>
        <w:rPr>
          <w:rFonts w:hint="eastAsia"/>
          <w:sz w:val="13"/>
          <w:szCs w:val="13"/>
        </w:rPr>
      </w:pPr>
      <w:r w:rsidRPr="00C025CA">
        <w:rPr>
          <w:sz w:val="13"/>
          <w:szCs w:val="13"/>
        </w:rPr>
        <w:t xml:space="preserve">Supplementary Figure 1. The four targets were IL6 (PDB ID: 5fuc), VEGFA (PDB ID: 6d3o), AKT1(PDB ID: 6s9x), and EGF (PDB ID:1jl9). The top three compounds were leteolin, quercetin, and kaempferol. The binding energies of ligand compounds and protein receptors were as follows. The binding energy ranges from </w:t>
      </w:r>
      <w:r w:rsidRPr="00C025CA">
        <w:rPr>
          <w:rFonts w:ascii="微软雅黑" w:eastAsia="微软雅黑" w:hAnsi="微软雅黑" w:cs="微软雅黑" w:hint="eastAsia"/>
          <w:sz w:val="13"/>
          <w:szCs w:val="13"/>
        </w:rPr>
        <w:t>−</w:t>
      </w:r>
      <w:r w:rsidRPr="00C025CA">
        <w:rPr>
          <w:sz w:val="13"/>
          <w:szCs w:val="13"/>
        </w:rPr>
        <w:t xml:space="preserve">7.33 kcal/mol to </w:t>
      </w:r>
      <w:r w:rsidRPr="00C025CA">
        <w:rPr>
          <w:rFonts w:ascii="微软雅黑" w:eastAsia="微软雅黑" w:hAnsi="微软雅黑" w:cs="微软雅黑" w:hint="eastAsia"/>
          <w:sz w:val="13"/>
          <w:szCs w:val="13"/>
        </w:rPr>
        <w:t>−</w:t>
      </w:r>
      <w:r w:rsidRPr="00C025CA">
        <w:rPr>
          <w:sz w:val="13"/>
          <w:szCs w:val="13"/>
        </w:rPr>
        <w:t xml:space="preserve"> 5.20 kcal/mol. Structural model of active ingredients with hub targets. (A) Structural model of IL6 with luteolin, quercetin, and kaempferol. (B) Structural model of VEGFA with luteolin, quercetin, and kaempferol.(C) Structural model of AKT1 with luteolin, quercetin, and kaempferol. (D) Structural model of EGF with luteolin, quercetin, and kaempferol.</w:t>
      </w:r>
    </w:p>
    <w:p w:rsidR="00C025CA" w:rsidRDefault="00C025CA" w:rsidP="00C025CA">
      <w:pPr>
        <w:spacing w:line="360" w:lineRule="auto"/>
        <w:rPr>
          <w:rFonts w:hint="eastAsia"/>
        </w:rPr>
      </w:pPr>
      <w:r>
        <w:rPr>
          <w:noProof/>
        </w:rPr>
        <w:drawing>
          <wp:inline distT="0" distB="0" distL="0" distR="0" wp14:anchorId="6785880C">
            <wp:extent cx="5273675" cy="7803515"/>
            <wp:effectExtent l="0" t="0" r="317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7803515"/>
                    </a:xfrm>
                    <a:prstGeom prst="rect">
                      <a:avLst/>
                    </a:prstGeom>
                    <a:noFill/>
                  </pic:spPr>
                </pic:pic>
              </a:graphicData>
            </a:graphic>
          </wp:inline>
        </w:drawing>
      </w:r>
    </w:p>
    <w:p w:rsidR="00C025CA" w:rsidRPr="00C025CA" w:rsidRDefault="00C025CA" w:rsidP="00C025CA">
      <w:pPr>
        <w:rPr>
          <w:rFonts w:hint="eastAsia"/>
          <w:sz w:val="18"/>
          <w:szCs w:val="18"/>
        </w:rPr>
      </w:pPr>
      <w:r>
        <w:rPr>
          <w:sz w:val="18"/>
          <w:szCs w:val="18"/>
        </w:rPr>
        <w:lastRenderedPageBreak/>
        <w:t>Supplementary Figure 2</w:t>
      </w:r>
      <w:bookmarkStart w:id="0" w:name="_GoBack"/>
      <w:bookmarkEnd w:id="0"/>
      <w:r w:rsidRPr="00C025CA">
        <w:rPr>
          <w:rFonts w:hint="eastAsia"/>
          <w:sz w:val="18"/>
          <w:szCs w:val="18"/>
        </w:rPr>
        <w:t>. B</w:t>
      </w:r>
      <w:r w:rsidRPr="00C025CA">
        <w:rPr>
          <w:sz w:val="18"/>
          <w:szCs w:val="18"/>
        </w:rPr>
        <w:t>inding site of active ingredients with hub targets</w:t>
      </w:r>
      <w:r w:rsidRPr="00C025CA">
        <w:rPr>
          <w:rFonts w:hint="eastAsia"/>
          <w:sz w:val="18"/>
          <w:szCs w:val="18"/>
        </w:rPr>
        <w:t>.</w:t>
      </w:r>
      <w:r w:rsidRPr="00C025CA">
        <w:rPr>
          <w:sz w:val="18"/>
          <w:szCs w:val="18"/>
        </w:rPr>
        <w:t xml:space="preserve">(A) Binding </w:t>
      </w:r>
      <w:r w:rsidRPr="00C025CA">
        <w:rPr>
          <w:rFonts w:hint="eastAsia"/>
          <w:sz w:val="18"/>
          <w:szCs w:val="18"/>
        </w:rPr>
        <w:t>site</w:t>
      </w:r>
      <w:r w:rsidRPr="00C025CA">
        <w:rPr>
          <w:sz w:val="18"/>
          <w:szCs w:val="18"/>
        </w:rPr>
        <w:t xml:space="preserve"> of</w:t>
      </w:r>
      <w:r w:rsidRPr="00C025CA">
        <w:rPr>
          <w:rFonts w:hint="eastAsia"/>
          <w:sz w:val="18"/>
          <w:szCs w:val="18"/>
        </w:rPr>
        <w:t xml:space="preserve"> IL6</w:t>
      </w:r>
      <w:r w:rsidRPr="00C025CA">
        <w:rPr>
          <w:sz w:val="18"/>
          <w:szCs w:val="18"/>
        </w:rPr>
        <w:t xml:space="preserve"> with </w:t>
      </w:r>
      <w:r w:rsidRPr="00C025CA">
        <w:rPr>
          <w:rFonts w:hint="eastAsia"/>
          <w:sz w:val="18"/>
          <w:szCs w:val="18"/>
        </w:rPr>
        <w:t xml:space="preserve">luteolin, quercetin, </w:t>
      </w:r>
      <w:r w:rsidRPr="00C025CA">
        <w:rPr>
          <w:sz w:val="18"/>
          <w:szCs w:val="18"/>
        </w:rPr>
        <w:t xml:space="preserve">and </w:t>
      </w:r>
      <w:r w:rsidRPr="00C025CA">
        <w:rPr>
          <w:rFonts w:hint="eastAsia"/>
          <w:sz w:val="18"/>
          <w:szCs w:val="18"/>
        </w:rPr>
        <w:t>kaempferol</w:t>
      </w:r>
      <w:r w:rsidRPr="00C025CA">
        <w:rPr>
          <w:sz w:val="18"/>
          <w:szCs w:val="18"/>
        </w:rPr>
        <w:t xml:space="preserve">.(B) Binding </w:t>
      </w:r>
      <w:r w:rsidRPr="00C025CA">
        <w:rPr>
          <w:rFonts w:hint="eastAsia"/>
          <w:sz w:val="18"/>
          <w:szCs w:val="18"/>
        </w:rPr>
        <w:t>site</w:t>
      </w:r>
      <w:r w:rsidRPr="00C025CA">
        <w:rPr>
          <w:sz w:val="18"/>
          <w:szCs w:val="18"/>
        </w:rPr>
        <w:t xml:space="preserve"> of</w:t>
      </w:r>
      <w:r w:rsidRPr="00C025CA">
        <w:rPr>
          <w:rFonts w:hint="eastAsia"/>
          <w:sz w:val="18"/>
          <w:szCs w:val="18"/>
        </w:rPr>
        <w:t xml:space="preserve"> VEGFA </w:t>
      </w:r>
      <w:r w:rsidRPr="00C025CA">
        <w:rPr>
          <w:sz w:val="18"/>
          <w:szCs w:val="18"/>
        </w:rPr>
        <w:t xml:space="preserve">with </w:t>
      </w:r>
      <w:r w:rsidRPr="00C025CA">
        <w:rPr>
          <w:rFonts w:hint="eastAsia"/>
          <w:sz w:val="18"/>
          <w:szCs w:val="18"/>
        </w:rPr>
        <w:t xml:space="preserve">luteolin, quercetin, </w:t>
      </w:r>
      <w:r w:rsidRPr="00C025CA">
        <w:rPr>
          <w:sz w:val="18"/>
          <w:szCs w:val="18"/>
        </w:rPr>
        <w:t xml:space="preserve">and </w:t>
      </w:r>
      <w:r w:rsidRPr="00C025CA">
        <w:rPr>
          <w:rFonts w:hint="eastAsia"/>
          <w:sz w:val="18"/>
          <w:szCs w:val="18"/>
        </w:rPr>
        <w:t>kaempferol.  (</w:t>
      </w:r>
      <w:r w:rsidRPr="00C025CA">
        <w:rPr>
          <w:sz w:val="18"/>
          <w:szCs w:val="18"/>
        </w:rPr>
        <w:t xml:space="preserve">C) Binding </w:t>
      </w:r>
      <w:r w:rsidRPr="00C025CA">
        <w:rPr>
          <w:rFonts w:hint="eastAsia"/>
          <w:sz w:val="18"/>
          <w:szCs w:val="18"/>
        </w:rPr>
        <w:t>site</w:t>
      </w:r>
      <w:r w:rsidRPr="00C025CA">
        <w:rPr>
          <w:sz w:val="18"/>
          <w:szCs w:val="18"/>
        </w:rPr>
        <w:t xml:space="preserve"> of</w:t>
      </w:r>
      <w:r w:rsidRPr="00C025CA">
        <w:rPr>
          <w:rFonts w:hint="eastAsia"/>
          <w:sz w:val="18"/>
          <w:szCs w:val="18"/>
        </w:rPr>
        <w:t xml:space="preserve"> AKT1</w:t>
      </w:r>
      <w:r w:rsidRPr="00C025CA">
        <w:rPr>
          <w:sz w:val="18"/>
          <w:szCs w:val="18"/>
        </w:rPr>
        <w:t xml:space="preserve"> with </w:t>
      </w:r>
      <w:r w:rsidRPr="00C025CA">
        <w:rPr>
          <w:rFonts w:hint="eastAsia"/>
          <w:sz w:val="18"/>
          <w:szCs w:val="18"/>
        </w:rPr>
        <w:t>luteolin,</w:t>
      </w:r>
      <w:r w:rsidRPr="00C025CA">
        <w:rPr>
          <w:sz w:val="18"/>
          <w:szCs w:val="18"/>
        </w:rPr>
        <w:t xml:space="preserve"> </w:t>
      </w:r>
      <w:r w:rsidRPr="00C025CA">
        <w:rPr>
          <w:rFonts w:hint="eastAsia"/>
          <w:sz w:val="18"/>
          <w:szCs w:val="18"/>
        </w:rPr>
        <w:t>quercetin,</w:t>
      </w:r>
      <w:r w:rsidRPr="00C025CA">
        <w:rPr>
          <w:sz w:val="18"/>
          <w:szCs w:val="18"/>
        </w:rPr>
        <w:t xml:space="preserve"> and </w:t>
      </w:r>
      <w:r w:rsidRPr="00C025CA">
        <w:rPr>
          <w:rFonts w:hint="eastAsia"/>
          <w:sz w:val="18"/>
          <w:szCs w:val="18"/>
        </w:rPr>
        <w:t>kaempferol</w:t>
      </w:r>
      <w:r w:rsidRPr="00C025CA">
        <w:rPr>
          <w:sz w:val="18"/>
          <w:szCs w:val="18"/>
        </w:rPr>
        <w:t xml:space="preserve">. (D) Binding </w:t>
      </w:r>
      <w:r w:rsidRPr="00C025CA">
        <w:rPr>
          <w:rFonts w:hint="eastAsia"/>
          <w:sz w:val="18"/>
          <w:szCs w:val="18"/>
        </w:rPr>
        <w:t>site</w:t>
      </w:r>
      <w:r w:rsidRPr="00C025CA">
        <w:rPr>
          <w:sz w:val="18"/>
          <w:szCs w:val="18"/>
        </w:rPr>
        <w:t xml:space="preserve"> of EGF with </w:t>
      </w:r>
      <w:r w:rsidRPr="00C025CA">
        <w:rPr>
          <w:rFonts w:hint="eastAsia"/>
          <w:sz w:val="18"/>
          <w:szCs w:val="18"/>
        </w:rPr>
        <w:t>luteolin,</w:t>
      </w:r>
      <w:r w:rsidRPr="00C025CA">
        <w:rPr>
          <w:sz w:val="18"/>
          <w:szCs w:val="18"/>
        </w:rPr>
        <w:t xml:space="preserve"> </w:t>
      </w:r>
      <w:r w:rsidRPr="00C025CA">
        <w:rPr>
          <w:rFonts w:hint="eastAsia"/>
          <w:sz w:val="18"/>
          <w:szCs w:val="18"/>
        </w:rPr>
        <w:t>quercetin,</w:t>
      </w:r>
      <w:r w:rsidRPr="00C025CA">
        <w:rPr>
          <w:sz w:val="18"/>
          <w:szCs w:val="18"/>
        </w:rPr>
        <w:t xml:space="preserve"> and </w:t>
      </w:r>
      <w:r w:rsidRPr="00C025CA">
        <w:rPr>
          <w:rFonts w:hint="eastAsia"/>
          <w:sz w:val="18"/>
          <w:szCs w:val="18"/>
        </w:rPr>
        <w:t>kaempferol</w:t>
      </w:r>
      <w:r w:rsidRPr="00C025CA">
        <w:rPr>
          <w:sz w:val="18"/>
          <w:szCs w:val="18"/>
        </w:rPr>
        <w:t xml:space="preserve">. </w:t>
      </w:r>
    </w:p>
    <w:p w:rsidR="00C025CA" w:rsidRDefault="00C025CA" w:rsidP="00C025CA">
      <w:pPr>
        <w:spacing w:line="360" w:lineRule="auto"/>
        <w:rPr>
          <w:rFonts w:hint="eastAsia"/>
        </w:rPr>
      </w:pPr>
      <w:r>
        <w:rPr>
          <w:noProof/>
        </w:rPr>
        <w:drawing>
          <wp:inline distT="0" distB="0" distL="0" distR="0" wp14:anchorId="3C999EBD">
            <wp:extent cx="5273675" cy="791337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7913370"/>
                    </a:xfrm>
                    <a:prstGeom prst="rect">
                      <a:avLst/>
                    </a:prstGeom>
                    <a:noFill/>
                  </pic:spPr>
                </pic:pic>
              </a:graphicData>
            </a:graphic>
          </wp:inline>
        </w:drawing>
      </w:r>
    </w:p>
    <w:sectPr w:rsidR="00C025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B5F" w:rsidRDefault="00422B5F" w:rsidP="00C025CA">
      <w:r>
        <w:separator/>
      </w:r>
    </w:p>
  </w:endnote>
  <w:endnote w:type="continuationSeparator" w:id="0">
    <w:p w:rsidR="00422B5F" w:rsidRDefault="00422B5F" w:rsidP="00C02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B5F" w:rsidRDefault="00422B5F" w:rsidP="00C025CA">
      <w:r>
        <w:separator/>
      </w:r>
    </w:p>
  </w:footnote>
  <w:footnote w:type="continuationSeparator" w:id="0">
    <w:p w:rsidR="00422B5F" w:rsidRDefault="00422B5F" w:rsidP="00C02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75"/>
    <w:rsid w:val="00106875"/>
    <w:rsid w:val="00422B5F"/>
    <w:rsid w:val="008E4ADF"/>
    <w:rsid w:val="00C02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F6D45"/>
  <w15:chartTrackingRefBased/>
  <w15:docId w15:val="{59CFE5EF-E66D-45FD-8D7E-5F07CA72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25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25CA"/>
    <w:rPr>
      <w:sz w:val="18"/>
      <w:szCs w:val="18"/>
    </w:rPr>
  </w:style>
  <w:style w:type="paragraph" w:styleId="a5">
    <w:name w:val="footer"/>
    <w:basedOn w:val="a"/>
    <w:link w:val="a6"/>
    <w:uiPriority w:val="99"/>
    <w:unhideWhenUsed/>
    <w:rsid w:val="00C025CA"/>
    <w:pPr>
      <w:tabs>
        <w:tab w:val="center" w:pos="4153"/>
        <w:tab w:val="right" w:pos="8306"/>
      </w:tabs>
      <w:snapToGrid w:val="0"/>
      <w:jc w:val="left"/>
    </w:pPr>
    <w:rPr>
      <w:sz w:val="18"/>
      <w:szCs w:val="18"/>
    </w:rPr>
  </w:style>
  <w:style w:type="character" w:customStyle="1" w:styleId="a6">
    <w:name w:val="页脚 字符"/>
    <w:basedOn w:val="a0"/>
    <w:link w:val="a5"/>
    <w:uiPriority w:val="99"/>
    <w:rsid w:val="00C025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dc:creator>
  <cp:keywords/>
  <dc:description/>
  <cp:lastModifiedBy>Zhu</cp:lastModifiedBy>
  <cp:revision>2</cp:revision>
  <dcterms:created xsi:type="dcterms:W3CDTF">2021-06-07T07:35:00Z</dcterms:created>
  <dcterms:modified xsi:type="dcterms:W3CDTF">2021-06-07T07:42:00Z</dcterms:modified>
</cp:coreProperties>
</file>