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6A5C1" w14:textId="5EF08714" w:rsidR="00B307CE" w:rsidRPr="00E328E9" w:rsidRDefault="00B307CE" w:rsidP="00EB2904">
      <w:pPr>
        <w:adjustRightInd w:val="0"/>
        <w:snapToGrid w:val="0"/>
        <w:spacing w:before="240"/>
        <w:rPr>
          <w:rFonts w:ascii="Times New Roman" w:eastAsia="CharisSIL-Bold" w:hAnsi="Times New Roman" w:cs="Times New Roman"/>
          <w:b/>
          <w:bCs/>
          <w:kern w:val="0"/>
          <w:sz w:val="28"/>
          <w:szCs w:val="28"/>
        </w:rPr>
      </w:pPr>
      <w:r w:rsidRPr="00E328E9">
        <w:rPr>
          <w:rFonts w:ascii="Times New Roman" w:eastAsia="CharisSIL-Bold" w:hAnsi="Times New Roman" w:cs="Times New Roman"/>
          <w:b/>
          <w:bCs/>
          <w:kern w:val="0"/>
          <w:sz w:val="28"/>
          <w:szCs w:val="28"/>
        </w:rPr>
        <w:t xml:space="preserve">Supplementary data for </w:t>
      </w:r>
      <w:r w:rsidR="00E328E9">
        <w:rPr>
          <w:rFonts w:ascii="Times New Roman" w:eastAsia="CharisSIL-Bold" w:hAnsi="Times New Roman" w:cs="Times New Roman"/>
          <w:b/>
          <w:bCs/>
          <w:kern w:val="0"/>
          <w:sz w:val="28"/>
          <w:szCs w:val="28"/>
        </w:rPr>
        <w:t>‘</w:t>
      </w:r>
      <w:r w:rsidR="004E4753" w:rsidRPr="004E4753">
        <w:rPr>
          <w:rFonts w:ascii="Times New Roman" w:hAnsi="Times New Roman" w:cs="Times New Roman"/>
          <w:b/>
          <w:bCs/>
          <w:sz w:val="28"/>
          <w:szCs w:val="28"/>
        </w:rPr>
        <w:t>Determination of the synergistic anti-influenza effect of Huangqin Su tablet and Oseltamivir and investigation of mechanism of the tablet based on gut microbiota and network pharmacology</w:t>
      </w:r>
      <w:r w:rsidR="00E328E9">
        <w:rPr>
          <w:rFonts w:ascii="Times New Roman" w:eastAsia="CharisSIL-Bold" w:hAnsi="Times New Roman" w:cs="Times New Roman"/>
          <w:b/>
          <w:bCs/>
          <w:kern w:val="0"/>
          <w:sz w:val="28"/>
          <w:szCs w:val="28"/>
        </w:rPr>
        <w:t>’</w:t>
      </w:r>
    </w:p>
    <w:p w14:paraId="3A118FCE" w14:textId="685E2AD9" w:rsidR="00B307CE" w:rsidRDefault="00B307CE" w:rsidP="0044316F">
      <w:pPr>
        <w:spacing w:beforeLines="50" w:before="156" w:afterLines="50" w:after="156"/>
        <w:rPr>
          <w:rFonts w:ascii="Times New Roman" w:hAnsi="Times New Roman" w:cs="Times New Roman"/>
          <w:b/>
          <w:bCs/>
          <w:i/>
          <w:iCs/>
          <w:color w:val="000000"/>
          <w:sz w:val="24"/>
          <w:szCs w:val="24"/>
        </w:rPr>
      </w:pPr>
    </w:p>
    <w:p w14:paraId="7F9EBA85" w14:textId="77777777" w:rsidR="00DC7AF3" w:rsidRPr="00B307CE" w:rsidRDefault="00DC7AF3" w:rsidP="0044316F">
      <w:pPr>
        <w:spacing w:beforeLines="50" w:before="156" w:afterLines="50" w:after="156"/>
        <w:rPr>
          <w:rFonts w:ascii="Times New Roman" w:hAnsi="Times New Roman" w:cs="Times New Roman"/>
          <w:b/>
          <w:bCs/>
          <w:i/>
          <w:iCs/>
          <w:color w:val="000000"/>
          <w:sz w:val="24"/>
          <w:szCs w:val="24"/>
        </w:rPr>
      </w:pPr>
    </w:p>
    <w:p w14:paraId="7B955736" w14:textId="62999C64" w:rsidR="0044316F" w:rsidRPr="002E52AB" w:rsidRDefault="0044316F" w:rsidP="005D713E">
      <w:pPr>
        <w:spacing w:beforeLines="50" w:before="156" w:afterLines="100" w:after="312"/>
        <w:rPr>
          <w:rFonts w:ascii="Times New Roman" w:hAnsi="Times New Roman" w:cs="Times New Roman"/>
          <w:b/>
          <w:bCs/>
          <w:i/>
          <w:iCs/>
          <w:color w:val="000000"/>
          <w:sz w:val="24"/>
          <w:szCs w:val="24"/>
        </w:rPr>
      </w:pPr>
      <w:r w:rsidRPr="002E52AB">
        <w:rPr>
          <w:rFonts w:ascii="Times New Roman" w:hAnsi="Times New Roman" w:cs="Times New Roman"/>
          <w:b/>
          <w:bCs/>
          <w:i/>
          <w:iCs/>
          <w:color w:val="000000"/>
          <w:sz w:val="24"/>
          <w:szCs w:val="24"/>
        </w:rPr>
        <w:t>Analysis on Gut Microbiome</w:t>
      </w:r>
      <w:r w:rsidRPr="002E52AB">
        <w:rPr>
          <w:rFonts w:ascii="Times New Roman" w:hAnsi="Times New Roman" w:cs="Times New Roman" w:hint="eastAsia"/>
          <w:b/>
          <w:bCs/>
          <w:i/>
          <w:iCs/>
          <w:color w:val="000000"/>
          <w:sz w:val="24"/>
          <w:szCs w:val="24"/>
        </w:rPr>
        <w:t xml:space="preserve"> </w:t>
      </w:r>
    </w:p>
    <w:p w14:paraId="1382AD11" w14:textId="00E62CD8" w:rsidR="00D17C26" w:rsidRDefault="00D17C26" w:rsidP="005D713E">
      <w:pPr>
        <w:spacing w:before="120" w:afterLines="50" w:after="156" w:line="360" w:lineRule="auto"/>
        <w:jc w:val="center"/>
        <w:rPr>
          <w:rFonts w:ascii="宋体" w:hAnsi="宋体"/>
          <w:color w:val="000000"/>
          <w:sz w:val="24"/>
          <w:szCs w:val="24"/>
        </w:rPr>
      </w:pPr>
      <w:r>
        <w:rPr>
          <w:noProof/>
        </w:rPr>
        <w:t xml:space="preserve">  </w:t>
      </w:r>
      <w:r w:rsidR="005D713E">
        <w:rPr>
          <w:noProof/>
        </w:rPr>
        <w:drawing>
          <wp:inline distT="0" distB="0" distL="0" distR="0" wp14:anchorId="3A47B527" wp14:editId="5E2F34C6">
            <wp:extent cx="4421131" cy="324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7027"/>
                    <a:stretch/>
                  </pic:blipFill>
                  <pic:spPr bwMode="auto">
                    <a:xfrm>
                      <a:off x="0" y="0"/>
                      <a:ext cx="4421131" cy="324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5A10D976" w14:textId="273AFFBA" w:rsidR="008F6AE5" w:rsidRPr="00412A8B" w:rsidRDefault="00980495" w:rsidP="006F752C">
      <w:pPr>
        <w:spacing w:afterLines="50" w:after="156"/>
        <w:rPr>
          <w:rFonts w:ascii="Times New Roman" w:hAnsi="Times New Roman" w:cs="Times New Roman"/>
          <w:szCs w:val="21"/>
        </w:rPr>
      </w:pPr>
      <w:r w:rsidRPr="00980495">
        <w:rPr>
          <w:rFonts w:ascii="Times New Roman" w:hAnsi="Times New Roman" w:cs="Times New Roman"/>
          <w:b/>
          <w:bCs/>
          <w:color w:val="000000"/>
          <w:szCs w:val="21"/>
        </w:rPr>
        <w:t>Fig</w:t>
      </w:r>
      <w:r w:rsidR="008E6244">
        <w:rPr>
          <w:rFonts w:ascii="Times New Roman" w:hAnsi="Times New Roman" w:cs="Times New Roman"/>
          <w:b/>
          <w:bCs/>
          <w:color w:val="000000"/>
          <w:szCs w:val="21"/>
        </w:rPr>
        <w:t>ure</w:t>
      </w:r>
      <w:r w:rsidRPr="00980495">
        <w:rPr>
          <w:rFonts w:ascii="Times New Roman" w:hAnsi="Times New Roman" w:cs="Times New Roman"/>
          <w:b/>
          <w:bCs/>
          <w:color w:val="000000"/>
          <w:szCs w:val="21"/>
        </w:rPr>
        <w:t xml:space="preserve"> </w:t>
      </w:r>
      <w:r w:rsidR="00D152EA" w:rsidRPr="00980495">
        <w:rPr>
          <w:rFonts w:ascii="Times New Roman" w:hAnsi="Times New Roman" w:cs="Times New Roman"/>
          <w:b/>
          <w:bCs/>
          <w:color w:val="000000"/>
          <w:szCs w:val="21"/>
        </w:rPr>
        <w:t>S1</w:t>
      </w:r>
      <w:r w:rsidRPr="00980495">
        <w:rPr>
          <w:rFonts w:ascii="Times New Roman" w:hAnsi="Times New Roman" w:cs="Times New Roman"/>
          <w:b/>
          <w:bCs/>
          <w:color w:val="000000"/>
          <w:szCs w:val="21"/>
        </w:rPr>
        <w:t xml:space="preserve"> Rarefaction curves.</w:t>
      </w:r>
      <w:r>
        <w:rPr>
          <w:rFonts w:ascii="Times New Roman" w:hAnsi="Times New Roman" w:cs="Times New Roman"/>
          <w:color w:val="000000"/>
          <w:szCs w:val="21"/>
        </w:rPr>
        <w:t xml:space="preserve"> </w:t>
      </w:r>
      <w:r w:rsidR="004A3DFB" w:rsidRPr="004A3DFB">
        <w:rPr>
          <w:rFonts w:ascii="Times New Roman" w:hAnsi="Times New Roman" w:cs="Times New Roman"/>
          <w:szCs w:val="21"/>
        </w:rPr>
        <w:t xml:space="preserve">The abscissa </w:t>
      </w:r>
      <w:r w:rsidR="00507B02">
        <w:rPr>
          <w:rFonts w:ascii="Times New Roman" w:hAnsi="Times New Roman" w:cs="Times New Roman"/>
          <w:szCs w:val="21"/>
        </w:rPr>
        <w:t>wa</w:t>
      </w:r>
      <w:r w:rsidR="004A3DFB" w:rsidRPr="004A3DFB">
        <w:rPr>
          <w:rFonts w:ascii="Times New Roman" w:hAnsi="Times New Roman" w:cs="Times New Roman"/>
          <w:szCs w:val="21"/>
        </w:rPr>
        <w:t xml:space="preserve">s the number of sequencing strips randomly selected from the sample, and the ordinate </w:t>
      </w:r>
      <w:r w:rsidR="00507B02">
        <w:rPr>
          <w:rFonts w:ascii="Times New Roman" w:hAnsi="Times New Roman" w:cs="Times New Roman"/>
          <w:szCs w:val="21"/>
        </w:rPr>
        <w:t>wa</w:t>
      </w:r>
      <w:r w:rsidR="004A3DFB" w:rsidRPr="004A3DFB">
        <w:rPr>
          <w:rFonts w:ascii="Times New Roman" w:hAnsi="Times New Roman" w:cs="Times New Roman"/>
          <w:szCs w:val="21"/>
        </w:rPr>
        <w:t>s the number of OTUs that c</w:t>
      </w:r>
      <w:r w:rsidR="00507B02">
        <w:rPr>
          <w:rFonts w:ascii="Times New Roman" w:hAnsi="Times New Roman" w:cs="Times New Roman"/>
          <w:szCs w:val="21"/>
        </w:rPr>
        <w:t>ould</w:t>
      </w:r>
      <w:r w:rsidR="004A3DFB" w:rsidRPr="004A3DFB">
        <w:rPr>
          <w:rFonts w:ascii="Times New Roman" w:hAnsi="Times New Roman" w:cs="Times New Roman"/>
          <w:szCs w:val="21"/>
        </w:rPr>
        <w:t xml:space="preserve"> be constructed based on the number of sequencing strips, which </w:t>
      </w:r>
      <w:r w:rsidR="00507B02">
        <w:rPr>
          <w:rFonts w:ascii="Times New Roman" w:hAnsi="Times New Roman" w:cs="Times New Roman"/>
          <w:szCs w:val="21"/>
        </w:rPr>
        <w:t>wa</w:t>
      </w:r>
      <w:r w:rsidR="004A3DFB" w:rsidRPr="004A3DFB">
        <w:rPr>
          <w:rFonts w:ascii="Times New Roman" w:hAnsi="Times New Roman" w:cs="Times New Roman"/>
          <w:szCs w:val="21"/>
        </w:rPr>
        <w:t>s used to reflect the sequencing depth.</w:t>
      </w:r>
      <w:r w:rsidR="004A3DFB" w:rsidRPr="004A3DFB">
        <w:rPr>
          <w:rFonts w:ascii="Times New Roman" w:hAnsi="Times New Roman" w:cs="Times New Roman"/>
          <w:color w:val="000000"/>
          <w:szCs w:val="21"/>
        </w:rPr>
        <w:t xml:space="preserve"> </w:t>
      </w:r>
      <w:r w:rsidR="00A927D3" w:rsidRPr="00A927D3">
        <w:rPr>
          <w:rFonts w:ascii="Times New Roman" w:hAnsi="Times New Roman" w:cs="Times New Roman"/>
          <w:color w:val="000000"/>
          <w:szCs w:val="21"/>
        </w:rPr>
        <w:t>The Rarefaction curves of each group tended to be flat, indicating that the sequencing data c</w:t>
      </w:r>
      <w:r w:rsidR="00507B02">
        <w:rPr>
          <w:rFonts w:ascii="Times New Roman" w:hAnsi="Times New Roman" w:cs="Times New Roman"/>
          <w:color w:val="000000"/>
          <w:szCs w:val="21"/>
        </w:rPr>
        <w:t>ould</w:t>
      </w:r>
      <w:r w:rsidR="00A927D3" w:rsidRPr="00A927D3">
        <w:rPr>
          <w:rFonts w:ascii="Times New Roman" w:hAnsi="Times New Roman" w:cs="Times New Roman"/>
          <w:color w:val="000000"/>
          <w:szCs w:val="21"/>
        </w:rPr>
        <w:t xml:space="preserve"> reflect </w:t>
      </w:r>
      <w:r w:rsidR="00412A8B" w:rsidRPr="00A927D3">
        <w:rPr>
          <w:rFonts w:ascii="Times New Roman" w:hAnsi="Times New Roman" w:cs="Times New Roman"/>
          <w:color w:val="000000"/>
          <w:szCs w:val="21"/>
        </w:rPr>
        <w:t>most of the</w:t>
      </w:r>
      <w:r w:rsidR="00A927D3" w:rsidRPr="00A927D3">
        <w:rPr>
          <w:rFonts w:ascii="Times New Roman" w:hAnsi="Times New Roman" w:cs="Times New Roman"/>
          <w:color w:val="000000"/>
          <w:szCs w:val="21"/>
        </w:rPr>
        <w:t xml:space="preserve"> microbial diversity information in the samples</w:t>
      </w:r>
      <w:r w:rsidR="00A927D3" w:rsidRPr="00412A8B">
        <w:rPr>
          <w:rFonts w:ascii="Times New Roman" w:hAnsi="Times New Roman" w:cs="Times New Roman"/>
          <w:szCs w:val="21"/>
        </w:rPr>
        <w:t xml:space="preserve">. </w:t>
      </w:r>
      <w:r w:rsidR="00412A8B" w:rsidRPr="00412A8B">
        <w:rPr>
          <w:rFonts w:ascii="Times New Roman" w:hAnsi="Times New Roman" w:cs="Times New Roman"/>
          <w:szCs w:val="21"/>
        </w:rPr>
        <w:t xml:space="preserve">The sample size of this study </w:t>
      </w:r>
      <w:r w:rsidR="00507B02">
        <w:rPr>
          <w:rFonts w:ascii="Times New Roman" w:hAnsi="Times New Roman" w:cs="Times New Roman"/>
          <w:szCs w:val="21"/>
        </w:rPr>
        <w:t>wa</w:t>
      </w:r>
      <w:r w:rsidR="00412A8B" w:rsidRPr="00412A8B">
        <w:rPr>
          <w:rFonts w:ascii="Times New Roman" w:hAnsi="Times New Roman" w:cs="Times New Roman"/>
          <w:szCs w:val="21"/>
        </w:rPr>
        <w:t xml:space="preserve">s sufficient, and the sequencing depth </w:t>
      </w:r>
      <w:r w:rsidR="00507B02">
        <w:rPr>
          <w:rFonts w:ascii="Times New Roman" w:hAnsi="Times New Roman" w:cs="Times New Roman"/>
          <w:szCs w:val="21"/>
        </w:rPr>
        <w:t>wa</w:t>
      </w:r>
      <w:r w:rsidR="00412A8B" w:rsidRPr="00412A8B">
        <w:rPr>
          <w:rFonts w:ascii="Times New Roman" w:hAnsi="Times New Roman" w:cs="Times New Roman"/>
          <w:szCs w:val="21"/>
        </w:rPr>
        <w:t xml:space="preserve">s up to standard. </w:t>
      </w:r>
    </w:p>
    <w:p w14:paraId="549582A6" w14:textId="1F62EE5B" w:rsidR="008F6AE5" w:rsidRDefault="00ED71A1" w:rsidP="009C539E">
      <w:pPr>
        <w:jc w:val="center"/>
        <w:rPr>
          <w:rFonts w:ascii="Times New Roman" w:hAnsi="Times New Roman" w:cs="Times New Roman"/>
          <w:color w:val="000000"/>
          <w:szCs w:val="21"/>
          <w:highlight w:val="yellow"/>
        </w:rPr>
      </w:pPr>
      <w:r>
        <w:rPr>
          <w:noProof/>
        </w:rPr>
        <w:lastRenderedPageBreak/>
        <w:drawing>
          <wp:inline distT="0" distB="0" distL="0" distR="0" wp14:anchorId="6B2D0972" wp14:editId="30463CA3">
            <wp:extent cx="3789743" cy="28800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3188"/>
                    <a:stretch/>
                  </pic:blipFill>
                  <pic:spPr bwMode="auto">
                    <a:xfrm>
                      <a:off x="0" y="0"/>
                      <a:ext cx="3789743"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7F647177" w14:textId="6713F1C6" w:rsidR="00F33296" w:rsidRDefault="00980495">
      <w:pPr>
        <w:rPr>
          <w:rFonts w:ascii="Times New Roman" w:hAnsi="Times New Roman" w:cs="Times New Roman"/>
          <w:color w:val="000000"/>
          <w:szCs w:val="21"/>
        </w:rPr>
      </w:pPr>
      <w:r w:rsidRPr="00980495">
        <w:rPr>
          <w:rFonts w:ascii="Times New Roman" w:hAnsi="Times New Roman" w:cs="Times New Roman"/>
          <w:b/>
          <w:bCs/>
          <w:color w:val="000000"/>
          <w:szCs w:val="21"/>
        </w:rPr>
        <w:t>Fig</w:t>
      </w:r>
      <w:r w:rsidR="008E6244">
        <w:rPr>
          <w:rFonts w:ascii="Times New Roman" w:hAnsi="Times New Roman" w:cs="Times New Roman"/>
          <w:b/>
          <w:bCs/>
          <w:color w:val="000000"/>
          <w:szCs w:val="21"/>
        </w:rPr>
        <w:t>ure</w:t>
      </w:r>
      <w:r w:rsidRPr="00980495">
        <w:rPr>
          <w:rFonts w:ascii="Times New Roman" w:hAnsi="Times New Roman" w:cs="Times New Roman"/>
          <w:b/>
          <w:bCs/>
          <w:color w:val="000000"/>
          <w:szCs w:val="21"/>
        </w:rPr>
        <w:t xml:space="preserve"> S2 Wayne graph.</w:t>
      </w:r>
      <w:r w:rsidR="001F1B85" w:rsidRPr="001F1B85">
        <w:rPr>
          <w:rFonts w:ascii="Times New Roman" w:hAnsi="Times New Roman" w:cs="Times New Roman"/>
          <w:szCs w:val="21"/>
        </w:rPr>
        <w:t xml:space="preserve"> Each circle in the Wayne diagram represent</w:t>
      </w:r>
      <w:r w:rsidR="001E00CC">
        <w:rPr>
          <w:rFonts w:ascii="Times New Roman" w:hAnsi="Times New Roman" w:cs="Times New Roman"/>
          <w:szCs w:val="21"/>
        </w:rPr>
        <w:t>ed</w:t>
      </w:r>
      <w:r w:rsidR="001F1B85" w:rsidRPr="001F1B85">
        <w:rPr>
          <w:rFonts w:ascii="Times New Roman" w:hAnsi="Times New Roman" w:cs="Times New Roman"/>
          <w:szCs w:val="21"/>
        </w:rPr>
        <w:t xml:space="preserve"> a group, the number of overlapping parts represent</w:t>
      </w:r>
      <w:r w:rsidR="001E00CC">
        <w:rPr>
          <w:rFonts w:ascii="Times New Roman" w:hAnsi="Times New Roman" w:cs="Times New Roman"/>
          <w:szCs w:val="21"/>
        </w:rPr>
        <w:t>ed</w:t>
      </w:r>
      <w:r w:rsidR="001F1B85" w:rsidRPr="001F1B85">
        <w:rPr>
          <w:rFonts w:ascii="Times New Roman" w:hAnsi="Times New Roman" w:cs="Times New Roman"/>
          <w:szCs w:val="21"/>
        </w:rPr>
        <w:t xml:space="preserve"> the number of OTUs shared between these groups, and the number of non-overlapping parts represent</w:t>
      </w:r>
      <w:r w:rsidR="001E00CC">
        <w:rPr>
          <w:rFonts w:ascii="Times New Roman" w:hAnsi="Times New Roman" w:cs="Times New Roman"/>
          <w:szCs w:val="21"/>
        </w:rPr>
        <w:t>ed</w:t>
      </w:r>
      <w:r w:rsidR="001F1B85" w:rsidRPr="001F1B85">
        <w:rPr>
          <w:rFonts w:ascii="Times New Roman" w:hAnsi="Times New Roman" w:cs="Times New Roman"/>
          <w:szCs w:val="21"/>
        </w:rPr>
        <w:t xml:space="preserve"> the number of unique OTUs in that group.</w:t>
      </w:r>
      <w:r w:rsidR="001F1B85" w:rsidRPr="001F1B85">
        <w:rPr>
          <w:rFonts w:ascii="Times New Roman" w:hAnsi="Times New Roman" w:cs="Times New Roman"/>
          <w:color w:val="000000"/>
          <w:szCs w:val="21"/>
        </w:rPr>
        <w:t xml:space="preserve"> </w:t>
      </w:r>
      <w:r w:rsidRPr="00980495">
        <w:rPr>
          <w:rFonts w:ascii="Times New Roman" w:hAnsi="Times New Roman" w:cs="Times New Roman"/>
          <w:color w:val="000000"/>
          <w:szCs w:val="21"/>
        </w:rPr>
        <w:t xml:space="preserve"> </w:t>
      </w:r>
    </w:p>
    <w:p w14:paraId="17B91B33" w14:textId="238834CE" w:rsidR="00CD2935" w:rsidRDefault="00CD2935"/>
    <w:p w14:paraId="5FE79C1D" w14:textId="7309B1D3" w:rsidR="00183BC1" w:rsidRDefault="006A6349" w:rsidP="00183BC1">
      <w:pPr>
        <w:jc w:val="center"/>
        <w:rPr>
          <w:rFonts w:ascii="Times New Roman" w:hAnsi="Times New Roman" w:cs="Times New Roman"/>
          <w:color w:val="000000"/>
          <w:szCs w:val="21"/>
          <w:highlight w:val="yellow"/>
        </w:rPr>
      </w:pPr>
      <w:r>
        <w:rPr>
          <w:noProof/>
        </w:rPr>
        <w:drawing>
          <wp:inline distT="0" distB="0" distL="0" distR="0" wp14:anchorId="393D0C5A" wp14:editId="06280E78">
            <wp:extent cx="4157643" cy="180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b="8073"/>
                    <a:stretch/>
                  </pic:blipFill>
                  <pic:spPr bwMode="auto">
                    <a:xfrm>
                      <a:off x="0" y="0"/>
                      <a:ext cx="4157643"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9ABC327" w14:textId="4BA96EB5" w:rsidR="00183BC1" w:rsidRPr="00E21E49" w:rsidRDefault="0031487B" w:rsidP="00183BC1">
      <w:r w:rsidRPr="0031487B">
        <w:rPr>
          <w:rFonts w:ascii="Times New Roman" w:hAnsi="Times New Roman" w:cs="Times New Roman"/>
          <w:b/>
          <w:bCs/>
          <w:color w:val="000000"/>
          <w:szCs w:val="21"/>
        </w:rPr>
        <w:t>Fig</w:t>
      </w:r>
      <w:r w:rsidR="008E6244">
        <w:rPr>
          <w:rFonts w:ascii="Times New Roman" w:hAnsi="Times New Roman" w:cs="Times New Roman"/>
          <w:b/>
          <w:bCs/>
          <w:color w:val="000000"/>
          <w:szCs w:val="21"/>
        </w:rPr>
        <w:t>ure</w:t>
      </w:r>
      <w:r w:rsidRPr="0031487B">
        <w:rPr>
          <w:rFonts w:ascii="Times New Roman" w:hAnsi="Times New Roman" w:cs="Times New Roman"/>
          <w:b/>
          <w:bCs/>
          <w:color w:val="000000"/>
          <w:szCs w:val="21"/>
        </w:rPr>
        <w:t xml:space="preserve"> S3</w:t>
      </w:r>
      <w:r w:rsidR="00C73E3C">
        <w:rPr>
          <w:rFonts w:ascii="Times New Roman" w:hAnsi="Times New Roman" w:cs="Times New Roman"/>
          <w:b/>
          <w:bCs/>
          <w:color w:val="000000"/>
          <w:szCs w:val="21"/>
        </w:rPr>
        <w:t xml:space="preserve"> </w:t>
      </w:r>
      <w:r w:rsidR="00EC5EB7" w:rsidRPr="00EC5EB7">
        <w:rPr>
          <w:rFonts w:ascii="Times New Roman" w:hAnsi="Times New Roman" w:cs="Times New Roman"/>
          <w:b/>
          <w:bCs/>
          <w:szCs w:val="21"/>
        </w:rPr>
        <w:t>Alpha diversity analysis was performed based on the Shannon method.</w:t>
      </w:r>
      <w:r w:rsidR="00EC5EB7" w:rsidRPr="00EC5EB7">
        <w:rPr>
          <w:rFonts w:ascii="Times New Roman" w:hAnsi="Times New Roman" w:cs="Times New Roman"/>
          <w:color w:val="000000"/>
          <w:szCs w:val="21"/>
        </w:rPr>
        <w:t xml:space="preserve"> </w:t>
      </w:r>
      <w:r w:rsidR="00EC5EB7" w:rsidRPr="00EC5EB7">
        <w:rPr>
          <w:rFonts w:ascii="Times New Roman" w:hAnsi="Times New Roman" w:cs="Times New Roman"/>
          <w:szCs w:val="21"/>
        </w:rPr>
        <w:t>The larger the Shannon index, the greater the diversity of the sample.</w:t>
      </w:r>
      <w:r w:rsidR="00EC5EB7" w:rsidRPr="00EC5EB7">
        <w:rPr>
          <w:rFonts w:ascii="Times New Roman" w:hAnsi="Times New Roman" w:cs="Times New Roman"/>
          <w:color w:val="000000"/>
          <w:szCs w:val="21"/>
        </w:rPr>
        <w:t xml:space="preserve"> </w:t>
      </w:r>
    </w:p>
    <w:p w14:paraId="636B5F0A" w14:textId="4D6AAAB9" w:rsidR="008F6AE5" w:rsidRDefault="008F6AE5" w:rsidP="00827B2C">
      <w:pPr>
        <w:jc w:val="center"/>
      </w:pPr>
    </w:p>
    <w:p w14:paraId="5536AA1A" w14:textId="18DE748C" w:rsidR="00183BC1" w:rsidRDefault="00DC7AF3" w:rsidP="00827B2C">
      <w:pPr>
        <w:jc w:val="center"/>
      </w:pPr>
      <w:r>
        <w:rPr>
          <w:noProof/>
        </w:rPr>
        <w:drawing>
          <wp:inline distT="0" distB="0" distL="0" distR="0" wp14:anchorId="02638C52" wp14:editId="20B217D6">
            <wp:extent cx="4191353" cy="180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9091"/>
                    <a:stretch/>
                  </pic:blipFill>
                  <pic:spPr bwMode="auto">
                    <a:xfrm>
                      <a:off x="0" y="0"/>
                      <a:ext cx="4191353"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84BD552" w14:textId="5F73E2B5" w:rsidR="00CD2935" w:rsidRDefault="0031487B">
      <w:pPr>
        <w:rPr>
          <w:rFonts w:ascii="Times New Roman" w:hAnsi="Times New Roman" w:cs="Times New Roman"/>
          <w:szCs w:val="21"/>
        </w:rPr>
      </w:pPr>
      <w:r w:rsidRPr="00E21E49">
        <w:rPr>
          <w:rFonts w:ascii="Times New Roman" w:hAnsi="Times New Roman" w:cs="Times New Roman"/>
          <w:b/>
          <w:bCs/>
          <w:color w:val="000000"/>
          <w:szCs w:val="21"/>
        </w:rPr>
        <w:t>Fig</w:t>
      </w:r>
      <w:r w:rsidR="008E6244">
        <w:rPr>
          <w:rFonts w:ascii="Times New Roman" w:hAnsi="Times New Roman" w:cs="Times New Roman"/>
          <w:b/>
          <w:bCs/>
          <w:color w:val="000000"/>
          <w:szCs w:val="21"/>
        </w:rPr>
        <w:t>ure</w:t>
      </w:r>
      <w:r w:rsidRPr="00E21E49">
        <w:rPr>
          <w:rFonts w:ascii="Times New Roman" w:hAnsi="Times New Roman" w:cs="Times New Roman"/>
          <w:b/>
          <w:bCs/>
          <w:color w:val="000000"/>
          <w:szCs w:val="21"/>
        </w:rPr>
        <w:t xml:space="preserve"> S4</w:t>
      </w:r>
      <w:r w:rsidR="00C73E3C">
        <w:rPr>
          <w:rFonts w:ascii="Times New Roman" w:hAnsi="Times New Roman" w:cs="Times New Roman"/>
          <w:b/>
          <w:bCs/>
          <w:color w:val="000000"/>
          <w:szCs w:val="21"/>
        </w:rPr>
        <w:t xml:space="preserve"> </w:t>
      </w:r>
      <w:r w:rsidR="0064655E" w:rsidRPr="0064655E">
        <w:rPr>
          <w:rFonts w:ascii="Times New Roman" w:hAnsi="Times New Roman" w:cs="Times New Roman"/>
          <w:b/>
          <w:bCs/>
          <w:szCs w:val="21"/>
        </w:rPr>
        <w:t>Alpha diversity analysis was performed based on the Chao method.</w:t>
      </w:r>
      <w:r w:rsidR="0064655E" w:rsidRPr="0064655E">
        <w:rPr>
          <w:rFonts w:ascii="Times New Roman" w:hAnsi="Times New Roman" w:cs="Times New Roman"/>
          <w:b/>
          <w:bCs/>
          <w:color w:val="000000"/>
          <w:szCs w:val="21"/>
        </w:rPr>
        <w:t xml:space="preserve"> </w:t>
      </w:r>
      <w:r w:rsidR="008E6244" w:rsidRPr="008E6244">
        <w:rPr>
          <w:rFonts w:ascii="Times New Roman" w:hAnsi="Times New Roman" w:cs="Times New Roman"/>
          <w:szCs w:val="21"/>
        </w:rPr>
        <w:t>The larger the chao index, the greater the abundance of the sample.</w:t>
      </w:r>
    </w:p>
    <w:p w14:paraId="44894990" w14:textId="1B6F912D" w:rsidR="004F6892" w:rsidRDefault="00EF2D69" w:rsidP="00E33F4E">
      <w:pPr>
        <w:spacing w:beforeLines="50" w:before="156"/>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15FC0EC1" wp14:editId="7AC364D8">
            <wp:extent cx="5345347" cy="4680000"/>
            <wp:effectExtent l="0" t="0" r="825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5347" cy="4680000"/>
                    </a:xfrm>
                    <a:prstGeom prst="rect">
                      <a:avLst/>
                    </a:prstGeom>
                    <a:noFill/>
                  </pic:spPr>
                </pic:pic>
              </a:graphicData>
            </a:graphic>
          </wp:inline>
        </w:drawing>
      </w:r>
    </w:p>
    <w:p w14:paraId="6C1B5126" w14:textId="553AA954" w:rsidR="00EF2D69" w:rsidRDefault="00EF2D69" w:rsidP="00EF2D69">
      <w:pPr>
        <w:autoSpaceDE w:val="0"/>
        <w:autoSpaceDN w:val="0"/>
        <w:adjustRightInd w:val="0"/>
        <w:spacing w:before="120" w:after="120"/>
        <w:rPr>
          <w:rFonts w:ascii="Times New Roman" w:hAnsi="Times New Roman" w:cs="Times New Roman"/>
          <w:color w:val="000000"/>
          <w:szCs w:val="21"/>
        </w:rPr>
      </w:pPr>
      <w:r w:rsidRPr="00E21E49">
        <w:rPr>
          <w:rFonts w:ascii="Times New Roman" w:hAnsi="Times New Roman" w:cs="Times New Roman"/>
          <w:b/>
          <w:bCs/>
          <w:color w:val="000000"/>
          <w:szCs w:val="21"/>
        </w:rPr>
        <w:t>Fig</w:t>
      </w:r>
      <w:r>
        <w:rPr>
          <w:rFonts w:ascii="Times New Roman" w:hAnsi="Times New Roman" w:cs="Times New Roman"/>
          <w:b/>
          <w:bCs/>
          <w:color w:val="000000"/>
          <w:szCs w:val="21"/>
        </w:rPr>
        <w:t>ure</w:t>
      </w:r>
      <w:r w:rsidRPr="00E21E49">
        <w:rPr>
          <w:rFonts w:ascii="Times New Roman" w:hAnsi="Times New Roman" w:cs="Times New Roman"/>
          <w:b/>
          <w:bCs/>
          <w:color w:val="000000"/>
          <w:szCs w:val="21"/>
        </w:rPr>
        <w:t xml:space="preserve"> S</w:t>
      </w:r>
      <w:r>
        <w:rPr>
          <w:rFonts w:ascii="Times New Roman" w:hAnsi="Times New Roman" w:cs="Times New Roman"/>
          <w:b/>
          <w:bCs/>
          <w:color w:val="000000"/>
          <w:szCs w:val="21"/>
        </w:rPr>
        <w:t>5</w:t>
      </w:r>
      <w:r>
        <w:rPr>
          <w:rFonts w:ascii="Times New Roman" w:hAnsi="Times New Roman" w:cs="Times New Roman"/>
          <w:color w:val="000000"/>
          <w:szCs w:val="21"/>
        </w:rPr>
        <w:t xml:space="preserve"> </w:t>
      </w:r>
      <w:r w:rsidRPr="00061F87">
        <w:rPr>
          <w:rFonts w:ascii="Times New Roman" w:hAnsi="Times New Roman" w:cs="Times New Roman"/>
          <w:b/>
          <w:bCs/>
          <w:color w:val="000000"/>
          <w:szCs w:val="21"/>
        </w:rPr>
        <w:t>PCoA analysis.</w:t>
      </w:r>
      <w:r w:rsidRPr="0049388D">
        <w:rPr>
          <w:rFonts w:ascii="Times New Roman" w:hAnsi="Times New Roman" w:cs="Times New Roman"/>
          <w:color w:val="000000"/>
          <w:szCs w:val="21"/>
        </w:rPr>
        <w:t xml:space="preserve"> The axis of abscissa and the axis of ordinate represent the two selected main axes, and the percentage represents the interpretation value of the main axis to the difference in sample composition. Points of different colors represent samples of different groups. The closer the points of the two samples, the more similar the species composition of the two samples.</w:t>
      </w:r>
      <w:r w:rsidRPr="00532E87">
        <w:t xml:space="preserve"> </w:t>
      </w:r>
      <w:r w:rsidRPr="00532E87">
        <w:rPr>
          <w:rFonts w:ascii="Times New Roman" w:hAnsi="Times New Roman" w:cs="Times New Roman"/>
          <w:color w:val="000000"/>
          <w:szCs w:val="21"/>
        </w:rPr>
        <w:t xml:space="preserve">A and B are the results of analysis based on the </w:t>
      </w:r>
      <w:r w:rsidRPr="002A429D">
        <w:rPr>
          <w:rFonts w:ascii="Times New Roman" w:hAnsi="Times New Roman" w:cs="Times New Roman"/>
          <w:color w:val="000000"/>
          <w:szCs w:val="21"/>
        </w:rPr>
        <w:t>Euclidean</w:t>
      </w:r>
      <w:r w:rsidRPr="00532E87">
        <w:rPr>
          <w:rFonts w:ascii="Times New Roman" w:hAnsi="Times New Roman" w:cs="Times New Roman"/>
          <w:color w:val="000000"/>
          <w:szCs w:val="21"/>
        </w:rPr>
        <w:t xml:space="preserve"> computational method at the OTU and genus level respectively</w:t>
      </w:r>
      <w:r>
        <w:rPr>
          <w:rFonts w:ascii="Times New Roman" w:hAnsi="Times New Roman" w:cs="Times New Roman"/>
          <w:color w:val="000000"/>
          <w:szCs w:val="21"/>
        </w:rPr>
        <w:t>.</w:t>
      </w:r>
      <w:r w:rsidRPr="002A429D">
        <w:rPr>
          <w:rFonts w:ascii="Times New Roman" w:hAnsi="Times New Roman" w:cs="Times New Roman"/>
          <w:color w:val="000000"/>
          <w:szCs w:val="21"/>
        </w:rPr>
        <w:t xml:space="preserve"> </w:t>
      </w:r>
      <w:r>
        <w:rPr>
          <w:rFonts w:ascii="Times New Roman" w:hAnsi="Times New Roman" w:cs="Times New Roman"/>
          <w:color w:val="000000"/>
          <w:szCs w:val="21"/>
        </w:rPr>
        <w:t>C</w:t>
      </w:r>
      <w:r w:rsidRPr="00532E87">
        <w:rPr>
          <w:rFonts w:ascii="Times New Roman" w:hAnsi="Times New Roman" w:cs="Times New Roman"/>
          <w:color w:val="000000"/>
          <w:szCs w:val="21"/>
        </w:rPr>
        <w:t xml:space="preserve"> and </w:t>
      </w:r>
      <w:r>
        <w:rPr>
          <w:rFonts w:ascii="Times New Roman" w:hAnsi="Times New Roman" w:cs="Times New Roman"/>
          <w:color w:val="000000"/>
          <w:szCs w:val="21"/>
        </w:rPr>
        <w:t>D</w:t>
      </w:r>
      <w:r w:rsidRPr="00532E87">
        <w:rPr>
          <w:rFonts w:ascii="Times New Roman" w:hAnsi="Times New Roman" w:cs="Times New Roman"/>
          <w:color w:val="000000"/>
          <w:szCs w:val="21"/>
        </w:rPr>
        <w:t xml:space="preserve"> are the results of analysis based on the </w:t>
      </w:r>
      <w:r w:rsidRPr="002A429D">
        <w:rPr>
          <w:rFonts w:ascii="Times New Roman" w:hAnsi="Times New Roman" w:cs="Times New Roman"/>
          <w:color w:val="000000"/>
          <w:szCs w:val="21"/>
        </w:rPr>
        <w:t>Bray_curtis</w:t>
      </w:r>
      <w:r w:rsidRPr="00532E87">
        <w:rPr>
          <w:rFonts w:ascii="Times New Roman" w:hAnsi="Times New Roman" w:cs="Times New Roman"/>
          <w:color w:val="000000"/>
          <w:szCs w:val="21"/>
        </w:rPr>
        <w:t xml:space="preserve"> computational method at the OTU and genus level respectively</w:t>
      </w:r>
      <w:r>
        <w:rPr>
          <w:rFonts w:ascii="Times New Roman" w:hAnsi="Times New Roman" w:cs="Times New Roman"/>
          <w:color w:val="000000"/>
          <w:szCs w:val="21"/>
        </w:rPr>
        <w:t xml:space="preserve">. </w:t>
      </w:r>
    </w:p>
    <w:p w14:paraId="37D04473" w14:textId="63D9DA9B" w:rsidR="00CE19CD" w:rsidRDefault="00CC675B">
      <w:pPr>
        <w:rPr>
          <w:rFonts w:ascii="Times New Roman" w:hAnsi="Times New Roman" w:cs="Times New Roman"/>
          <w:szCs w:val="21"/>
        </w:rPr>
      </w:pPr>
      <w:r>
        <w:rPr>
          <w:rFonts w:ascii="Times New Roman" w:hAnsi="Times New Roman" w:cs="Times New Roman"/>
          <w:noProof/>
          <w:szCs w:val="21"/>
        </w:rPr>
        <w:drawing>
          <wp:inline distT="0" distB="0" distL="0" distR="0" wp14:anchorId="6EC56E5F" wp14:editId="644AA8D5">
            <wp:extent cx="5939536" cy="1980000"/>
            <wp:effectExtent l="0" t="0" r="444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536" cy="1980000"/>
                    </a:xfrm>
                    <a:prstGeom prst="rect">
                      <a:avLst/>
                    </a:prstGeom>
                    <a:noFill/>
                  </pic:spPr>
                </pic:pic>
              </a:graphicData>
            </a:graphic>
          </wp:inline>
        </w:drawing>
      </w:r>
    </w:p>
    <w:p w14:paraId="5B828C33" w14:textId="503E3BFE" w:rsidR="00271421" w:rsidRPr="0049388D" w:rsidRDefault="00271421" w:rsidP="00271421">
      <w:pPr>
        <w:adjustRightInd w:val="0"/>
        <w:snapToGrid w:val="0"/>
        <w:rPr>
          <w:rFonts w:ascii="Times New Roman" w:eastAsia="宋体" w:hAnsi="Times New Roman"/>
          <w:szCs w:val="21"/>
        </w:rPr>
      </w:pPr>
      <w:r w:rsidRPr="00777F36">
        <w:rPr>
          <w:rFonts w:ascii="Times New Roman" w:hAnsi="Times New Roman" w:cs="Times New Roman"/>
          <w:b/>
          <w:bCs/>
          <w:color w:val="000000"/>
          <w:szCs w:val="21"/>
        </w:rPr>
        <w:t>Figure S6</w:t>
      </w:r>
      <w:r w:rsidR="00271579" w:rsidRPr="00777F36">
        <w:rPr>
          <w:rFonts w:ascii="Times New Roman" w:hAnsi="Times New Roman" w:cs="Times New Roman"/>
          <w:b/>
          <w:bCs/>
          <w:color w:val="000000"/>
          <w:szCs w:val="21"/>
        </w:rPr>
        <w:t xml:space="preserve"> </w:t>
      </w:r>
      <w:bookmarkStart w:id="0" w:name="_Hlk123823794"/>
      <w:r w:rsidR="00777F36" w:rsidRPr="00777F36">
        <w:rPr>
          <w:rFonts w:ascii="Times New Roman" w:hAnsi="Times New Roman" w:cs="Times New Roman"/>
          <w:color w:val="000000"/>
          <w:szCs w:val="21"/>
        </w:rPr>
        <w:t>Analysis of significant differences in community abundance between groups at the genus level. (A) Model vs. HQS-H, (B) Model vs. HQS-L. HQS-H</w:t>
      </w:r>
      <w:r w:rsidR="00E412BB">
        <w:rPr>
          <w:rFonts w:ascii="Times New Roman" w:hAnsi="Times New Roman" w:cs="Times New Roman"/>
          <w:color w:val="000000"/>
          <w:szCs w:val="21"/>
        </w:rPr>
        <w:t xml:space="preserve"> </w:t>
      </w:r>
      <w:r w:rsidR="00777F36" w:rsidRPr="00777F36">
        <w:rPr>
          <w:rFonts w:ascii="Times New Roman" w:hAnsi="Times New Roman" w:cs="Times New Roman"/>
          <w:color w:val="000000"/>
          <w:szCs w:val="21"/>
        </w:rPr>
        <w:t>and HQS-L represent HQS high-</w:t>
      </w:r>
      <w:r w:rsidR="00E412BB">
        <w:rPr>
          <w:rFonts w:ascii="Times New Roman" w:hAnsi="Times New Roman" w:cs="Times New Roman"/>
          <w:color w:val="000000"/>
          <w:szCs w:val="21"/>
        </w:rPr>
        <w:t xml:space="preserve"> </w:t>
      </w:r>
      <w:r w:rsidR="00777F36" w:rsidRPr="00777F36">
        <w:rPr>
          <w:rFonts w:ascii="Times New Roman" w:hAnsi="Times New Roman" w:cs="Times New Roman"/>
          <w:color w:val="000000"/>
          <w:szCs w:val="21"/>
        </w:rPr>
        <w:t xml:space="preserve">and </w:t>
      </w:r>
      <w:r w:rsidR="00777F36" w:rsidRPr="00777F36">
        <w:rPr>
          <w:rFonts w:ascii="Times New Roman" w:hAnsi="Times New Roman" w:cs="Times New Roman"/>
          <w:color w:val="000000"/>
          <w:szCs w:val="21"/>
        </w:rPr>
        <w:lastRenderedPageBreak/>
        <w:t xml:space="preserve">low-dose groups, respectively. </w:t>
      </w:r>
      <w:r w:rsidR="00777F36" w:rsidRPr="00777F36">
        <w:rPr>
          <w:rFonts w:ascii="Times New Roman" w:eastAsia="宋体" w:hAnsi="Times New Roman"/>
          <w:szCs w:val="21"/>
          <w:vertAlign w:val="superscript"/>
        </w:rPr>
        <w:t>*</w:t>
      </w:r>
      <w:r w:rsidR="00777F36" w:rsidRPr="00777F36">
        <w:rPr>
          <w:rFonts w:ascii="Times New Roman" w:eastAsia="宋体" w:hAnsi="Times New Roman"/>
          <w:i/>
          <w:iCs/>
          <w:szCs w:val="21"/>
        </w:rPr>
        <w:t>P</w:t>
      </w:r>
      <w:r w:rsidR="00777F36" w:rsidRPr="00777F36">
        <w:rPr>
          <w:rFonts w:ascii="Times New Roman" w:eastAsia="宋体" w:hAnsi="Times New Roman"/>
          <w:szCs w:val="21"/>
        </w:rPr>
        <w:t xml:space="preserve">&lt;0.05 and </w:t>
      </w:r>
      <w:r w:rsidR="00777F36" w:rsidRPr="00777F36">
        <w:rPr>
          <w:rFonts w:ascii="Times New Roman" w:eastAsia="宋体" w:hAnsi="Times New Roman"/>
          <w:szCs w:val="21"/>
          <w:vertAlign w:val="superscript"/>
        </w:rPr>
        <w:t>**</w:t>
      </w:r>
      <w:r w:rsidR="00777F36" w:rsidRPr="00777F36">
        <w:rPr>
          <w:rFonts w:ascii="Times New Roman" w:eastAsia="宋体" w:hAnsi="Times New Roman"/>
          <w:i/>
          <w:iCs/>
          <w:szCs w:val="21"/>
        </w:rPr>
        <w:t>P</w:t>
      </w:r>
      <w:r w:rsidR="00777F36" w:rsidRPr="00777F36">
        <w:rPr>
          <w:rFonts w:ascii="Times New Roman" w:eastAsia="宋体" w:hAnsi="Times New Roman"/>
          <w:szCs w:val="21"/>
        </w:rPr>
        <w:t>&lt;0.01 indicate a significant difference between the two groups.</w:t>
      </w:r>
      <w:bookmarkEnd w:id="0"/>
    </w:p>
    <w:p w14:paraId="37A455A9" w14:textId="77777777" w:rsidR="00F771D9" w:rsidRDefault="00F771D9">
      <w:pPr>
        <w:rPr>
          <w:rFonts w:ascii="Times New Roman" w:hAnsi="Times New Roman" w:cs="Times New Roman"/>
          <w:szCs w:val="21"/>
        </w:rPr>
      </w:pPr>
    </w:p>
    <w:p w14:paraId="13B6781A" w14:textId="1CCA6CD2" w:rsidR="00E809A2" w:rsidRDefault="00F771D9">
      <w:pPr>
        <w:rPr>
          <w:rFonts w:ascii="Times New Roman" w:hAnsi="Times New Roman" w:cs="Times New Roman"/>
          <w:szCs w:val="21"/>
        </w:rPr>
      </w:pPr>
      <w:r>
        <w:rPr>
          <w:rFonts w:ascii="Times New Roman" w:hAnsi="Times New Roman" w:cs="Times New Roman"/>
          <w:noProof/>
          <w:szCs w:val="21"/>
        </w:rPr>
        <w:drawing>
          <wp:inline distT="0" distB="0" distL="0" distR="0" wp14:anchorId="18CA79AA" wp14:editId="45E45691">
            <wp:extent cx="5817518" cy="3960000"/>
            <wp:effectExtent l="0" t="0" r="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7518" cy="3960000"/>
                    </a:xfrm>
                    <a:prstGeom prst="rect">
                      <a:avLst/>
                    </a:prstGeom>
                    <a:noFill/>
                  </pic:spPr>
                </pic:pic>
              </a:graphicData>
            </a:graphic>
          </wp:inline>
        </w:drawing>
      </w:r>
    </w:p>
    <w:p w14:paraId="1CBD7DA5" w14:textId="05FABC46" w:rsidR="00271421" w:rsidRPr="00271421" w:rsidRDefault="00271421">
      <w:pPr>
        <w:rPr>
          <w:rFonts w:ascii="Times New Roman" w:hAnsi="Times New Roman" w:cs="Times New Roman"/>
          <w:szCs w:val="21"/>
        </w:rPr>
      </w:pPr>
      <w:r w:rsidRPr="0049388D">
        <w:rPr>
          <w:rFonts w:ascii="Times New Roman" w:hAnsi="Times New Roman" w:cs="Times New Roman"/>
          <w:b/>
          <w:bCs/>
          <w:color w:val="000000"/>
          <w:szCs w:val="21"/>
        </w:rPr>
        <w:t xml:space="preserve">Figure </w:t>
      </w:r>
      <w:r w:rsidR="003D501F">
        <w:rPr>
          <w:rFonts w:ascii="Times New Roman" w:hAnsi="Times New Roman" w:cs="Times New Roman"/>
          <w:b/>
          <w:bCs/>
          <w:color w:val="000000"/>
          <w:szCs w:val="21"/>
        </w:rPr>
        <w:t>S</w:t>
      </w:r>
      <w:r w:rsidR="00F545A7">
        <w:rPr>
          <w:rFonts w:ascii="Times New Roman" w:hAnsi="Times New Roman" w:cs="Times New Roman"/>
          <w:b/>
          <w:bCs/>
          <w:color w:val="000000"/>
          <w:szCs w:val="21"/>
        </w:rPr>
        <w:t>7</w:t>
      </w:r>
      <w:r w:rsidRPr="0049388D">
        <w:rPr>
          <w:rFonts w:ascii="Times New Roman" w:hAnsi="Times New Roman" w:cs="Times New Roman"/>
          <w:b/>
          <w:bCs/>
          <w:color w:val="000000"/>
          <w:szCs w:val="21"/>
        </w:rPr>
        <w:t xml:space="preserve"> </w:t>
      </w:r>
      <w:r w:rsidR="000F6A7D" w:rsidRPr="0079087D">
        <w:rPr>
          <w:rFonts w:ascii="Times New Roman" w:hAnsi="Times New Roman" w:cs="Times New Roman"/>
          <w:b/>
          <w:bCs/>
          <w:color w:val="000000"/>
          <w:szCs w:val="21"/>
        </w:rPr>
        <w:t xml:space="preserve">The potential gut microbial biomarkers during HQS treatment against influenza. </w:t>
      </w:r>
      <w:r w:rsidR="000F6A7D" w:rsidRPr="0079087D">
        <w:rPr>
          <w:rFonts w:ascii="Times New Roman" w:hAnsi="Times New Roman" w:cs="Times New Roman"/>
          <w:color w:val="000000"/>
          <w:szCs w:val="21"/>
        </w:rPr>
        <w:t>A/C</w:t>
      </w:r>
      <w:r w:rsidR="00F12E80">
        <w:rPr>
          <w:rFonts w:ascii="Times New Roman" w:hAnsi="Times New Roman" w:cs="Times New Roman"/>
          <w:color w:val="000000"/>
          <w:szCs w:val="21"/>
        </w:rPr>
        <w:t>:</w:t>
      </w:r>
      <w:r w:rsidR="000F6A7D" w:rsidRPr="0079087D">
        <w:rPr>
          <w:rFonts w:ascii="Times New Roman" w:hAnsi="Times New Roman" w:cs="Times New Roman"/>
          <w:color w:val="000000"/>
          <w:szCs w:val="21"/>
        </w:rPr>
        <w:t xml:space="preserve"> The threshold on the logarithmic LDA score for discriminative features (LDA &gt; 4.0). The higher the LDA score, the greater is the impact of species. B/D: Cladogram. The radiating circle from inside to outside indicates the classification level from door to genus. Each small circle at a different classification level represents the classification at that level, and the diameter of the small circle is proportional to the relative abundance of the species. Color principle: Species with no significant difference were evenly colored yellow</w:t>
      </w:r>
      <w:r w:rsidR="000F6A7D" w:rsidRPr="0079087D">
        <w:rPr>
          <w:rFonts w:ascii="Times New Roman" w:hAnsi="Times New Roman" w:cs="Times New Roman" w:hint="eastAsia"/>
          <w:color w:val="000000"/>
          <w:szCs w:val="21"/>
        </w:rPr>
        <w:t>.</w:t>
      </w:r>
      <w:r w:rsidR="000F6A7D" w:rsidRPr="0079087D">
        <w:rPr>
          <w:rFonts w:ascii="Times New Roman" w:hAnsi="Times New Roman" w:cs="Times New Roman"/>
          <w:color w:val="000000"/>
          <w:szCs w:val="21"/>
        </w:rPr>
        <w:t xml:space="preserve"> The red or green nodes represent the microbiome played an important role in the red or green group, respectively. A missing group indicated no significant difference in the species of this group. The name of the species in English in the picture is shown on the right. (A, B) Model vs. HQS_H, (C, D) Model vs. HQS_L. HQS_H and HQS_L represent HQS high- and low-dose groups, respectively.</w:t>
      </w:r>
    </w:p>
    <w:sectPr w:rsidR="00271421" w:rsidRPr="002714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50F36" w14:textId="77777777" w:rsidR="00241719" w:rsidRDefault="00241719" w:rsidP="0044316F">
      <w:r>
        <w:separator/>
      </w:r>
    </w:p>
  </w:endnote>
  <w:endnote w:type="continuationSeparator" w:id="0">
    <w:p w14:paraId="65312333" w14:textId="77777777" w:rsidR="00241719" w:rsidRDefault="00241719" w:rsidP="0044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harisSIL-Bold">
    <w:altName w:val="微软雅黑"/>
    <w:panose1 w:val="00000000000000000000"/>
    <w:charset w:val="86"/>
    <w:family w:val="swiss"/>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56E5" w14:textId="77777777" w:rsidR="00241719" w:rsidRDefault="00241719" w:rsidP="0044316F">
      <w:r>
        <w:separator/>
      </w:r>
    </w:p>
  </w:footnote>
  <w:footnote w:type="continuationSeparator" w:id="0">
    <w:p w14:paraId="3BE6F9E0" w14:textId="77777777" w:rsidR="00241719" w:rsidRDefault="00241719" w:rsidP="00443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C5"/>
    <w:rsid w:val="0005042B"/>
    <w:rsid w:val="00061F87"/>
    <w:rsid w:val="000F58D3"/>
    <w:rsid w:val="000F6A7D"/>
    <w:rsid w:val="00183BC1"/>
    <w:rsid w:val="001D165E"/>
    <w:rsid w:val="001E00CC"/>
    <w:rsid w:val="001F1B85"/>
    <w:rsid w:val="001F6509"/>
    <w:rsid w:val="00241719"/>
    <w:rsid w:val="00261B49"/>
    <w:rsid w:val="00271421"/>
    <w:rsid w:val="00271579"/>
    <w:rsid w:val="0031487B"/>
    <w:rsid w:val="00326C5B"/>
    <w:rsid w:val="00347710"/>
    <w:rsid w:val="003757CB"/>
    <w:rsid w:val="003D501F"/>
    <w:rsid w:val="00412A8B"/>
    <w:rsid w:val="0044316F"/>
    <w:rsid w:val="004A3DFB"/>
    <w:rsid w:val="004E4753"/>
    <w:rsid w:val="004F6892"/>
    <w:rsid w:val="00507B02"/>
    <w:rsid w:val="00535286"/>
    <w:rsid w:val="005618E1"/>
    <w:rsid w:val="005D713E"/>
    <w:rsid w:val="006103C5"/>
    <w:rsid w:val="006417D0"/>
    <w:rsid w:val="0064655E"/>
    <w:rsid w:val="006966F7"/>
    <w:rsid w:val="006A6349"/>
    <w:rsid w:val="006F752C"/>
    <w:rsid w:val="00777F36"/>
    <w:rsid w:val="0079087D"/>
    <w:rsid w:val="007B2B2A"/>
    <w:rsid w:val="00827B2C"/>
    <w:rsid w:val="008E6244"/>
    <w:rsid w:val="008F6AE5"/>
    <w:rsid w:val="00980495"/>
    <w:rsid w:val="009C539E"/>
    <w:rsid w:val="009E7692"/>
    <w:rsid w:val="00A00DEB"/>
    <w:rsid w:val="00A12EBA"/>
    <w:rsid w:val="00A60DD1"/>
    <w:rsid w:val="00A64C5D"/>
    <w:rsid w:val="00A74B33"/>
    <w:rsid w:val="00A927D3"/>
    <w:rsid w:val="00A95054"/>
    <w:rsid w:val="00B307CE"/>
    <w:rsid w:val="00C14636"/>
    <w:rsid w:val="00C709A9"/>
    <w:rsid w:val="00C73E3C"/>
    <w:rsid w:val="00CC675B"/>
    <w:rsid w:val="00CD2935"/>
    <w:rsid w:val="00CE19CD"/>
    <w:rsid w:val="00D152EA"/>
    <w:rsid w:val="00D17C26"/>
    <w:rsid w:val="00DC7AF3"/>
    <w:rsid w:val="00E21261"/>
    <w:rsid w:val="00E21E49"/>
    <w:rsid w:val="00E328E9"/>
    <w:rsid w:val="00E33F4E"/>
    <w:rsid w:val="00E412BB"/>
    <w:rsid w:val="00E72C4C"/>
    <w:rsid w:val="00E809A2"/>
    <w:rsid w:val="00EB2904"/>
    <w:rsid w:val="00EC5EB7"/>
    <w:rsid w:val="00ED71A1"/>
    <w:rsid w:val="00EF2D69"/>
    <w:rsid w:val="00F12E80"/>
    <w:rsid w:val="00F33296"/>
    <w:rsid w:val="00F508A8"/>
    <w:rsid w:val="00F545A7"/>
    <w:rsid w:val="00F77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ECC0"/>
  <w15:chartTrackingRefBased/>
  <w15:docId w15:val="{127688EC-40F5-42A9-95CA-2A9D5F8B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1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31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316F"/>
    <w:rPr>
      <w:sz w:val="18"/>
      <w:szCs w:val="18"/>
    </w:rPr>
  </w:style>
  <w:style w:type="paragraph" w:styleId="a5">
    <w:name w:val="footer"/>
    <w:basedOn w:val="a"/>
    <w:link w:val="a6"/>
    <w:uiPriority w:val="99"/>
    <w:unhideWhenUsed/>
    <w:rsid w:val="0044316F"/>
    <w:pPr>
      <w:tabs>
        <w:tab w:val="center" w:pos="4153"/>
        <w:tab w:val="right" w:pos="8306"/>
      </w:tabs>
      <w:snapToGrid w:val="0"/>
      <w:jc w:val="left"/>
    </w:pPr>
    <w:rPr>
      <w:sz w:val="18"/>
      <w:szCs w:val="18"/>
    </w:rPr>
  </w:style>
  <w:style w:type="character" w:customStyle="1" w:styleId="a6">
    <w:name w:val="页脚 字符"/>
    <w:basedOn w:val="a0"/>
    <w:link w:val="a5"/>
    <w:uiPriority w:val="99"/>
    <w:rsid w:val="0044316F"/>
    <w:rPr>
      <w:sz w:val="18"/>
      <w:szCs w:val="18"/>
    </w:rPr>
  </w:style>
  <w:style w:type="character" w:customStyle="1" w:styleId="jlqj4b">
    <w:name w:val="jlqj4b"/>
    <w:basedOn w:val="a0"/>
    <w:rsid w:val="004A3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 崔</dc:creator>
  <cp:keywords/>
  <dc:description/>
  <cp:lastModifiedBy>崔 崔</cp:lastModifiedBy>
  <cp:revision>479</cp:revision>
  <dcterms:created xsi:type="dcterms:W3CDTF">2021-08-05T02:55:00Z</dcterms:created>
  <dcterms:modified xsi:type="dcterms:W3CDTF">2023-01-13T09:42:00Z</dcterms:modified>
</cp:coreProperties>
</file>