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16DC7" w14:textId="77777777" w:rsidR="00A27663" w:rsidRDefault="009968B5">
      <w:r>
        <w:rPr>
          <w:noProof/>
        </w:rPr>
        <w:drawing>
          <wp:anchor distT="0" distB="0" distL="114300" distR="114300" simplePos="0" relativeHeight="251659264" behindDoc="1" locked="0" layoutInCell="1" allowOverlap="1" wp14:anchorId="03ED33C1" wp14:editId="3DE71907">
            <wp:simplePos x="0" y="0"/>
            <wp:positionH relativeFrom="column">
              <wp:posOffset>0</wp:posOffset>
            </wp:positionH>
            <wp:positionV relativeFrom="paragraph">
              <wp:posOffset>281940</wp:posOffset>
            </wp:positionV>
            <wp:extent cx="5943600" cy="5943600"/>
            <wp:effectExtent l="0" t="0" r="0" b="0"/>
            <wp:wrapTight wrapText="bothSides">
              <wp:wrapPolygon edited="0">
                <wp:start x="0" y="0"/>
                <wp:lineTo x="0" y="21531"/>
                <wp:lineTo x="21531" y="21531"/>
                <wp:lineTo x="21531" y="0"/>
                <wp:lineTo x="0" y="0"/>
              </wp:wrapPolygon>
            </wp:wrapTight>
            <wp:docPr id="79350130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501308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379955" w14:textId="77777777" w:rsidR="00A01ACF" w:rsidRPr="00A01ACF" w:rsidRDefault="00A01ACF" w:rsidP="00A01ACF"/>
    <w:p w14:paraId="422EB749" w14:textId="77777777" w:rsidR="00A01ACF" w:rsidRPr="004C1DD8" w:rsidRDefault="00A01ACF" w:rsidP="00A01ACF">
      <w:pPr>
        <w:jc w:val="both"/>
        <w:rPr>
          <w:rFonts w:asciiTheme="majorBidi" w:hAnsiTheme="majorBidi" w:cstheme="majorBidi"/>
          <w:sz w:val="20"/>
          <w:szCs w:val="20"/>
          <w:lang w:bidi="fa-IR"/>
        </w:rPr>
      </w:pPr>
      <w:r>
        <w:tab/>
      </w:r>
      <w:r>
        <w:rPr>
          <w:rFonts w:asciiTheme="majorBidi" w:hAnsiTheme="majorBidi" w:cstheme="majorBidi"/>
          <w:b/>
          <w:bCs/>
          <w:sz w:val="20"/>
          <w:szCs w:val="20"/>
          <w:lang w:bidi="fa-IR"/>
        </w:rPr>
        <w:t xml:space="preserve">Supplementary </w:t>
      </w:r>
      <w:r w:rsidRPr="004C1DD8">
        <w:rPr>
          <w:rFonts w:asciiTheme="majorBidi" w:hAnsiTheme="majorBidi" w:cstheme="majorBidi"/>
          <w:b/>
          <w:bCs/>
          <w:sz w:val="20"/>
          <w:szCs w:val="20"/>
          <w:lang w:bidi="fa-IR"/>
        </w:rPr>
        <w:t xml:space="preserve">Figure 1. </w:t>
      </w:r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Treatment of Huh-7 and HepG2 cells with different concentration of milk thistle loaded in nano carrier and milk thistle extract. </w:t>
      </w:r>
      <w:r w:rsidRPr="004C1DD8">
        <w:rPr>
          <w:rFonts w:asciiTheme="majorBidi" w:hAnsiTheme="majorBidi" w:cstheme="majorBidi"/>
          <w:b/>
          <w:bCs/>
          <w:sz w:val="20"/>
          <w:szCs w:val="20"/>
          <w:lang w:bidi="fa-IR"/>
        </w:rPr>
        <w:t>A)</w:t>
      </w:r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 Huh-7 control </w:t>
      </w:r>
      <w:r w:rsidRPr="004C1DD8">
        <w:rPr>
          <w:rFonts w:asciiTheme="majorBidi" w:hAnsiTheme="majorBidi" w:cstheme="majorBidi"/>
          <w:b/>
          <w:bCs/>
          <w:sz w:val="20"/>
          <w:szCs w:val="20"/>
          <w:lang w:bidi="fa-IR"/>
        </w:rPr>
        <w:t>B)</w:t>
      </w:r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bookmarkStart w:id="0" w:name="_Hlk134394775"/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Huh-7 treatment with N-MT for </w:t>
      </w:r>
      <w:bookmarkEnd w:id="0"/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24h </w:t>
      </w:r>
      <w:r w:rsidRPr="004C1DD8">
        <w:rPr>
          <w:rFonts w:asciiTheme="majorBidi" w:hAnsiTheme="majorBidi" w:cstheme="majorBidi"/>
          <w:b/>
          <w:bCs/>
          <w:sz w:val="20"/>
          <w:szCs w:val="20"/>
          <w:lang w:bidi="fa-IR"/>
        </w:rPr>
        <w:t>C)</w:t>
      </w:r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 Huh-7 treatment with N-MT for 48h </w:t>
      </w:r>
      <w:r w:rsidRPr="004C1DD8">
        <w:rPr>
          <w:rFonts w:asciiTheme="majorBidi" w:hAnsiTheme="majorBidi" w:cstheme="majorBidi"/>
          <w:b/>
          <w:bCs/>
          <w:sz w:val="20"/>
          <w:szCs w:val="20"/>
          <w:lang w:bidi="fa-IR"/>
        </w:rPr>
        <w:t>D)</w:t>
      </w:r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 Huh-7 treatment with MT for 24h </w:t>
      </w:r>
      <w:r w:rsidRPr="004C1DD8">
        <w:rPr>
          <w:rFonts w:asciiTheme="majorBidi" w:hAnsiTheme="majorBidi" w:cstheme="majorBidi"/>
          <w:b/>
          <w:bCs/>
          <w:sz w:val="20"/>
          <w:szCs w:val="20"/>
          <w:lang w:bidi="fa-IR"/>
        </w:rPr>
        <w:t>E)</w:t>
      </w:r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 Huh-7 treatment with MT for 48h </w:t>
      </w:r>
      <w:r w:rsidRPr="004C1DD8">
        <w:rPr>
          <w:rFonts w:asciiTheme="majorBidi" w:hAnsiTheme="majorBidi" w:cstheme="majorBidi"/>
          <w:b/>
          <w:bCs/>
          <w:sz w:val="20"/>
          <w:szCs w:val="20"/>
          <w:lang w:bidi="fa-IR"/>
        </w:rPr>
        <w:t xml:space="preserve">F) </w:t>
      </w:r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HepG2 control </w:t>
      </w:r>
      <w:bookmarkStart w:id="1" w:name="_Hlk134394985"/>
      <w:r w:rsidRPr="004C1DD8">
        <w:rPr>
          <w:rFonts w:asciiTheme="majorBidi" w:hAnsiTheme="majorBidi" w:cstheme="majorBidi"/>
          <w:b/>
          <w:bCs/>
          <w:sz w:val="20"/>
          <w:szCs w:val="20"/>
          <w:lang w:bidi="fa-IR"/>
        </w:rPr>
        <w:t>G)</w:t>
      </w:r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 HepG2 treatment with N-MT for 24h</w:t>
      </w:r>
      <w:bookmarkEnd w:id="1"/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Pr="004C1DD8">
        <w:rPr>
          <w:rFonts w:asciiTheme="majorBidi" w:hAnsiTheme="majorBidi" w:cstheme="majorBidi"/>
          <w:b/>
          <w:bCs/>
          <w:sz w:val="20"/>
          <w:szCs w:val="20"/>
          <w:lang w:bidi="fa-IR"/>
        </w:rPr>
        <w:t>H)</w:t>
      </w:r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 HepG2 treatment with N-MT for 48h </w:t>
      </w:r>
      <w:r w:rsidRPr="004C1DD8">
        <w:rPr>
          <w:rFonts w:asciiTheme="majorBidi" w:hAnsiTheme="majorBidi" w:cstheme="majorBidi"/>
          <w:b/>
          <w:bCs/>
          <w:sz w:val="20"/>
          <w:szCs w:val="20"/>
          <w:lang w:bidi="fa-IR"/>
        </w:rPr>
        <w:t>I)</w:t>
      </w:r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bookmarkStart w:id="2" w:name="_Hlk134395129"/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HepG2 treatment with MT for 24h </w:t>
      </w:r>
      <w:bookmarkEnd w:id="2"/>
      <w:r w:rsidRPr="004C1DD8">
        <w:rPr>
          <w:rFonts w:asciiTheme="majorBidi" w:hAnsiTheme="majorBidi" w:cstheme="majorBidi"/>
          <w:b/>
          <w:bCs/>
          <w:sz w:val="20"/>
          <w:szCs w:val="20"/>
          <w:lang w:bidi="fa-IR"/>
        </w:rPr>
        <w:t xml:space="preserve">J) </w:t>
      </w:r>
      <w:r w:rsidRPr="004C1DD8">
        <w:rPr>
          <w:rFonts w:asciiTheme="majorBidi" w:hAnsiTheme="majorBidi" w:cstheme="majorBidi"/>
          <w:sz w:val="20"/>
          <w:szCs w:val="20"/>
          <w:lang w:bidi="fa-IR"/>
        </w:rPr>
        <w:t xml:space="preserve">HepG2 treatment with MT for 48h. N-MT gave rise to apoptosis of HepG2 and Huh-7 cell, while MT did not have significant effect on the apoptosis of these cells at the same concentrations. </w:t>
      </w:r>
    </w:p>
    <w:p w14:paraId="7B14294C" w14:textId="77777777" w:rsidR="00A01ACF" w:rsidRPr="00A01ACF" w:rsidRDefault="00A01ACF" w:rsidP="00A01ACF"/>
    <w:p w14:paraId="39C36EBC" w14:textId="77777777" w:rsidR="00A01ACF" w:rsidRPr="00A01ACF" w:rsidRDefault="00A01ACF" w:rsidP="00A01ACF"/>
    <w:sectPr w:rsidR="00A01ACF" w:rsidRPr="00A01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678"/>
    <w:rsid w:val="00702D9D"/>
    <w:rsid w:val="007C3BCE"/>
    <w:rsid w:val="009968B5"/>
    <w:rsid w:val="00A01ACF"/>
    <w:rsid w:val="00A27663"/>
    <w:rsid w:val="00EE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F7639"/>
  <w15:chartTrackingRefBased/>
  <w15:docId w15:val="{01F10271-DDB2-4029-B386-97FAF435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Saghar Rahnama</dc:creator>
  <cp:keywords/>
  <dc:description/>
  <cp:lastModifiedBy>narges moazezi</cp:lastModifiedBy>
  <cp:revision>3</cp:revision>
  <dcterms:created xsi:type="dcterms:W3CDTF">2023-06-02T21:33:00Z</dcterms:created>
  <dcterms:modified xsi:type="dcterms:W3CDTF">2023-06-08T13:20:00Z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d73663d48bb62f84a465c7e5a6bd5f0a2758e1b98d9fb13e38aac5b49fcc99d2</vt:lpwstr>
  </property>
</Properties>
</file>