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CB6C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>Supplementary material 1</w:t>
      </w:r>
      <w:bookmarkStart w:id="0" w:name="_GoBack"/>
      <w:bookmarkEnd w:id="0"/>
    </w:p>
    <w:tbl>
      <w:tblPr>
        <w:tblStyle w:val="3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3"/>
        <w:gridCol w:w="3654"/>
        <w:gridCol w:w="3139"/>
      </w:tblGrid>
      <w:tr w14:paraId="693D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F187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Time/Event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1BC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Policies and Measures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CF3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Description</w:t>
            </w:r>
          </w:p>
        </w:tc>
      </w:tr>
      <w:tr w14:paraId="4EF8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9412B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the founding of the People's Republic of China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D2B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Issued various health laws, such as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Instruction on Launching the Autumn Vaccination Campaign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,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Measures for the Management of Infectious Diseases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 and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Regulations of the China on the Management of Acute Infectious Diseases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582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Focuses mainly on modern medical tools and does not include preventive and control measures in Chinese medicine</w:t>
            </w:r>
          </w:p>
        </w:tc>
      </w:tr>
      <w:tr w14:paraId="7B78B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2CB8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1989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4DA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Enactment of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Law of the China on the Prevention and Treatment of Infectious Diseases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0402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Government takes legal ownership of infectious disease prevention and emergency management, standardising responsibilities between government and frontline staff</w:t>
            </w:r>
          </w:p>
        </w:tc>
      </w:tr>
      <w:tr w14:paraId="79D3F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F0AEA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1991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B47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Ministry of Health issued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Measures for the Implementation of the Law of the China on the Prevention and Control of Infectious Diseases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0AC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The legal framework for the prevention and control of infectious diseases has been systematised, covering prevention, reporting, disclosure, control and surveillance</w:t>
            </w:r>
          </w:p>
        </w:tc>
      </w:tr>
      <w:tr w14:paraId="485F1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9B9EC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2003 SARS Outbreak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418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Infectious Disease Prevention and Control Law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exposed shortcomings, including deficiencies in monitoring, early warning and communication of information, and the State Council issued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Emergency Regulations for Public Health Emergencies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A02B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Emergency response mechanisms have been improved and the development and improvement of public health emergency policies have been strengthened</w:t>
            </w:r>
          </w:p>
        </w:tc>
      </w:tr>
      <w:tr w14:paraId="020E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BA70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F037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Revised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Law on the Prevention and Control of Infectious Diseases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by the Standing Committee of the National People’s Congress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to enhance emergency response, sectoral responsibilities, and monitoring and early warning mechanisms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D31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Emphasized early warning systems, control measures, and supported TCM research for the first time</w:t>
            </w:r>
          </w:p>
        </w:tc>
      </w:tr>
      <w:tr w14:paraId="7DAC6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671A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DCB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Further revision of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Law on the Prevention and Control of Infectious Diseases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058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Limited further progress in Chinese medicine in emergency response and lack of clear provisions for Chinese medicine involvement</w:t>
            </w:r>
          </w:p>
        </w:tc>
      </w:tr>
      <w:tr w14:paraId="4A279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2AB04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DB9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Enactment of </w:t>
            </w:r>
            <w:r>
              <w:rPr>
                <w:rFonts w:ascii="Times New Roman" w:hAnsi="Times New Roman" w:eastAsia="宋体"/>
                <w:color w:val="000000"/>
                <w:kern w:val="0"/>
                <w:sz w:val="24"/>
              </w:rPr>
              <w:t xml:space="preserve">the </w:t>
            </w:r>
            <w:r>
              <w:rPr>
                <w:rFonts w:ascii="Times New Roman" w:hAnsi="Times New Roman" w:eastAsia="宋体"/>
                <w:i/>
                <w:iCs/>
                <w:color w:val="000000"/>
                <w:kern w:val="0"/>
                <w:sz w:val="24"/>
              </w:rPr>
              <w:t>Law of the People's Republic of China on Traditional Chinese Medicine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BEF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Emphasized TCM’s role in public health emergencies, called for TCM supply reserves, but lacked specific operational mechanisms</w:t>
            </w:r>
          </w:p>
        </w:tc>
      </w:tr>
      <w:tr w14:paraId="0ABD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60389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EFC93">
            <w:pPr>
              <w:keepNext w:val="0"/>
              <w:keepLines w:val="0"/>
              <w:widowControl/>
              <w:suppressLineNumbers w:val="0"/>
              <w:jc w:val="left"/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National Health Commission’s draft revision of 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Infectious Disease Law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EAE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Strengthening the operationalisation of the law to promote the effectiveness of emergency measures; promoting the full use of Chinese medicine in prevention and control</w:t>
            </w:r>
          </w:p>
        </w:tc>
      </w:tr>
    </w:tbl>
    <w:p w14:paraId="01054213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OTkzMzQ0ZTJmYzQ4ZjgwYjVhZmQ3OTRiNTE2ZWIifQ=="/>
  </w:docVars>
  <w:rsids>
    <w:rsidRoot w:val="00000000"/>
    <w:rsid w:val="1FD95D76"/>
    <w:rsid w:val="78E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2074</Characters>
  <Lines>0</Lines>
  <Paragraphs>0</Paragraphs>
  <TotalTime>0</TotalTime>
  <ScaleCrop>false</ScaleCrop>
  <LinksUpToDate>false</LinksUpToDate>
  <CharactersWithSpaces>2388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2024-11-06T12:06:00Z</dcterms:created>
  <dc:creator>86182</dc:creator>
  <cp:lastModifiedBy>zzzyj</cp:lastModifiedBy>
  <dcterms:modified xsi:type="dcterms:W3CDTF">2024-11-09T05:50:07Z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60B9DE8EA7C94FFEA0E21257A3DFF38E_12</vt:lpwstr>
  </property>
</Properties>
</file>