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CB0B5">
      <w:pPr>
        <w:jc w:val="left"/>
        <w:rPr>
          <w:rFonts w:ascii="Times New Roman" w:hAnsi="Times New Roman"/>
          <w:b/>
          <w:szCs w:val="21"/>
          <w:highlight w:val="yellow"/>
        </w:rPr>
      </w:pPr>
      <w:r>
        <w:rPr>
          <w:rFonts w:hint="eastAsia" w:ascii="Times New Roman" w:hAnsi="Times New Roman"/>
          <w:b/>
          <w:szCs w:val="21"/>
        </w:rPr>
        <w:t xml:space="preserve">Supplementary </w:t>
      </w:r>
      <w:r>
        <w:rPr>
          <w:rFonts w:hint="eastAsia" w:ascii="Times New Roman" w:hAnsi="Times New Roman"/>
          <w:b/>
          <w:szCs w:val="21"/>
          <w:lang w:val="en-US" w:eastAsia="zh-CN"/>
        </w:rPr>
        <w:t>1</w:t>
      </w:r>
      <w:r>
        <w:rPr>
          <w:rFonts w:hint="eastAsia" w:ascii="Times New Roman" w:hAnsi="Times New Roman"/>
          <w:b/>
          <w:szCs w:val="21"/>
        </w:rPr>
        <w:t>. The product information (raw materials, labeled efficacy, indications, extraction procedure) of Chinese patent medicines</w:t>
      </w:r>
    </w:p>
    <w:tbl>
      <w:tblPr>
        <w:tblStyle w:val="6"/>
        <w:tblW w:w="15757" w:type="dxa"/>
        <w:tblInd w:w="0" w:type="dxa"/>
        <w:tblLayout w:type="fixed"/>
        <w:tblCellMar>
          <w:top w:w="0" w:type="dxa"/>
          <w:left w:w="108" w:type="dxa"/>
          <w:bottom w:w="0" w:type="dxa"/>
          <w:right w:w="108" w:type="dxa"/>
        </w:tblCellMar>
      </w:tblPr>
      <w:tblGrid>
        <w:gridCol w:w="1276"/>
        <w:gridCol w:w="2096"/>
        <w:gridCol w:w="1522"/>
        <w:gridCol w:w="3634"/>
        <w:gridCol w:w="7229"/>
      </w:tblGrid>
      <w:tr w14:paraId="56395017">
        <w:tblPrEx>
          <w:tblCellMar>
            <w:top w:w="0" w:type="dxa"/>
            <w:left w:w="108" w:type="dxa"/>
            <w:bottom w:w="0" w:type="dxa"/>
            <w:right w:w="108" w:type="dxa"/>
          </w:tblCellMar>
        </w:tblPrEx>
        <w:trPr>
          <w:trHeight w:val="300" w:hRule="atLeast"/>
        </w:trPr>
        <w:tc>
          <w:tcPr>
            <w:tcW w:w="1276" w:type="dxa"/>
            <w:tcBorders>
              <w:top w:val="single" w:color="auto" w:sz="12" w:space="0"/>
              <w:left w:val="nil"/>
              <w:bottom w:val="single" w:color="auto" w:sz="12" w:space="0"/>
              <w:right w:val="nil"/>
            </w:tcBorders>
            <w:noWrap/>
          </w:tcPr>
          <w:p w14:paraId="1D1A0BA7">
            <w:pPr>
              <w:rPr>
                <w:rFonts w:ascii="Times New Roman" w:hAnsi="Times New Roman"/>
                <w:b/>
                <w:bCs/>
                <w:sz w:val="18"/>
                <w:szCs w:val="18"/>
              </w:rPr>
            </w:pPr>
            <w:r>
              <w:rPr>
                <w:rFonts w:ascii="Times New Roman" w:hAnsi="Times New Roman"/>
                <w:b/>
                <w:bCs/>
                <w:sz w:val="18"/>
                <w:szCs w:val="18"/>
              </w:rPr>
              <w:t>Name</w:t>
            </w:r>
          </w:p>
        </w:tc>
        <w:tc>
          <w:tcPr>
            <w:tcW w:w="2096" w:type="dxa"/>
            <w:tcBorders>
              <w:top w:val="single" w:color="auto" w:sz="12" w:space="0"/>
              <w:left w:val="nil"/>
              <w:bottom w:val="single" w:color="auto" w:sz="12" w:space="0"/>
              <w:right w:val="nil"/>
            </w:tcBorders>
          </w:tcPr>
          <w:p w14:paraId="2AC6CB4C">
            <w:pPr>
              <w:rPr>
                <w:rFonts w:ascii="Times New Roman" w:hAnsi="Times New Roman"/>
                <w:b/>
                <w:bCs/>
                <w:sz w:val="18"/>
                <w:szCs w:val="18"/>
              </w:rPr>
            </w:pPr>
            <w:r>
              <w:rPr>
                <w:rFonts w:ascii="Times New Roman" w:hAnsi="Times New Roman"/>
                <w:b/>
                <w:bCs/>
                <w:sz w:val="18"/>
                <w:szCs w:val="18"/>
              </w:rPr>
              <w:t>Raw materials</w:t>
            </w:r>
          </w:p>
        </w:tc>
        <w:tc>
          <w:tcPr>
            <w:tcW w:w="1522" w:type="dxa"/>
            <w:tcBorders>
              <w:top w:val="single" w:color="auto" w:sz="12" w:space="0"/>
              <w:left w:val="nil"/>
              <w:bottom w:val="single" w:color="auto" w:sz="12" w:space="0"/>
              <w:right w:val="nil"/>
            </w:tcBorders>
          </w:tcPr>
          <w:p w14:paraId="2332F577">
            <w:pPr>
              <w:rPr>
                <w:rFonts w:ascii="Times New Roman" w:hAnsi="Times New Roman"/>
                <w:b/>
                <w:bCs/>
                <w:sz w:val="18"/>
                <w:szCs w:val="18"/>
              </w:rPr>
            </w:pPr>
            <w:r>
              <w:rPr>
                <w:rFonts w:ascii="Times New Roman" w:hAnsi="Times New Roman"/>
                <w:b/>
                <w:bCs/>
                <w:sz w:val="18"/>
                <w:szCs w:val="18"/>
              </w:rPr>
              <w:t>Labeled efficacy</w:t>
            </w:r>
          </w:p>
        </w:tc>
        <w:tc>
          <w:tcPr>
            <w:tcW w:w="3634" w:type="dxa"/>
            <w:tcBorders>
              <w:top w:val="single" w:color="auto" w:sz="12" w:space="0"/>
              <w:left w:val="nil"/>
              <w:bottom w:val="single" w:color="auto" w:sz="12" w:space="0"/>
              <w:right w:val="nil"/>
            </w:tcBorders>
          </w:tcPr>
          <w:p w14:paraId="29AE7661">
            <w:pPr>
              <w:rPr>
                <w:rFonts w:ascii="Times New Roman" w:hAnsi="Times New Roman"/>
                <w:b/>
                <w:bCs/>
                <w:sz w:val="18"/>
                <w:szCs w:val="18"/>
              </w:rPr>
            </w:pPr>
            <w:r>
              <w:rPr>
                <w:rFonts w:ascii="Times New Roman" w:hAnsi="Times New Roman"/>
                <w:b/>
                <w:bCs/>
                <w:sz w:val="18"/>
                <w:szCs w:val="18"/>
              </w:rPr>
              <w:t>Indications</w:t>
            </w:r>
          </w:p>
        </w:tc>
        <w:tc>
          <w:tcPr>
            <w:tcW w:w="7229" w:type="dxa"/>
            <w:tcBorders>
              <w:top w:val="single" w:color="auto" w:sz="12" w:space="0"/>
              <w:left w:val="nil"/>
              <w:bottom w:val="single" w:color="auto" w:sz="12" w:space="0"/>
              <w:right w:val="nil"/>
            </w:tcBorders>
          </w:tcPr>
          <w:p w14:paraId="008A06B7">
            <w:pPr>
              <w:rPr>
                <w:rFonts w:ascii="Times New Roman" w:hAnsi="Times New Roman"/>
                <w:b/>
                <w:bCs/>
                <w:sz w:val="18"/>
                <w:szCs w:val="18"/>
              </w:rPr>
            </w:pPr>
            <w:r>
              <w:rPr>
                <w:rFonts w:ascii="Times New Roman" w:hAnsi="Times New Roman"/>
                <w:b/>
                <w:bCs/>
                <w:sz w:val="18"/>
                <w:szCs w:val="18"/>
              </w:rPr>
              <w:t>Extraction procedure</w:t>
            </w:r>
          </w:p>
        </w:tc>
      </w:tr>
      <w:tr w14:paraId="117D669A">
        <w:tblPrEx>
          <w:tblCellMar>
            <w:top w:w="0" w:type="dxa"/>
            <w:left w:w="108" w:type="dxa"/>
            <w:bottom w:w="0" w:type="dxa"/>
            <w:right w:w="108" w:type="dxa"/>
          </w:tblCellMar>
        </w:tblPrEx>
        <w:trPr>
          <w:trHeight w:val="440" w:hRule="atLeast"/>
        </w:trPr>
        <w:tc>
          <w:tcPr>
            <w:tcW w:w="1276" w:type="dxa"/>
          </w:tcPr>
          <w:p w14:paraId="0987BD59">
            <w:pPr>
              <w:rPr>
                <w:rFonts w:ascii="Times New Roman" w:hAnsi="Times New Roman"/>
                <w:b/>
                <w:bCs/>
                <w:sz w:val="18"/>
                <w:szCs w:val="18"/>
              </w:rPr>
            </w:pPr>
            <w:r>
              <w:rPr>
                <w:rFonts w:hint="default" w:ascii="Times New Roman" w:hAnsi="Times New Roman"/>
                <w:b/>
                <w:bCs/>
                <w:sz w:val="18"/>
                <w:szCs w:val="18"/>
                <w:lang w:eastAsia="zh-Hans"/>
              </w:rPr>
              <w:t>Fuke Qianjin Tablets/Capsule</w:t>
            </w:r>
          </w:p>
        </w:tc>
        <w:tc>
          <w:tcPr>
            <w:tcW w:w="2096" w:type="dxa"/>
          </w:tcPr>
          <w:p w14:paraId="250E081E">
            <w:pPr>
              <w:jc w:val="left"/>
              <w:rPr>
                <w:rFonts w:hint="default" w:ascii="Times New Roman" w:hAnsi="Times New Roman"/>
                <w:bCs/>
                <w:sz w:val="18"/>
                <w:szCs w:val="18"/>
                <w:lang w:eastAsia="zh-CN"/>
              </w:rPr>
            </w:pPr>
            <w:r>
              <w:rPr>
                <w:rFonts w:ascii="Times New Roman" w:hAnsi="Times New Roman"/>
                <w:bCs/>
                <w:sz w:val="18"/>
                <w:szCs w:val="18"/>
                <w:lang w:val="en-US" w:eastAsia="zh-CN"/>
              </w:rPr>
              <w:t xml:space="preserve">Flemingia </w:t>
            </w:r>
            <w:r>
              <w:rPr>
                <w:rFonts w:hint="default" w:ascii="Times New Roman" w:hAnsi="Times New Roman"/>
                <w:bCs/>
                <w:sz w:val="18"/>
                <w:szCs w:val="18"/>
                <w:lang w:eastAsia="zh-CN"/>
              </w:rPr>
              <w:t>P</w:t>
            </w:r>
            <w:r>
              <w:rPr>
                <w:rFonts w:ascii="Times New Roman" w:hAnsi="Times New Roman"/>
                <w:bCs/>
                <w:sz w:val="18"/>
                <w:szCs w:val="18"/>
                <w:lang w:val="en-US" w:eastAsia="zh-CN"/>
              </w:rPr>
              <w:t>hilippinensis</w:t>
            </w:r>
            <w:r>
              <w:rPr>
                <w:rFonts w:hint="default" w:ascii="Times New Roman" w:hAnsi="Times New Roman"/>
                <w:bCs/>
                <w:sz w:val="18"/>
                <w:szCs w:val="18"/>
                <w:lang w:eastAsia="zh-CN"/>
              </w:rPr>
              <w:t>, Root of Cherokee Rose, Andrographis Paniculata, Leatherleaf Mahonia Stem, Zanthoxylum Dissitum Hemsl, Angelica</w:t>
            </w:r>
            <w:r>
              <w:rPr>
                <w:rFonts w:hint="eastAsia" w:ascii="Times New Roman" w:hAnsi="Times New Roman"/>
                <w:bCs/>
                <w:sz w:val="18"/>
                <w:szCs w:val="18"/>
                <w:lang w:val="en-US" w:eastAsia="zh-CN"/>
              </w:rPr>
              <w:t xml:space="preserve"> </w:t>
            </w:r>
            <w:r>
              <w:rPr>
                <w:rFonts w:hint="default" w:ascii="Times New Roman" w:hAnsi="Times New Roman"/>
                <w:bCs/>
                <w:sz w:val="18"/>
                <w:szCs w:val="18"/>
                <w:lang w:eastAsia="zh-CN"/>
              </w:rPr>
              <w:t>Sinensis, Caulis Spatholobi, Codonopsis Pilosula</w:t>
            </w:r>
            <w:bookmarkStart w:id="0" w:name="_GoBack"/>
            <w:bookmarkEnd w:id="0"/>
          </w:p>
          <w:p w14:paraId="7C632151">
            <w:pPr>
              <w:jc w:val="left"/>
              <w:rPr>
                <w:rFonts w:hint="default" w:ascii="Times New Roman" w:hAnsi="Times New Roman"/>
                <w:bCs/>
                <w:sz w:val="18"/>
                <w:szCs w:val="18"/>
                <w:lang w:eastAsia="zh-CN"/>
              </w:rPr>
            </w:pPr>
          </w:p>
        </w:tc>
        <w:tc>
          <w:tcPr>
            <w:tcW w:w="1522" w:type="dxa"/>
          </w:tcPr>
          <w:p w14:paraId="74FC6235">
            <w:pPr>
              <w:autoSpaceDE w:val="0"/>
              <w:autoSpaceDN w:val="0"/>
              <w:adjustRightInd w:val="0"/>
              <w:jc w:val="left"/>
              <w:rPr>
                <w:rFonts w:hint="default" w:ascii="Times New Roman" w:hAnsi="Times New Roman"/>
                <w:sz w:val="18"/>
                <w:szCs w:val="18"/>
              </w:rPr>
            </w:pPr>
            <w:r>
              <w:rPr>
                <w:rFonts w:hint="eastAsia" w:ascii="Times New Roman" w:hAnsi="Times New Roman"/>
                <w:sz w:val="18"/>
                <w:szCs w:val="18"/>
              </w:rPr>
              <w:t>Clear heat and dehumidify, replenish qi and blood</w:t>
            </w:r>
            <w:r>
              <w:rPr>
                <w:rFonts w:hint="default" w:ascii="Times New Roman" w:hAnsi="Times New Roman"/>
                <w:sz w:val="18"/>
                <w:szCs w:val="18"/>
              </w:rPr>
              <w:t>.</w:t>
            </w:r>
          </w:p>
        </w:tc>
        <w:tc>
          <w:tcPr>
            <w:tcW w:w="3634" w:type="dxa"/>
          </w:tcPr>
          <w:p w14:paraId="4CA5440A">
            <w:pPr>
              <w:jc w:val="left"/>
              <w:rPr>
                <w:rFonts w:ascii="Times New Roman" w:hAnsi="Times New Roman"/>
                <w:sz w:val="18"/>
                <w:szCs w:val="18"/>
              </w:rPr>
            </w:pPr>
            <w:r>
              <w:rPr>
                <w:rFonts w:hint="eastAsia" w:ascii="Times New Roman" w:hAnsi="Times New Roman"/>
                <w:sz w:val="18"/>
                <w:szCs w:val="18"/>
              </w:rPr>
              <w:t>It is used for subband disease and abdominal pain caused by damp heat stasis, and the symptoms are large amount of banding, thick yellow color, odor, lower abdomen pain, lumbosacral pain, fatigue; Chronic pelvic inflammatory disease, endometritis, chronic cervicitis see the above symptoms.</w:t>
            </w:r>
          </w:p>
        </w:tc>
        <w:tc>
          <w:tcPr>
            <w:tcW w:w="7229" w:type="dxa"/>
          </w:tcPr>
          <w:p w14:paraId="0BC829BD">
            <w:pPr>
              <w:jc w:val="left"/>
              <w:rPr>
                <w:rFonts w:hint="eastAsia" w:ascii="Times New Roman" w:hAnsi="Times New Roman"/>
                <w:sz w:val="18"/>
                <w:szCs w:val="18"/>
              </w:rPr>
            </w:pPr>
            <w:r>
              <w:rPr>
                <w:rFonts w:hint="default" w:ascii="Times New Roman" w:hAnsi="Times New Roman"/>
                <w:b/>
                <w:bCs/>
                <w:sz w:val="18"/>
                <w:szCs w:val="18"/>
                <w:lang w:eastAsia="zh-Hans"/>
              </w:rPr>
              <w:t xml:space="preserve">Fuke Qianjin Tablets: </w:t>
            </w:r>
            <w:r>
              <w:rPr>
                <w:rFonts w:hint="eastAsia" w:ascii="Times New Roman" w:hAnsi="Times New Roman"/>
                <w:sz w:val="18"/>
                <w:szCs w:val="18"/>
              </w:rPr>
              <w:t>The above eight flavors, Andrographis Paniulata, Angelica Sinensis, Codonopsis pilosula are crushed into fine powder, sifted, and the rest of Flemingia Philippinensis and other five flavors are decocted twice with water. The first 2.5 hours, the second 2 hours, combined decoction, filtered, filtrate concentrated to a relative density of 1.08 ~ 1.12 (85 °C) clear paste, add the above fine powder and an appropriate amount of auxiliary materials, mix well, make granules, press into pieces, wrapped in sugar coating or film coating.</w:t>
            </w:r>
          </w:p>
          <w:p w14:paraId="42126D01">
            <w:pPr>
              <w:jc w:val="left"/>
              <w:rPr>
                <w:rFonts w:hint="default" w:ascii="Times New Roman" w:hAnsi="Times New Roman"/>
                <w:sz w:val="18"/>
                <w:szCs w:val="18"/>
              </w:rPr>
            </w:pPr>
            <w:r>
              <w:rPr>
                <w:rFonts w:hint="default" w:ascii="Times New Roman" w:hAnsi="Times New Roman"/>
                <w:b/>
                <w:bCs/>
                <w:sz w:val="18"/>
                <w:szCs w:val="18"/>
                <w:lang w:eastAsia="zh-Hans"/>
              </w:rPr>
              <w:t xml:space="preserve">Fuke Qianjin Capsule: </w:t>
            </w:r>
            <w:r>
              <w:rPr>
                <w:rFonts w:hint="default" w:ascii="Times New Roman" w:hAnsi="Times New Roman"/>
                <w:sz w:val="18"/>
                <w:szCs w:val="18"/>
                <w:lang w:eastAsia="zh-Hans"/>
              </w:rPr>
              <w:t>Above eight flavors, Andrographis Paniculata crushed into coarse powder, heated with 85% ethanol reflux to extract twice, each time for 3 hours, combined extract, filtered, filter residue reserve, filtrate recovered ethanol and concentrated; Angelica Sinensis was crushed into coarse powder, 70% ethanol was used as a solvent, impregnated for 96 hours and slowly permeated, the permeate was collected, the residue was reserved, and the permeate was recovered from ethanol and concentrated; Leatherleaf Mahonia Stem, Zanthoxylum Dissitum Hemsl with water decoction twice, the first time 3 hours, the second time 2.5 hours, combined decoction, filtered, filtrate concentrated; The rest of Flemingia Philippinensis and other four flavors are decocted twice with water, and the residue of Andrographis Paniculata and Angelica Sinensis is added to the above for 2 hours each time, combined with decoction, filtered, concentrated filtrate, and mixed with the above three concentrates. Take four-fifths of the mixture liquid, add an appropriate amount of beta cyclodextrin and dextrin, spray dry into dry paste powder, add the remaining mixture, mix well, make granules, dry, add an appropriate amount of micronized silica gel, mix well, put into capsules.</w:t>
            </w:r>
          </w:p>
        </w:tc>
      </w:tr>
      <w:tr w14:paraId="5BA84184">
        <w:tblPrEx>
          <w:tblCellMar>
            <w:top w:w="0" w:type="dxa"/>
            <w:left w:w="108" w:type="dxa"/>
            <w:bottom w:w="0" w:type="dxa"/>
            <w:right w:w="108" w:type="dxa"/>
          </w:tblCellMar>
        </w:tblPrEx>
        <w:trPr>
          <w:trHeight w:val="440" w:hRule="atLeast"/>
        </w:trPr>
        <w:tc>
          <w:tcPr>
            <w:tcW w:w="1276" w:type="dxa"/>
          </w:tcPr>
          <w:p w14:paraId="10FF1B8A">
            <w:pPr>
              <w:rPr>
                <w:rFonts w:ascii="Times New Roman" w:hAnsi="Times New Roman"/>
                <w:b/>
                <w:bCs/>
                <w:sz w:val="18"/>
                <w:szCs w:val="18"/>
              </w:rPr>
            </w:pPr>
            <w:r>
              <w:rPr>
                <w:rFonts w:hint="default" w:ascii="Times New Roman Regular" w:hAnsi="Times New Roman Regular" w:eastAsia="宋体" w:cs="Times New Roman Regular"/>
                <w:b/>
                <w:bCs/>
                <w:sz w:val="20"/>
                <w:szCs w:val="20"/>
                <w:vertAlign w:val="baseline"/>
                <w:lang w:eastAsia="zh-Hans"/>
              </w:rPr>
              <w:t>Kanfuyan Capsule</w:t>
            </w:r>
          </w:p>
        </w:tc>
        <w:tc>
          <w:tcPr>
            <w:tcW w:w="2096" w:type="dxa"/>
          </w:tcPr>
          <w:p w14:paraId="64DB690C">
            <w:pPr>
              <w:rPr>
                <w:rFonts w:hint="default" w:ascii="Times New Roman" w:hAnsi="Times New Roman"/>
                <w:bCs/>
                <w:sz w:val="18"/>
                <w:szCs w:val="18"/>
                <w:lang w:eastAsia="zh-CN"/>
              </w:rPr>
            </w:pPr>
            <w:r>
              <w:rPr>
                <w:rFonts w:ascii="Times New Roman" w:hAnsi="Times New Roman"/>
                <w:sz w:val="18"/>
                <w:szCs w:val="18"/>
                <w:lang w:val="en-US" w:eastAsia="zh-CN"/>
              </w:rPr>
              <w:t>Dandelion</w:t>
            </w:r>
            <w:r>
              <w:rPr>
                <w:rFonts w:hint="default" w:ascii="Times New Roman" w:hAnsi="Times New Roman"/>
                <w:sz w:val="18"/>
                <w:szCs w:val="18"/>
                <w:lang w:eastAsia="zh-CN"/>
              </w:rPr>
              <w:t xml:space="preserve">, Herba Patriniae, Semen Coicis, Paeonia Veitchii Lynch, Atractylodes Lancea, </w:t>
            </w:r>
            <w:r>
              <w:rPr>
                <w:rFonts w:hint="default" w:ascii="Times New Roman" w:hAnsi="Times New Roman"/>
                <w:bCs/>
                <w:sz w:val="18"/>
                <w:szCs w:val="18"/>
                <w:lang w:eastAsia="zh-CN"/>
              </w:rPr>
              <w:t>Angelica Sinensis, Ligusticum Wallichii, Rhizoma Cyperi, Corydalis Tuber, Oriental Waterplantain Rhizome, Hedyotis Diffusa Willd</w:t>
            </w:r>
          </w:p>
          <w:p w14:paraId="63D49A84">
            <w:pPr>
              <w:rPr>
                <w:rFonts w:hint="default" w:ascii="Times New Roman" w:hAnsi="Times New Roman"/>
                <w:sz w:val="18"/>
                <w:szCs w:val="18"/>
              </w:rPr>
            </w:pPr>
          </w:p>
        </w:tc>
        <w:tc>
          <w:tcPr>
            <w:tcW w:w="1522" w:type="dxa"/>
          </w:tcPr>
          <w:p w14:paraId="124C3DD2">
            <w:pPr>
              <w:jc w:val="left"/>
              <w:rPr>
                <w:rFonts w:hint="default" w:ascii="Times New Roman" w:hAnsi="Times New Roman"/>
                <w:sz w:val="18"/>
                <w:szCs w:val="18"/>
              </w:rPr>
            </w:pPr>
            <w:r>
              <w:rPr>
                <w:rFonts w:hint="eastAsia" w:ascii="Times New Roman" w:hAnsi="Times New Roman"/>
                <w:sz w:val="18"/>
                <w:szCs w:val="18"/>
              </w:rPr>
              <w:t>Clear heat and detoxification, dissolve stasis, dehumidify and stop bands</w:t>
            </w:r>
            <w:r>
              <w:rPr>
                <w:rFonts w:hint="default" w:ascii="Times New Roman" w:hAnsi="Times New Roman"/>
                <w:sz w:val="18"/>
                <w:szCs w:val="18"/>
              </w:rPr>
              <w:t>.</w:t>
            </w:r>
          </w:p>
        </w:tc>
        <w:tc>
          <w:tcPr>
            <w:tcW w:w="3634" w:type="dxa"/>
          </w:tcPr>
          <w:p w14:paraId="7514EB0D">
            <w:pPr>
              <w:rPr>
                <w:rFonts w:ascii="Times New Roman" w:hAnsi="Times New Roman"/>
                <w:sz w:val="18"/>
                <w:szCs w:val="18"/>
              </w:rPr>
            </w:pPr>
            <w:r>
              <w:rPr>
                <w:rFonts w:hint="eastAsia" w:ascii="Times New Roman" w:hAnsi="Times New Roman"/>
                <w:sz w:val="18"/>
                <w:szCs w:val="18"/>
              </w:rPr>
              <w:t>It is used for gynecological inflammation such as irregular menstruation, dysmenorrhea, adnexitis, vaginitis, endometritis and pelvic inflammatory disease.</w:t>
            </w:r>
          </w:p>
        </w:tc>
        <w:tc>
          <w:tcPr>
            <w:tcW w:w="7229" w:type="dxa"/>
          </w:tcPr>
          <w:p w14:paraId="49AEE029">
            <w:pPr>
              <w:rPr>
                <w:rFonts w:ascii="Times New Roman" w:hAnsi="Times New Roman"/>
                <w:sz w:val="18"/>
                <w:szCs w:val="18"/>
              </w:rPr>
            </w:pPr>
            <w:r>
              <w:rPr>
                <w:rFonts w:hint="eastAsia" w:ascii="Times New Roman" w:hAnsi="Times New Roman"/>
                <w:sz w:val="18"/>
                <w:szCs w:val="18"/>
              </w:rPr>
              <w:t>For the above eleven flavored medicinal herbs, corydalis tuber was extracted twice with 70% ethanol, each time for 1.5 hours, filtered, recovered ethanol from filtrate, concentrated to an extract with a relative density of 1.13 (50 °C), reserved; Atractylodes lancea, Angelica Sinensis, Ligusticum wallichii, Rhizoma Cyperi, extraction of volatile oil by steam distillation and collection of aqueous solution for later use; Add Dandelion and other other six flavor medicinal herbs, add water decoction twice, each time for 1.5 hours, filter in fractions, combine the filtrate, add the filtrate after extracting volatile oil, concentrate under reduced pressure to extract with a relative density of 1.10~1.15 (50 °C), add ethanol to make the alcohol content reach 50%, refrigerate for 24 hours, filter, recover ethanol from filtrate under reduced pressure, add the above extract, and continue to concentrate to a thick paste with a relative density of 1.30~1.35 (50 °C), vacuum drying, crushing, Add starch and the above volatile oil, mix well, make granules, put into capsules.</w:t>
            </w:r>
          </w:p>
        </w:tc>
      </w:tr>
      <w:tr w14:paraId="1F17A9DD">
        <w:tblPrEx>
          <w:tblCellMar>
            <w:top w:w="0" w:type="dxa"/>
            <w:left w:w="108" w:type="dxa"/>
            <w:bottom w:w="0" w:type="dxa"/>
            <w:right w:w="108" w:type="dxa"/>
          </w:tblCellMar>
        </w:tblPrEx>
        <w:trPr>
          <w:trHeight w:val="440" w:hRule="atLeast"/>
        </w:trPr>
        <w:tc>
          <w:tcPr>
            <w:tcW w:w="1276" w:type="dxa"/>
          </w:tcPr>
          <w:p w14:paraId="2ED0F416">
            <w:pPr>
              <w:rPr>
                <w:rFonts w:ascii="Times New Roman" w:hAnsi="Times New Roman"/>
                <w:b/>
                <w:bCs/>
                <w:sz w:val="18"/>
                <w:szCs w:val="18"/>
              </w:rPr>
            </w:pPr>
            <w:r>
              <w:rPr>
                <w:rFonts w:hint="default" w:ascii="Times New Roman Regular" w:hAnsi="Times New Roman Regular" w:eastAsia="宋体" w:cs="Times New Roman Regular"/>
                <w:b/>
                <w:bCs/>
                <w:sz w:val="20"/>
                <w:szCs w:val="20"/>
                <w:vertAlign w:val="baseline"/>
                <w:lang w:eastAsia="zh-Hans"/>
              </w:rPr>
              <w:t>Huahong Tablet</w:t>
            </w:r>
            <w:r>
              <w:rPr>
                <w:rFonts w:hint="default" w:ascii="Times New Roman Regular" w:hAnsi="Times New Roman Regular" w:eastAsia="宋体" w:cs="Times New Roman Regular"/>
                <w:b/>
                <w:bCs/>
                <w:sz w:val="20"/>
                <w:szCs w:val="20"/>
                <w:highlight w:val="none"/>
                <w:vertAlign w:val="baseline"/>
                <w:lang w:eastAsia="zh-Hans"/>
              </w:rPr>
              <w:t>/Capsule</w:t>
            </w:r>
          </w:p>
        </w:tc>
        <w:tc>
          <w:tcPr>
            <w:tcW w:w="2096" w:type="dxa"/>
          </w:tcPr>
          <w:p w14:paraId="562A0026">
            <w:pPr>
              <w:jc w:val="left"/>
              <w:rPr>
                <w:rFonts w:hint="default" w:ascii="Times New Roman" w:hAnsi="Times New Roman"/>
                <w:sz w:val="18"/>
                <w:szCs w:val="18"/>
              </w:rPr>
            </w:pPr>
            <w:r>
              <w:rPr>
                <w:rFonts w:ascii="Times New Roman" w:hAnsi="Times New Roman"/>
                <w:sz w:val="18"/>
                <w:szCs w:val="18"/>
                <w:lang w:val="en-US" w:eastAsia="zh-CN"/>
              </w:rPr>
              <w:t>Emilia</w:t>
            </w:r>
            <w:r>
              <w:rPr>
                <w:rFonts w:hint="default" w:ascii="Times New Roman" w:hAnsi="Times New Roman"/>
                <w:sz w:val="18"/>
                <w:szCs w:val="18"/>
                <w:lang w:val="en-US" w:eastAsia="zh-CN"/>
              </w:rPr>
              <w:t> </w:t>
            </w:r>
            <w:r>
              <w:rPr>
                <w:rFonts w:hint="default" w:ascii="Times New Roman" w:hAnsi="Times New Roman"/>
                <w:sz w:val="18"/>
                <w:szCs w:val="18"/>
                <w:lang w:eastAsia="zh-CN"/>
              </w:rPr>
              <w:t>S</w:t>
            </w:r>
            <w:r>
              <w:rPr>
                <w:rFonts w:hint="default" w:ascii="Times New Roman" w:hAnsi="Times New Roman"/>
                <w:sz w:val="18"/>
                <w:szCs w:val="18"/>
                <w:lang w:val="en-US" w:eastAsia="zh-CN"/>
              </w:rPr>
              <w:t>onchifolia</w:t>
            </w:r>
            <w:r>
              <w:rPr>
                <w:rFonts w:hint="default" w:ascii="Times New Roman" w:hAnsi="Times New Roman"/>
                <w:sz w:val="18"/>
                <w:szCs w:val="18"/>
                <w:lang w:eastAsia="zh-CN"/>
              </w:rPr>
              <w:t xml:space="preserve">, </w:t>
            </w:r>
            <w:r>
              <w:rPr>
                <w:rFonts w:hint="default" w:ascii="Times New Roman" w:hAnsi="Times New Roman"/>
                <w:bCs/>
                <w:sz w:val="18"/>
                <w:szCs w:val="18"/>
                <w:lang w:eastAsia="zh-CN"/>
              </w:rPr>
              <w:t>Hedyotis Diffusa Willd, Urena Lobata, Mallotus Paniculatus, Radix Rhodomyrti, Herba Thlaspis, Caulis Spatholobi</w:t>
            </w:r>
          </w:p>
          <w:p w14:paraId="785136D4">
            <w:pPr>
              <w:jc w:val="left"/>
              <w:rPr>
                <w:rFonts w:ascii="Times New Roman" w:hAnsi="Times New Roman"/>
                <w:sz w:val="18"/>
                <w:szCs w:val="18"/>
              </w:rPr>
            </w:pPr>
          </w:p>
        </w:tc>
        <w:tc>
          <w:tcPr>
            <w:tcW w:w="1522" w:type="dxa"/>
          </w:tcPr>
          <w:p w14:paraId="60AF0B6F">
            <w:pPr>
              <w:autoSpaceDE w:val="0"/>
              <w:autoSpaceDN w:val="0"/>
              <w:adjustRightInd w:val="0"/>
              <w:jc w:val="left"/>
              <w:rPr>
                <w:rFonts w:hint="default" w:ascii="Times New Roman" w:hAnsi="Times New Roman" w:eastAsiaTheme="minorEastAsia"/>
                <w:kern w:val="0"/>
                <w:sz w:val="18"/>
                <w:szCs w:val="18"/>
              </w:rPr>
            </w:pPr>
            <w:r>
              <w:rPr>
                <w:rFonts w:hint="eastAsia" w:ascii="Times New Roman" w:hAnsi="Times New Roman" w:eastAsiaTheme="minorEastAsia"/>
                <w:kern w:val="0"/>
                <w:sz w:val="18"/>
                <w:szCs w:val="18"/>
              </w:rPr>
              <w:t>Clear heat and detoxification, stop dryness and moisture, remove stasis and relieve pain</w:t>
            </w:r>
            <w:r>
              <w:rPr>
                <w:rFonts w:hint="default" w:ascii="Times New Roman" w:hAnsi="Times New Roman" w:eastAsiaTheme="minorEastAsia"/>
                <w:kern w:val="0"/>
                <w:sz w:val="18"/>
                <w:szCs w:val="18"/>
              </w:rPr>
              <w:t>.</w:t>
            </w:r>
          </w:p>
        </w:tc>
        <w:tc>
          <w:tcPr>
            <w:tcW w:w="3634" w:type="dxa"/>
          </w:tcPr>
          <w:p w14:paraId="4759380D">
            <w:pPr>
              <w:jc w:val="left"/>
              <w:rPr>
                <w:rFonts w:ascii="Times New Roman" w:hAnsi="Times New Roman"/>
                <w:sz w:val="18"/>
                <w:szCs w:val="18"/>
              </w:rPr>
            </w:pPr>
            <w:r>
              <w:rPr>
                <w:rFonts w:hint="eastAsia" w:ascii="Times New Roman" w:hAnsi="Times New Roman"/>
                <w:sz w:val="18"/>
                <w:szCs w:val="18"/>
              </w:rPr>
              <w:t>It is used for subordinate disease and menstrual irregularity caused by humid heat stasis, and the symptoms are large amount of banding, thick yellow matter, dull pain in the lower abdomen, lumbosacral pain, and menstrual abdominal pain; Chronic pelvic inflammatory disease and adnexitis are seen in the above symptoms.</w:t>
            </w:r>
          </w:p>
        </w:tc>
        <w:tc>
          <w:tcPr>
            <w:tcW w:w="7229" w:type="dxa"/>
          </w:tcPr>
          <w:p w14:paraId="49744FDE">
            <w:pPr>
              <w:jc w:val="left"/>
              <w:rPr>
                <w:rFonts w:hint="eastAsia" w:ascii="Times New Roman" w:hAnsi="Times New Roman"/>
                <w:sz w:val="18"/>
                <w:szCs w:val="18"/>
              </w:rPr>
            </w:pPr>
            <w:r>
              <w:rPr>
                <w:rFonts w:hint="default" w:ascii="Times New Roman" w:hAnsi="Times New Roman"/>
                <w:b/>
                <w:bCs/>
                <w:sz w:val="18"/>
                <w:szCs w:val="18"/>
                <w:lang w:eastAsia="zh-Hans"/>
              </w:rPr>
              <w:t xml:space="preserve">Huahong Tablet: </w:t>
            </w:r>
            <w:r>
              <w:rPr>
                <w:rFonts w:hint="eastAsia" w:ascii="Times New Roman" w:hAnsi="Times New Roman"/>
                <w:sz w:val="18"/>
                <w:szCs w:val="18"/>
              </w:rPr>
              <w:t xml:space="preserve">The above seven flavors, take an appropriate amount of red, crush into fine powder, the remaining Emilia sonchifolia and the rest of Hedyotis diffusa willd and other six flavors, add water decoction twice, filter, combine the filtrate and concentrate into a clear paste, add ethanol to 65% alcohol content, stir well, stand for 24 hours, filter, reduce the pressure of the filtrate to recover ethanol and concentrate into a thick paste, add the above fine powder and dextrin, silica and povidone solution appropriate amount, mix, make granules, dry, Pressed into </w:t>
            </w:r>
            <w:r>
              <w:rPr>
                <w:rFonts w:hint="eastAsia" w:ascii="Times New Roman" w:hAnsi="Times New Roman"/>
                <w:sz w:val="18"/>
                <w:szCs w:val="18"/>
                <w:lang w:val="en-US" w:eastAsia="zh-CN"/>
              </w:rPr>
              <w:t xml:space="preserve"> </w:t>
            </w:r>
            <w:r>
              <w:rPr>
                <w:rFonts w:hint="eastAsia" w:ascii="Times New Roman" w:hAnsi="Times New Roman"/>
                <w:sz w:val="18"/>
                <w:szCs w:val="18"/>
              </w:rPr>
              <w:t>pieces, coated with sugar or film, and obtained.</w:t>
            </w:r>
          </w:p>
          <w:p w14:paraId="21B43DE0">
            <w:pPr>
              <w:jc w:val="left"/>
              <w:rPr>
                <w:rFonts w:hint="default" w:ascii="Times New Roman" w:hAnsi="Times New Roman"/>
                <w:sz w:val="18"/>
                <w:szCs w:val="18"/>
              </w:rPr>
            </w:pPr>
            <w:r>
              <w:rPr>
                <w:rFonts w:hint="default" w:ascii="Times New Roman" w:hAnsi="Times New Roman"/>
                <w:b/>
                <w:bCs/>
                <w:sz w:val="18"/>
                <w:szCs w:val="18"/>
                <w:lang w:eastAsia="zh-Hans"/>
              </w:rPr>
              <w:t xml:space="preserve">Huahong Capsule: </w:t>
            </w:r>
            <w:r>
              <w:rPr>
                <w:rFonts w:hint="default" w:ascii="Times New Roman" w:hAnsi="Times New Roman"/>
                <w:sz w:val="18"/>
                <w:szCs w:val="18"/>
                <w:lang w:eastAsia="zh-Hans"/>
              </w:rPr>
              <w:t>The above seven flavors of medicinal materials, add water to decoction twice, the first time 2 hours, the second time 1.5 hours, combined decoction liquid, filter, filtrate concentrated to a clear paste with a relative density of 1.18~1.23 (80 °C), add ethanol to make the alcohol content reach 65%, stir well, stand for 24 hours, filter, recover ethanol from filtrate under reduced pressure and concentrate to a clear paste with a relative density of 1.25~1.30 (80 °C), dry, crushed into fine powder. Add dextrin, silica, starch, talc, acrylic resin and magnesium stearate, mix well, make granules, dry, put into capsules.</w:t>
            </w:r>
          </w:p>
        </w:tc>
      </w:tr>
      <w:tr w14:paraId="64B15CAA">
        <w:tblPrEx>
          <w:tblCellMar>
            <w:top w:w="0" w:type="dxa"/>
            <w:left w:w="108" w:type="dxa"/>
            <w:bottom w:w="0" w:type="dxa"/>
            <w:right w:w="108" w:type="dxa"/>
          </w:tblCellMar>
        </w:tblPrEx>
        <w:trPr>
          <w:trHeight w:val="284" w:hRule="atLeast"/>
        </w:trPr>
        <w:tc>
          <w:tcPr>
            <w:tcW w:w="1276" w:type="dxa"/>
          </w:tcPr>
          <w:p w14:paraId="69CA6799">
            <w:pPr>
              <w:rPr>
                <w:rFonts w:ascii="Times New Roman" w:hAnsi="Times New Roman"/>
                <w:b/>
                <w:bCs/>
                <w:sz w:val="18"/>
                <w:szCs w:val="18"/>
              </w:rPr>
            </w:pPr>
            <w:r>
              <w:rPr>
                <w:rFonts w:hint="default" w:ascii="Times New Roman Regular" w:hAnsi="Times New Roman Regular" w:eastAsia="宋体" w:cs="Times New Roman Regular"/>
                <w:b/>
                <w:bCs/>
                <w:sz w:val="20"/>
                <w:szCs w:val="20"/>
                <w:vertAlign w:val="baseline"/>
                <w:lang w:eastAsia="zh-Hans"/>
              </w:rPr>
              <w:t>Jingangteng Capsule</w:t>
            </w:r>
          </w:p>
        </w:tc>
        <w:tc>
          <w:tcPr>
            <w:tcW w:w="2096" w:type="dxa"/>
          </w:tcPr>
          <w:p w14:paraId="74423EBD">
            <w:pPr>
              <w:jc w:val="left"/>
              <w:rPr>
                <w:rFonts w:ascii="Times New Roman" w:hAnsi="Times New Roman"/>
                <w:sz w:val="18"/>
                <w:szCs w:val="18"/>
              </w:rPr>
            </w:pPr>
            <w:r>
              <w:rPr>
                <w:rFonts w:ascii="Times New Roman" w:hAnsi="Times New Roman"/>
                <w:sz w:val="18"/>
                <w:szCs w:val="18"/>
                <w:lang w:val="en-US" w:eastAsia="zh-CN"/>
              </w:rPr>
              <w:t>Chinaroot Greenbrier Rhizome</w:t>
            </w:r>
          </w:p>
          <w:p w14:paraId="1B36A4D6">
            <w:pPr>
              <w:jc w:val="left"/>
              <w:rPr>
                <w:rFonts w:ascii="Times New Roman" w:hAnsi="Times New Roman"/>
                <w:sz w:val="18"/>
                <w:szCs w:val="18"/>
              </w:rPr>
            </w:pPr>
          </w:p>
        </w:tc>
        <w:tc>
          <w:tcPr>
            <w:tcW w:w="1522" w:type="dxa"/>
          </w:tcPr>
          <w:p w14:paraId="5DC2909B">
            <w:pPr>
              <w:jc w:val="left"/>
              <w:rPr>
                <w:rFonts w:ascii="Times New Roman" w:hAnsi="Times New Roman"/>
                <w:sz w:val="18"/>
                <w:szCs w:val="18"/>
              </w:rPr>
            </w:pPr>
            <w:r>
              <w:rPr>
                <w:rFonts w:hint="eastAsia" w:ascii="Times New Roman" w:hAnsi="Times New Roman"/>
                <w:sz w:val="18"/>
                <w:szCs w:val="18"/>
              </w:rPr>
              <w:t>Clear heat and detoxify, reduce swelling and dissipate knots</w:t>
            </w:r>
          </w:p>
        </w:tc>
        <w:tc>
          <w:tcPr>
            <w:tcW w:w="3634" w:type="dxa"/>
          </w:tcPr>
          <w:p w14:paraId="388F6A57">
            <w:pPr>
              <w:jc w:val="left"/>
              <w:rPr>
                <w:rFonts w:ascii="Times New Roman" w:hAnsi="Times New Roman"/>
                <w:sz w:val="18"/>
                <w:szCs w:val="18"/>
              </w:rPr>
            </w:pPr>
            <w:r>
              <w:rPr>
                <w:rFonts w:hint="eastAsia" w:ascii="Times New Roman" w:hAnsi="Times New Roman"/>
                <w:sz w:val="18"/>
                <w:szCs w:val="18"/>
              </w:rPr>
              <w:t>For adnexitis, adnexitis inflammatory mass.</w:t>
            </w:r>
          </w:p>
        </w:tc>
        <w:tc>
          <w:tcPr>
            <w:tcW w:w="7229" w:type="dxa"/>
          </w:tcPr>
          <w:p w14:paraId="404A680A">
            <w:pPr>
              <w:jc w:val="left"/>
              <w:rPr>
                <w:rFonts w:ascii="Times New Roman" w:hAnsi="Times New Roman"/>
                <w:sz w:val="18"/>
                <w:szCs w:val="18"/>
              </w:rPr>
            </w:pPr>
            <w:r>
              <w:rPr>
                <w:rFonts w:hint="eastAsia" w:ascii="Times New Roman" w:hAnsi="Times New Roman"/>
                <w:sz w:val="18"/>
                <w:szCs w:val="18"/>
              </w:rPr>
              <w:t>Chinaroot Greenbrier Rhizome 5~10kg, edible vegetable oil 100~500g, by decoction, filtration, concentration, drying, crushing, homogenization, granulation and other preparation processes.</w:t>
            </w:r>
          </w:p>
        </w:tc>
      </w:tr>
      <w:tr w14:paraId="64462EB9">
        <w:tblPrEx>
          <w:tblCellMar>
            <w:top w:w="0" w:type="dxa"/>
            <w:left w:w="108" w:type="dxa"/>
            <w:bottom w:w="0" w:type="dxa"/>
            <w:right w:w="108" w:type="dxa"/>
          </w:tblCellMar>
        </w:tblPrEx>
        <w:trPr>
          <w:trHeight w:val="284" w:hRule="atLeast"/>
        </w:trPr>
        <w:tc>
          <w:tcPr>
            <w:tcW w:w="1276" w:type="dxa"/>
          </w:tcPr>
          <w:p w14:paraId="525347C2">
            <w:pPr>
              <w:rPr>
                <w:rFonts w:ascii="Times New Roman" w:hAnsi="Times New Roman"/>
                <w:b/>
                <w:bCs/>
                <w:sz w:val="18"/>
                <w:szCs w:val="18"/>
              </w:rPr>
            </w:pPr>
            <w:r>
              <w:rPr>
                <w:rFonts w:hint="default" w:ascii="Times New Roman Regular" w:hAnsi="Times New Roman Regular" w:eastAsia="宋体" w:cs="Times New Roman Regular"/>
                <w:b/>
                <w:bCs/>
                <w:sz w:val="20"/>
                <w:szCs w:val="20"/>
                <w:vertAlign w:val="baseline"/>
                <w:lang w:eastAsia="zh-Hans"/>
              </w:rPr>
              <w:t>Fuyankang Tablet</w:t>
            </w:r>
          </w:p>
        </w:tc>
        <w:tc>
          <w:tcPr>
            <w:tcW w:w="2096" w:type="dxa"/>
          </w:tcPr>
          <w:p w14:paraId="6C3CF3B9">
            <w:pPr>
              <w:jc w:val="left"/>
              <w:rPr>
                <w:rFonts w:hint="default" w:ascii="Times New Roman" w:hAnsi="Times New Roman"/>
                <w:bCs/>
                <w:sz w:val="18"/>
                <w:szCs w:val="18"/>
                <w:lang w:eastAsia="zh-CN"/>
              </w:rPr>
            </w:pPr>
            <w:r>
              <w:rPr>
                <w:rFonts w:hint="default" w:ascii="Times New Roman" w:hAnsi="Times New Roman"/>
                <w:sz w:val="18"/>
                <w:szCs w:val="18"/>
                <w:lang w:eastAsia="zh-CN"/>
              </w:rPr>
              <w:t>Paeonia Veitchii Lynch, Smilacis  Glabrae Rhizoma, Sparganii Rhizoma, Toosendan Nfructus, Curcumae Rhizoma, C</w:t>
            </w:r>
            <w:r>
              <w:rPr>
                <w:rFonts w:hint="default" w:ascii="Times New Roman" w:hAnsi="Times New Roman"/>
                <w:bCs/>
                <w:sz w:val="18"/>
                <w:szCs w:val="18"/>
                <w:lang w:eastAsia="zh-CN"/>
              </w:rPr>
              <w:t>orydalis Tuber,</w:t>
            </w:r>
            <w:r>
              <w:rPr>
                <w:rFonts w:hint="default" w:ascii="Times New Roman" w:hAnsi="Times New Roman"/>
                <w:bCs/>
                <w:sz w:val="18"/>
                <w:szCs w:val="18"/>
                <w:lang w:val="en-US" w:eastAsia="zh-CN"/>
              </w:rPr>
              <w:t>E</w:t>
            </w:r>
            <w:r>
              <w:rPr>
                <w:rFonts w:hint="default" w:ascii="Times New Roman" w:hAnsi="Times New Roman"/>
                <w:bCs/>
                <w:sz w:val="18"/>
                <w:szCs w:val="18"/>
                <w:lang w:eastAsia="zh-CN"/>
              </w:rPr>
              <w:t>uryales</w:t>
            </w:r>
            <w:r>
              <w:rPr>
                <w:rFonts w:hint="default" w:ascii="Times New Roman" w:hAnsi="Times New Roman"/>
                <w:bCs/>
                <w:sz w:val="18"/>
                <w:szCs w:val="18"/>
                <w:lang w:val="en-US" w:eastAsia="zh-CN"/>
              </w:rPr>
              <w:t xml:space="preserve"> S</w:t>
            </w:r>
            <w:r>
              <w:rPr>
                <w:rFonts w:hint="default" w:ascii="Times New Roman" w:hAnsi="Times New Roman"/>
                <w:bCs/>
                <w:sz w:val="18"/>
                <w:szCs w:val="18"/>
                <w:lang w:eastAsia="zh-CN"/>
              </w:rPr>
              <w:t xml:space="preserve">emen, Angelica Sinensis, Sophorae Flavescentis Radix, Rhizoma Cyperi, </w:t>
            </w:r>
          </w:p>
          <w:p w14:paraId="2A72985A">
            <w:pPr>
              <w:jc w:val="left"/>
              <w:rPr>
                <w:rFonts w:hint="default" w:ascii="Times New Roman" w:hAnsi="Times New Roman"/>
                <w:bCs/>
                <w:sz w:val="18"/>
                <w:szCs w:val="18"/>
                <w:lang w:eastAsia="zh-CN"/>
              </w:rPr>
            </w:pPr>
            <w:r>
              <w:rPr>
                <w:rFonts w:hint="default" w:ascii="Times New Roman" w:hAnsi="Times New Roman"/>
                <w:bCs/>
                <w:sz w:val="18"/>
                <w:szCs w:val="18"/>
                <w:lang w:eastAsia="zh-CN"/>
              </w:rPr>
              <w:t xml:space="preserve">Phellodendri Chinensis Cortex, </w:t>
            </w:r>
          </w:p>
          <w:p w14:paraId="4F5865EB">
            <w:pPr>
              <w:jc w:val="left"/>
              <w:rPr>
                <w:rFonts w:hint="default" w:ascii="Times New Roman" w:hAnsi="Times New Roman"/>
                <w:sz w:val="18"/>
                <w:szCs w:val="18"/>
                <w:lang w:eastAsia="zh-CN"/>
              </w:rPr>
            </w:pPr>
            <w:r>
              <w:rPr>
                <w:rFonts w:hint="default" w:ascii="Times New Roman" w:hAnsi="Times New Roman"/>
                <w:sz w:val="18"/>
                <w:szCs w:val="18"/>
                <w:lang w:eastAsia="zh-CN"/>
              </w:rPr>
              <w:t xml:space="preserve">Salviae Miltiorrhizae Radix Et Rhizoma, </w:t>
            </w:r>
          </w:p>
          <w:p w14:paraId="139E47C3">
            <w:pPr>
              <w:jc w:val="left"/>
              <w:rPr>
                <w:rFonts w:hint="default" w:ascii="Times New Roman" w:hAnsi="Times New Roman"/>
                <w:sz w:val="18"/>
                <w:szCs w:val="18"/>
              </w:rPr>
            </w:pPr>
            <w:r>
              <w:rPr>
                <w:rFonts w:hint="default" w:ascii="Times New Roman" w:hAnsi="Times New Roman"/>
                <w:sz w:val="18"/>
                <w:szCs w:val="18"/>
                <w:lang w:eastAsia="zh-CN"/>
              </w:rPr>
              <w:t>Dioscoreae Rhizoma</w:t>
            </w:r>
          </w:p>
        </w:tc>
        <w:tc>
          <w:tcPr>
            <w:tcW w:w="1522" w:type="dxa"/>
          </w:tcPr>
          <w:p w14:paraId="758B7F84">
            <w:pPr>
              <w:jc w:val="left"/>
              <w:rPr>
                <w:rFonts w:ascii="Times New Roman" w:hAnsi="Times New Roman"/>
                <w:sz w:val="18"/>
                <w:szCs w:val="18"/>
              </w:rPr>
            </w:pPr>
            <w:r>
              <w:rPr>
                <w:rFonts w:hint="eastAsia" w:ascii="Times New Roman" w:hAnsi="Times New Roman"/>
                <w:sz w:val="18"/>
                <w:szCs w:val="18"/>
              </w:rPr>
              <w:t>Clear heat and dampness, regulate qi and blood, dissipate swelling and reduce swelling</w:t>
            </w:r>
          </w:p>
        </w:tc>
        <w:tc>
          <w:tcPr>
            <w:tcW w:w="3634" w:type="dxa"/>
          </w:tcPr>
          <w:p w14:paraId="38198E29">
            <w:pPr>
              <w:jc w:val="left"/>
              <w:rPr>
                <w:rFonts w:hint="default" w:ascii="Times New Roman" w:hAnsi="Times New Roman"/>
                <w:sz w:val="18"/>
                <w:szCs w:val="18"/>
              </w:rPr>
            </w:pPr>
            <w:r>
              <w:rPr>
                <w:rFonts w:hint="eastAsia" w:ascii="Times New Roman" w:hAnsi="Times New Roman"/>
                <w:sz w:val="18"/>
                <w:szCs w:val="18"/>
              </w:rPr>
              <w:t>It is used for wet heat bets, toxic stasis mutual resistance caused by the disease of banding, the symptoms are more under the belt, yellow color, odor, less abdominal pain, lumbosacral pain, dry mouth; Vaginitis, chronic pelvic inflammatory disease see the above symptoms</w:t>
            </w:r>
            <w:r>
              <w:rPr>
                <w:rFonts w:hint="default" w:ascii="Times New Roman" w:hAnsi="Times New Roman"/>
                <w:sz w:val="18"/>
                <w:szCs w:val="18"/>
              </w:rPr>
              <w:t>.</w:t>
            </w:r>
          </w:p>
        </w:tc>
        <w:tc>
          <w:tcPr>
            <w:tcW w:w="7229" w:type="dxa"/>
          </w:tcPr>
          <w:p w14:paraId="65C0E609">
            <w:pPr>
              <w:jc w:val="left"/>
              <w:rPr>
                <w:rFonts w:hint="eastAsia" w:ascii="Times New Roman" w:hAnsi="Times New Roman" w:eastAsia="宋体"/>
                <w:sz w:val="18"/>
                <w:szCs w:val="18"/>
                <w:lang w:val="en-US" w:eastAsia="zh-CN"/>
              </w:rPr>
            </w:pPr>
            <w:r>
              <w:rPr>
                <w:rFonts w:hint="eastAsia" w:ascii="Times New Roman" w:hAnsi="Times New Roman"/>
                <w:sz w:val="18"/>
                <w:szCs w:val="18"/>
              </w:rPr>
              <w:t>The above thirteen flavors, Curcumae Rhizoma, Dioscoreae Rhizoma crushed into fine powder, sieved, the rest Sparganii Rhizoma and other eleven flavors, add water decoction three times, the first 2 hours, the second and third times each 1 hour, decoction filtered, combined filtrate, concentrated to an appropriate amount, mixed with the above powder, dried, crushed into fine powder, add sucrose, starch and magnesium stearate an appropriate amount, make granules, dry, pressed into 1000 tablets (small pieces), Sugar-coated or film-coated; Or press into pieces (large pieces), wrapped in a film coating, and obtained</w:t>
            </w:r>
            <w:r>
              <w:rPr>
                <w:rFonts w:hint="eastAsia" w:ascii="Times New Roman" w:hAnsi="Times New Roman"/>
                <w:sz w:val="18"/>
                <w:szCs w:val="18"/>
                <w:lang w:val="en-US" w:eastAsia="zh-CN"/>
              </w:rPr>
              <w:t>.</w:t>
            </w:r>
          </w:p>
        </w:tc>
      </w:tr>
      <w:tr w14:paraId="093BE099">
        <w:tblPrEx>
          <w:tblCellMar>
            <w:top w:w="0" w:type="dxa"/>
            <w:left w:w="108" w:type="dxa"/>
            <w:bottom w:w="0" w:type="dxa"/>
            <w:right w:w="108" w:type="dxa"/>
          </w:tblCellMar>
        </w:tblPrEx>
        <w:trPr>
          <w:trHeight w:val="284" w:hRule="atLeast"/>
        </w:trPr>
        <w:tc>
          <w:tcPr>
            <w:tcW w:w="1276" w:type="dxa"/>
          </w:tcPr>
          <w:p w14:paraId="0BABE5DB">
            <w:pPr>
              <w:rPr>
                <w:rFonts w:ascii="Times New Roman" w:hAnsi="Times New Roman"/>
                <w:b/>
                <w:bCs/>
                <w:sz w:val="18"/>
                <w:szCs w:val="18"/>
              </w:rPr>
            </w:pPr>
            <w:r>
              <w:rPr>
                <w:rFonts w:hint="default" w:ascii="Times New Roman Regular" w:hAnsi="Times New Roman Regular" w:eastAsia="宋体" w:cs="Times New Roman Regular"/>
                <w:b/>
                <w:bCs/>
                <w:sz w:val="20"/>
                <w:szCs w:val="20"/>
                <w:vertAlign w:val="baseline"/>
                <w:lang w:eastAsia="zh-Hans"/>
              </w:rPr>
              <w:t>Fuyanxiao Capsule</w:t>
            </w:r>
          </w:p>
        </w:tc>
        <w:tc>
          <w:tcPr>
            <w:tcW w:w="2096" w:type="dxa"/>
          </w:tcPr>
          <w:p w14:paraId="41BED534">
            <w:pPr>
              <w:jc w:val="left"/>
              <w:rPr>
                <w:rFonts w:hint="default" w:ascii="Times New Roman" w:hAnsi="Times New Roman"/>
                <w:sz w:val="18"/>
                <w:szCs w:val="18"/>
                <w:lang w:eastAsia="zh-CN"/>
              </w:rPr>
            </w:pPr>
            <w:r>
              <w:rPr>
                <w:rFonts w:hint="default" w:ascii="Times New Roman" w:hAnsi="Times New Roman"/>
                <w:sz w:val="18"/>
                <w:szCs w:val="18"/>
                <w:lang w:eastAsia="zh-CN"/>
              </w:rPr>
              <w:t>C</w:t>
            </w:r>
            <w:r>
              <w:rPr>
                <w:rFonts w:ascii="Times New Roman" w:hAnsi="Times New Roman"/>
                <w:sz w:val="18"/>
                <w:szCs w:val="18"/>
                <w:lang w:val="en-US" w:eastAsia="zh-CN"/>
              </w:rPr>
              <w:t xml:space="preserve">reeping </w:t>
            </w:r>
            <w:r>
              <w:rPr>
                <w:rFonts w:hint="default" w:ascii="Times New Roman" w:hAnsi="Times New Roman"/>
                <w:sz w:val="18"/>
                <w:szCs w:val="18"/>
                <w:lang w:eastAsia="zh-CN"/>
              </w:rPr>
              <w:t>W</w:t>
            </w:r>
            <w:r>
              <w:rPr>
                <w:rFonts w:ascii="Times New Roman" w:hAnsi="Times New Roman"/>
                <w:sz w:val="18"/>
                <w:szCs w:val="18"/>
                <w:lang w:val="en-US" w:eastAsia="zh-CN"/>
              </w:rPr>
              <w:t>oodsorrel</w:t>
            </w:r>
            <w:r>
              <w:rPr>
                <w:rFonts w:hint="default" w:ascii="Times New Roman" w:hAnsi="Times New Roman"/>
                <w:sz w:val="18"/>
                <w:szCs w:val="18"/>
                <w:lang w:eastAsia="zh-CN"/>
              </w:rPr>
              <w:t>, Herba Patriniae, Trichosanthis Radix, Rhei Radix Et Rhizoma, Moutan Cortex, Atractylodis Rhizoma, Linderae Radix</w:t>
            </w:r>
          </w:p>
          <w:p w14:paraId="5991A39B">
            <w:pPr>
              <w:jc w:val="left"/>
              <w:rPr>
                <w:rFonts w:hint="default" w:ascii="Times New Roman" w:hAnsi="Times New Roman"/>
                <w:sz w:val="18"/>
                <w:szCs w:val="18"/>
              </w:rPr>
            </w:pPr>
          </w:p>
        </w:tc>
        <w:tc>
          <w:tcPr>
            <w:tcW w:w="1522" w:type="dxa"/>
          </w:tcPr>
          <w:p w14:paraId="2EECC698">
            <w:pPr>
              <w:jc w:val="left"/>
              <w:rPr>
                <w:rFonts w:ascii="Times New Roman" w:hAnsi="Times New Roman"/>
                <w:sz w:val="18"/>
                <w:szCs w:val="18"/>
              </w:rPr>
            </w:pPr>
            <w:r>
              <w:rPr>
                <w:rFonts w:hint="eastAsia" w:ascii="Times New Roman" w:hAnsi="Times New Roman"/>
                <w:sz w:val="18"/>
                <w:szCs w:val="18"/>
              </w:rPr>
              <w:t>Clear heat and detoxification, gas, remove stasis, dehumidify and stop bands</w:t>
            </w:r>
          </w:p>
        </w:tc>
        <w:tc>
          <w:tcPr>
            <w:tcW w:w="3634" w:type="dxa"/>
          </w:tcPr>
          <w:p w14:paraId="0F2978AB">
            <w:pPr>
              <w:jc w:val="left"/>
              <w:rPr>
                <w:rFonts w:ascii="Times New Roman" w:hAnsi="Times New Roman"/>
                <w:sz w:val="18"/>
                <w:szCs w:val="18"/>
              </w:rPr>
            </w:pPr>
            <w:r>
              <w:rPr>
                <w:rFonts w:hint="eastAsia" w:ascii="Times New Roman" w:hAnsi="Times New Roman"/>
                <w:sz w:val="18"/>
                <w:szCs w:val="18"/>
              </w:rPr>
              <w:t>For inflammation of the reproductive system of women, dysmenorrhea, abnormal vaginal discharge</w:t>
            </w:r>
          </w:p>
        </w:tc>
        <w:tc>
          <w:tcPr>
            <w:tcW w:w="7229" w:type="dxa"/>
          </w:tcPr>
          <w:p w14:paraId="6B8F1F24">
            <w:pPr>
              <w:jc w:val="left"/>
              <w:rPr>
                <w:rFonts w:hint="default" w:ascii="Times New Roman" w:hAnsi="Times New Roman"/>
                <w:sz w:val="18"/>
                <w:szCs w:val="18"/>
                <w:lang w:eastAsia="zh-Hans"/>
              </w:rPr>
            </w:pPr>
            <w:r>
              <w:rPr>
                <w:rFonts w:hint="eastAsia" w:ascii="Times New Roman" w:hAnsi="Times New Roman"/>
                <w:sz w:val="18"/>
                <w:szCs w:val="18"/>
                <w:lang w:eastAsia="zh-Hans"/>
              </w:rPr>
              <w:t>The above seven flavors, take Rhei Radix et Rhizoma 150g crushed into fine powder, set aside, the remaining Rhei Radix et Rhizoma and the rest of Creeping Woodsorrel and other six flavors, Herba Patriniae 300g, Moutan Cortex 150g, Trichosanthis Radix 250g, Atractylodis Rhizoma250g Add water decoction twice, each time for 2 hours, combine the decoction, filter, concentrate the filtrate to a clear paste with a relative density of 1.12~1.20 (60~70 °C), add the above fine powder and an appropriate amount of starch, mix well, dry, crush, put into capsules.</w:t>
            </w:r>
          </w:p>
        </w:tc>
      </w:tr>
      <w:tr w14:paraId="15E4F5F2">
        <w:tblPrEx>
          <w:tblCellMar>
            <w:top w:w="0" w:type="dxa"/>
            <w:left w:w="108" w:type="dxa"/>
            <w:bottom w:w="0" w:type="dxa"/>
            <w:right w:w="108" w:type="dxa"/>
          </w:tblCellMar>
        </w:tblPrEx>
        <w:trPr>
          <w:trHeight w:val="284" w:hRule="atLeast"/>
        </w:trPr>
        <w:tc>
          <w:tcPr>
            <w:tcW w:w="1276" w:type="dxa"/>
          </w:tcPr>
          <w:p w14:paraId="6BD9D000">
            <w:pPr>
              <w:rPr>
                <w:rFonts w:ascii="Times New Roman" w:hAnsi="Times New Roman"/>
                <w:b/>
                <w:bCs/>
                <w:sz w:val="18"/>
                <w:szCs w:val="18"/>
              </w:rPr>
            </w:pPr>
            <w:r>
              <w:rPr>
                <w:rFonts w:hint="default" w:ascii="Times New Roman Regular" w:hAnsi="Times New Roman Regular" w:eastAsia="宋体" w:cs="Times New Roman Regular"/>
                <w:b/>
                <w:bCs/>
                <w:sz w:val="20"/>
                <w:szCs w:val="20"/>
                <w:vertAlign w:val="baseline"/>
                <w:lang w:eastAsia="zh-Hans"/>
              </w:rPr>
              <w:t>Fule Tablets/Grain</w:t>
            </w:r>
          </w:p>
        </w:tc>
        <w:tc>
          <w:tcPr>
            <w:tcW w:w="2096" w:type="dxa"/>
          </w:tcPr>
          <w:p w14:paraId="203B5758">
            <w:pPr>
              <w:jc w:val="left"/>
              <w:rPr>
                <w:rFonts w:hint="default" w:ascii="Times New Roman" w:hAnsi="Times New Roman"/>
                <w:sz w:val="18"/>
                <w:szCs w:val="18"/>
                <w:lang w:eastAsia="zh-CN"/>
              </w:rPr>
            </w:pPr>
            <w:r>
              <w:rPr>
                <w:rFonts w:hint="default" w:ascii="Times New Roman" w:hAnsi="Times New Roman"/>
                <w:sz w:val="18"/>
                <w:szCs w:val="18"/>
                <w:lang w:val="en-US" w:eastAsia="zh-CN"/>
              </w:rPr>
              <w:t>L</w:t>
            </w:r>
            <w:r>
              <w:rPr>
                <w:rFonts w:hint="default" w:ascii="Times New Roman" w:hAnsi="Times New Roman"/>
                <w:sz w:val="18"/>
                <w:szCs w:val="18"/>
                <w:lang w:eastAsia="zh-CN"/>
              </w:rPr>
              <w:t>onice</w:t>
            </w:r>
            <w:r>
              <w:rPr>
                <w:rFonts w:hint="default" w:ascii="Times New Roman" w:hAnsi="Times New Roman"/>
                <w:sz w:val="18"/>
                <w:szCs w:val="18"/>
                <w:lang w:val="en-US" w:eastAsia="zh-CN"/>
              </w:rPr>
              <w:t xml:space="preserve"> R</w:t>
            </w:r>
            <w:r>
              <w:rPr>
                <w:rFonts w:hint="default" w:ascii="Times New Roman" w:hAnsi="Times New Roman"/>
                <w:sz w:val="18"/>
                <w:szCs w:val="18"/>
                <w:lang w:eastAsia="zh-CN"/>
              </w:rPr>
              <w:t>aejaponica</w:t>
            </w:r>
            <w:r>
              <w:rPr>
                <w:rFonts w:hint="default" w:ascii="Times New Roman" w:hAnsi="Times New Roman"/>
                <w:sz w:val="18"/>
                <w:szCs w:val="18"/>
                <w:lang w:val="en-US" w:eastAsia="zh-CN"/>
              </w:rPr>
              <w:t xml:space="preserve"> C</w:t>
            </w:r>
            <w:r>
              <w:rPr>
                <w:rFonts w:hint="default" w:ascii="Times New Roman" w:hAnsi="Times New Roman"/>
                <w:sz w:val="18"/>
                <w:szCs w:val="18"/>
                <w:lang w:eastAsia="zh-CN"/>
              </w:rPr>
              <w:t xml:space="preserve">aulis, Sargentodoxae Caulis, Glycyrrhizae Radix Et Rhizoma, </w:t>
            </w:r>
          </w:p>
          <w:p w14:paraId="5A3E079D">
            <w:pPr>
              <w:jc w:val="left"/>
              <w:rPr>
                <w:rFonts w:hint="default" w:ascii="Times New Roman" w:hAnsi="Times New Roman"/>
                <w:sz w:val="18"/>
                <w:szCs w:val="18"/>
                <w:lang w:eastAsia="zh-CN"/>
              </w:rPr>
            </w:pPr>
            <w:r>
              <w:rPr>
                <w:rFonts w:hint="default" w:ascii="Times New Roman" w:hAnsi="Times New Roman"/>
                <w:sz w:val="18"/>
                <w:szCs w:val="18"/>
                <w:lang w:eastAsia="zh-CN"/>
              </w:rPr>
              <w:t xml:space="preserve">Isatidis Folium, </w:t>
            </w:r>
            <w:r>
              <w:rPr>
                <w:rFonts w:ascii="Times New Roman" w:hAnsi="Times New Roman"/>
                <w:sz w:val="18"/>
                <w:szCs w:val="18"/>
                <w:lang w:val="en-US" w:eastAsia="zh-CN"/>
              </w:rPr>
              <w:t>Dandelion</w:t>
            </w:r>
            <w:r>
              <w:rPr>
                <w:rFonts w:hint="default" w:ascii="Times New Roman" w:hAnsi="Times New Roman"/>
                <w:sz w:val="18"/>
                <w:szCs w:val="18"/>
                <w:lang w:eastAsia="zh-CN"/>
              </w:rPr>
              <w:t>, Moutan Cortex, Paeonia veitchii Lynch, Atractylodis Rhizoma, C</w:t>
            </w:r>
            <w:r>
              <w:rPr>
                <w:rFonts w:hint="default" w:ascii="Times New Roman" w:hAnsi="Times New Roman"/>
                <w:bCs/>
                <w:sz w:val="18"/>
                <w:szCs w:val="18"/>
                <w:lang w:eastAsia="zh-CN"/>
              </w:rPr>
              <w:t xml:space="preserve">orydalis Tuber, </w:t>
            </w:r>
            <w:r>
              <w:rPr>
                <w:rFonts w:hint="default" w:ascii="Times New Roman" w:hAnsi="Times New Roman"/>
                <w:sz w:val="18"/>
                <w:szCs w:val="18"/>
                <w:lang w:eastAsia="zh-CN"/>
              </w:rPr>
              <w:t>Moutan Cortex</w:t>
            </w:r>
          </w:p>
          <w:p w14:paraId="33BDBEE5">
            <w:pPr>
              <w:jc w:val="left"/>
              <w:rPr>
                <w:rFonts w:hint="default" w:ascii="Times New Roman" w:hAnsi="Times New Roman"/>
                <w:sz w:val="18"/>
                <w:szCs w:val="18"/>
              </w:rPr>
            </w:pPr>
          </w:p>
        </w:tc>
        <w:tc>
          <w:tcPr>
            <w:tcW w:w="1522" w:type="dxa"/>
          </w:tcPr>
          <w:p w14:paraId="532F536C">
            <w:pPr>
              <w:jc w:val="left"/>
              <w:rPr>
                <w:rFonts w:ascii="Times New Roman" w:hAnsi="Times New Roman"/>
                <w:sz w:val="18"/>
                <w:szCs w:val="18"/>
              </w:rPr>
            </w:pPr>
            <w:r>
              <w:rPr>
                <w:rFonts w:hint="eastAsia" w:ascii="Times New Roman" w:hAnsi="Times New Roman"/>
                <w:sz w:val="18"/>
                <w:szCs w:val="18"/>
              </w:rPr>
              <w:t>Clear heat and cool blood, reduce swelling and relieve pain</w:t>
            </w:r>
          </w:p>
        </w:tc>
        <w:tc>
          <w:tcPr>
            <w:tcW w:w="3634" w:type="dxa"/>
          </w:tcPr>
          <w:p w14:paraId="71F80043">
            <w:pPr>
              <w:jc w:val="left"/>
              <w:rPr>
                <w:rFonts w:ascii="Times New Roman" w:hAnsi="Times New Roman"/>
                <w:sz w:val="18"/>
                <w:szCs w:val="18"/>
              </w:rPr>
            </w:pPr>
            <w:r>
              <w:rPr>
                <w:rFonts w:hint="eastAsia" w:ascii="Times New Roman" w:hAnsi="Times New Roman"/>
                <w:sz w:val="18"/>
                <w:szCs w:val="18"/>
              </w:rPr>
              <w:t>It is used for abnormal vaginal discharge and abdominal pain caused by pelvic inflammatory disease, adnexitis, endometritis, etc</w:t>
            </w:r>
          </w:p>
        </w:tc>
        <w:tc>
          <w:tcPr>
            <w:tcW w:w="7229" w:type="dxa"/>
          </w:tcPr>
          <w:p w14:paraId="478BE253">
            <w:pPr>
              <w:jc w:val="left"/>
              <w:rPr>
                <w:rFonts w:hint="eastAsia" w:ascii="Times New Roman" w:hAnsi="Times New Roman"/>
                <w:sz w:val="18"/>
                <w:szCs w:val="18"/>
                <w:lang w:eastAsia="zh-Hans"/>
              </w:rPr>
            </w:pPr>
            <w:r>
              <w:rPr>
                <w:rFonts w:hint="default" w:ascii="Times New Roman" w:hAnsi="Times New Roman"/>
                <w:b/>
                <w:bCs/>
                <w:sz w:val="18"/>
                <w:szCs w:val="18"/>
                <w:lang w:eastAsia="zh-Hans"/>
              </w:rPr>
              <w:t xml:space="preserve">Fule Grain: </w:t>
            </w:r>
            <w:r>
              <w:rPr>
                <w:rFonts w:hint="eastAsia" w:ascii="Times New Roman" w:hAnsi="Times New Roman"/>
                <w:sz w:val="18"/>
                <w:szCs w:val="18"/>
                <w:lang w:eastAsia="zh-Hans"/>
              </w:rPr>
              <w:t>The above ten flavors, take Moutan Cortex crushed into coarse powder, use 60% ethanol as solvent, impregnate for 24 hours and then infiltrate, collect 1215ml of osmotic solution, filter, and concentrate the filtrate under reduced pressure to a clear ointment with a relative density of 1.20-1.22 (45~50 °C), and the residue is reserved; The rest of Lonice Raejaponica Caulis and other nine flavors, add water to decoction twice, the first time 2 hours, the second time after adding Moutan Cortex osmotic residue, decoction for 1 hour, decoction filtered, filtrate combined, concentrated to a relative density of 1.06 ~ 1.08 (85 ~ 90 °C) clear paste, combined with the above clear paste, mixed, spray dried into a fine powder, added stevia, dextrin appropriate amount, made into granules.</w:t>
            </w:r>
          </w:p>
          <w:p w14:paraId="6211E34D">
            <w:pPr>
              <w:jc w:val="left"/>
              <w:rPr>
                <w:rFonts w:hint="default" w:ascii="Times New Roman" w:hAnsi="Times New Roman" w:eastAsia="宋体"/>
                <w:b w:val="0"/>
                <w:bCs w:val="0"/>
                <w:sz w:val="18"/>
                <w:szCs w:val="18"/>
                <w:lang w:val="en-US" w:eastAsia="zh-CN"/>
              </w:rPr>
            </w:pPr>
            <w:r>
              <w:rPr>
                <w:rFonts w:hint="default" w:ascii="Times New Roman" w:hAnsi="Times New Roman"/>
                <w:b/>
                <w:bCs/>
                <w:sz w:val="18"/>
                <w:szCs w:val="18"/>
                <w:lang w:eastAsia="zh-Hans"/>
              </w:rPr>
              <w:t>Fule Tablets</w:t>
            </w:r>
            <w:r>
              <w:rPr>
                <w:rFonts w:hint="eastAsia" w:ascii="Times New Roman" w:hAnsi="Times New Roman"/>
                <w:b/>
                <w:bCs/>
                <w:sz w:val="18"/>
                <w:szCs w:val="18"/>
                <w:lang w:val="en-US" w:eastAsia="zh-CN"/>
              </w:rPr>
              <w:t xml:space="preserve">: </w:t>
            </w:r>
            <w:r>
              <w:rPr>
                <w:rFonts w:hint="eastAsia" w:ascii="Times New Roman" w:hAnsi="Times New Roman"/>
                <w:b w:val="0"/>
                <w:bCs w:val="0"/>
                <w:sz w:val="18"/>
                <w:szCs w:val="18"/>
                <w:lang w:val="en-US" w:eastAsia="zh-CN"/>
              </w:rPr>
              <w:t xml:space="preserve">Its composition is as same as that of Fule grain, but the method for its preparation was not been searched. </w:t>
            </w:r>
          </w:p>
        </w:tc>
      </w:tr>
      <w:tr w14:paraId="29E7C6CA">
        <w:tblPrEx>
          <w:tblCellMar>
            <w:top w:w="0" w:type="dxa"/>
            <w:left w:w="108" w:type="dxa"/>
            <w:bottom w:w="0" w:type="dxa"/>
            <w:right w:w="108" w:type="dxa"/>
          </w:tblCellMar>
        </w:tblPrEx>
        <w:trPr>
          <w:trHeight w:val="284" w:hRule="atLeast"/>
        </w:trPr>
        <w:tc>
          <w:tcPr>
            <w:tcW w:w="1276" w:type="dxa"/>
          </w:tcPr>
          <w:p w14:paraId="149E10E7">
            <w:pPr>
              <w:rPr>
                <w:rFonts w:ascii="Times New Roman" w:hAnsi="Times New Roman"/>
                <w:b/>
                <w:bCs/>
                <w:sz w:val="18"/>
                <w:szCs w:val="18"/>
              </w:rPr>
            </w:pPr>
            <w:r>
              <w:rPr>
                <w:rFonts w:hint="default" w:ascii="Times New Roman Regular" w:hAnsi="Times New Roman Regular" w:eastAsia="宋体" w:cs="Times New Roman Regular"/>
                <w:b/>
                <w:bCs/>
                <w:sz w:val="20"/>
                <w:szCs w:val="20"/>
                <w:vertAlign w:val="baseline"/>
                <w:lang w:eastAsia="zh-Hans"/>
              </w:rPr>
              <w:t>Fuyanshu Capsule</w:t>
            </w:r>
          </w:p>
        </w:tc>
        <w:tc>
          <w:tcPr>
            <w:tcW w:w="2096" w:type="dxa"/>
          </w:tcPr>
          <w:p w14:paraId="430F42A7">
            <w:pPr>
              <w:jc w:val="left"/>
              <w:rPr>
                <w:rFonts w:hint="default" w:ascii="Times New Roman" w:hAnsi="Times New Roman"/>
                <w:sz w:val="18"/>
                <w:szCs w:val="18"/>
                <w:lang w:eastAsia="zh-CN"/>
              </w:rPr>
            </w:pPr>
            <w:r>
              <w:rPr>
                <w:rFonts w:hint="default" w:ascii="Times New Roman" w:hAnsi="Times New Roman"/>
                <w:sz w:val="18"/>
                <w:szCs w:val="18"/>
                <w:lang w:val="en-US" w:eastAsia="zh-CN"/>
              </w:rPr>
              <w:t>L</w:t>
            </w:r>
            <w:r>
              <w:rPr>
                <w:rFonts w:hint="default" w:ascii="Times New Roman" w:hAnsi="Times New Roman"/>
                <w:sz w:val="18"/>
                <w:szCs w:val="18"/>
                <w:lang w:eastAsia="zh-CN"/>
              </w:rPr>
              <w:t>onice</w:t>
            </w:r>
            <w:r>
              <w:rPr>
                <w:rFonts w:hint="default" w:ascii="Times New Roman" w:hAnsi="Times New Roman"/>
                <w:sz w:val="18"/>
                <w:szCs w:val="18"/>
                <w:lang w:val="en-US" w:eastAsia="zh-CN"/>
              </w:rPr>
              <w:t xml:space="preserve"> R</w:t>
            </w:r>
            <w:r>
              <w:rPr>
                <w:rFonts w:hint="default" w:ascii="Times New Roman" w:hAnsi="Times New Roman"/>
                <w:sz w:val="18"/>
                <w:szCs w:val="18"/>
                <w:lang w:eastAsia="zh-CN"/>
              </w:rPr>
              <w:t>aejaponica</w:t>
            </w:r>
            <w:r>
              <w:rPr>
                <w:rFonts w:hint="default" w:ascii="Times New Roman" w:hAnsi="Times New Roman"/>
                <w:sz w:val="18"/>
                <w:szCs w:val="18"/>
                <w:lang w:val="en-US" w:eastAsia="zh-CN"/>
              </w:rPr>
              <w:t xml:space="preserve"> C</w:t>
            </w:r>
            <w:r>
              <w:rPr>
                <w:rFonts w:hint="default" w:ascii="Times New Roman" w:hAnsi="Times New Roman"/>
                <w:sz w:val="18"/>
                <w:szCs w:val="18"/>
                <w:lang w:eastAsia="zh-CN"/>
              </w:rPr>
              <w:t xml:space="preserve">aulis, Sargentodoxae Caulis, Glycyrrhizae Radix Et Rhizoma, </w:t>
            </w:r>
          </w:p>
          <w:p w14:paraId="61900EB8">
            <w:pPr>
              <w:jc w:val="left"/>
              <w:rPr>
                <w:rFonts w:hint="default" w:ascii="Times New Roman" w:hAnsi="Times New Roman"/>
                <w:sz w:val="18"/>
                <w:szCs w:val="18"/>
              </w:rPr>
            </w:pPr>
            <w:r>
              <w:rPr>
                <w:rFonts w:hint="default" w:ascii="Times New Roman" w:hAnsi="Times New Roman"/>
                <w:sz w:val="18"/>
                <w:szCs w:val="18"/>
                <w:lang w:eastAsia="zh-CN"/>
              </w:rPr>
              <w:t xml:space="preserve">Isatidis Folium, </w:t>
            </w:r>
            <w:r>
              <w:rPr>
                <w:rFonts w:ascii="Times New Roman" w:hAnsi="Times New Roman"/>
                <w:sz w:val="18"/>
                <w:szCs w:val="18"/>
                <w:lang w:val="en-US" w:eastAsia="zh-CN"/>
              </w:rPr>
              <w:t>Dandelion</w:t>
            </w:r>
            <w:r>
              <w:rPr>
                <w:rFonts w:hint="default" w:ascii="Times New Roman" w:hAnsi="Times New Roman"/>
                <w:sz w:val="18"/>
                <w:szCs w:val="18"/>
                <w:lang w:eastAsia="zh-CN"/>
              </w:rPr>
              <w:t>, Moutan Cortex, Moutan Cortex, Salviae Miltiorrhizae Radix Et Rhizoma, Polygoni Cuspidati Rhizoma Et Radix, Toosendan Nfructus,  C</w:t>
            </w:r>
            <w:r>
              <w:rPr>
                <w:rFonts w:hint="default" w:ascii="Times New Roman" w:hAnsi="Times New Roman"/>
                <w:bCs/>
                <w:sz w:val="18"/>
                <w:szCs w:val="18"/>
                <w:lang w:eastAsia="zh-CN"/>
              </w:rPr>
              <w:t>orydalis Tuber</w:t>
            </w:r>
          </w:p>
        </w:tc>
        <w:tc>
          <w:tcPr>
            <w:tcW w:w="1522" w:type="dxa"/>
          </w:tcPr>
          <w:p w14:paraId="06BF0BE8">
            <w:pPr>
              <w:jc w:val="left"/>
              <w:rPr>
                <w:rFonts w:ascii="Times New Roman" w:hAnsi="Times New Roman"/>
                <w:sz w:val="18"/>
                <w:szCs w:val="18"/>
              </w:rPr>
            </w:pPr>
            <w:r>
              <w:rPr>
                <w:rFonts w:hint="eastAsia" w:ascii="Times New Roman" w:hAnsi="Times New Roman"/>
                <w:sz w:val="18"/>
                <w:szCs w:val="18"/>
              </w:rPr>
              <w:t>Clear heat and cool blood, activate blood and relieve pain</w:t>
            </w:r>
          </w:p>
        </w:tc>
        <w:tc>
          <w:tcPr>
            <w:tcW w:w="3634" w:type="dxa"/>
          </w:tcPr>
          <w:p w14:paraId="168CB0D2">
            <w:pPr>
              <w:jc w:val="left"/>
              <w:rPr>
                <w:rFonts w:ascii="Times New Roman" w:hAnsi="Times New Roman"/>
                <w:sz w:val="18"/>
                <w:szCs w:val="18"/>
              </w:rPr>
            </w:pPr>
            <w:r>
              <w:rPr>
                <w:rFonts w:hint="eastAsia" w:ascii="Times New Roman" w:hAnsi="Times New Roman"/>
                <w:sz w:val="18"/>
                <w:szCs w:val="18"/>
              </w:rPr>
              <w:t>It is used for women with a large amount of band due to humid heat bets, or accompanied by dull pain in the lower abdomen.</w:t>
            </w:r>
          </w:p>
        </w:tc>
        <w:tc>
          <w:tcPr>
            <w:tcW w:w="7229" w:type="dxa"/>
          </w:tcPr>
          <w:p w14:paraId="1DC06ACD">
            <w:pPr>
              <w:jc w:val="left"/>
              <w:rPr>
                <w:rFonts w:ascii="Times New Roman" w:hAnsi="Times New Roman"/>
                <w:sz w:val="18"/>
                <w:szCs w:val="18"/>
              </w:rPr>
            </w:pPr>
            <w:r>
              <w:rPr>
                <w:rFonts w:hint="eastAsia" w:ascii="Times New Roman" w:hAnsi="Times New Roman"/>
                <w:sz w:val="18"/>
                <w:szCs w:val="18"/>
              </w:rPr>
              <w:t>Above eleven flavors, Corydalis Tuber crushed into fine powder and set aside. Salviae Miltiorrhizae Radix et Rhizoma, Polygoni Cuspidati Rhizoma et Radix, Moutan Cortex plus ethanol, heat reflux extraction twice, each time for 2 hours, combine the extract, filter, the filtrate recovers ethanol and concentrates to a thick paste with a relative density of 1.36 (60 °C), for later use. The drug residue and the rest of Lonice Raejaponica Caulis and other seven flavors, add water decoction three times, the first time 2 hours, the second time 1.5 hours, the third time 1 hour, combined decoction, filter, filtrate reduced pressure concentrated to a relative density of 1.36 (60 ° C) thick paste, mixed with the above thick paste and Corydalis Tuber fine powder evenly, vacuum drying, crushing, made into granules, drying, into capsules.</w:t>
            </w:r>
          </w:p>
        </w:tc>
      </w:tr>
      <w:tr w14:paraId="07BD301C">
        <w:tblPrEx>
          <w:tblCellMar>
            <w:top w:w="0" w:type="dxa"/>
            <w:left w:w="108" w:type="dxa"/>
            <w:bottom w:w="0" w:type="dxa"/>
            <w:right w:w="108" w:type="dxa"/>
          </w:tblCellMar>
        </w:tblPrEx>
        <w:trPr>
          <w:trHeight w:val="284" w:hRule="atLeast"/>
        </w:trPr>
        <w:tc>
          <w:tcPr>
            <w:tcW w:w="1276" w:type="dxa"/>
          </w:tcPr>
          <w:p w14:paraId="0507D75A">
            <w:pPr>
              <w:rPr>
                <w:rFonts w:ascii="Times New Roman" w:hAnsi="Times New Roman"/>
                <w:b/>
                <w:bCs/>
                <w:sz w:val="18"/>
                <w:szCs w:val="18"/>
              </w:rPr>
            </w:pPr>
            <w:r>
              <w:rPr>
                <w:rFonts w:hint="default" w:ascii="Times New Roman Regular" w:hAnsi="Times New Roman Regular" w:eastAsia="宋体" w:cs="Times New Roman Regular"/>
                <w:b/>
                <w:bCs/>
                <w:sz w:val="20"/>
                <w:szCs w:val="20"/>
                <w:vertAlign w:val="baseline"/>
                <w:lang w:eastAsia="zh-Hans"/>
              </w:rPr>
              <w:t>Fuyan Kangfu Capsule</w:t>
            </w:r>
          </w:p>
        </w:tc>
        <w:tc>
          <w:tcPr>
            <w:tcW w:w="2096" w:type="dxa"/>
          </w:tcPr>
          <w:p w14:paraId="3B617E7A">
            <w:pPr>
              <w:jc w:val="left"/>
              <w:rPr>
                <w:rFonts w:hint="default" w:ascii="Times New Roman" w:hAnsi="Times New Roman"/>
                <w:sz w:val="18"/>
                <w:szCs w:val="18"/>
              </w:rPr>
            </w:pPr>
            <w:r>
              <w:rPr>
                <w:rFonts w:hint="default" w:ascii="Times New Roman" w:hAnsi="Times New Roman"/>
                <w:sz w:val="18"/>
                <w:szCs w:val="18"/>
                <w:lang w:eastAsia="zh-CN"/>
              </w:rPr>
              <w:t xml:space="preserve">Herba Patriniae, Semen Coicis, Toosendan Nfructus,  </w:t>
            </w:r>
            <w:r>
              <w:rPr>
                <w:rFonts w:hint="default" w:ascii="Times New Roman" w:hAnsi="Times New Roman"/>
                <w:sz w:val="18"/>
                <w:szCs w:val="18"/>
                <w:lang w:val="en-US" w:eastAsia="zh-CN"/>
              </w:rPr>
              <w:t>B</w:t>
            </w:r>
            <w:r>
              <w:rPr>
                <w:rFonts w:hint="default" w:ascii="Times New Roman" w:hAnsi="Times New Roman"/>
                <w:sz w:val="18"/>
                <w:szCs w:val="18"/>
                <w:lang w:eastAsia="zh-CN"/>
              </w:rPr>
              <w:t>upleuri Radix, Scutellariae Radix, Moutan Cortex, Citri Reticulatae Pericarpium</w:t>
            </w:r>
          </w:p>
        </w:tc>
        <w:tc>
          <w:tcPr>
            <w:tcW w:w="1522" w:type="dxa"/>
          </w:tcPr>
          <w:p w14:paraId="4460C28D">
            <w:pPr>
              <w:jc w:val="left"/>
              <w:rPr>
                <w:rFonts w:ascii="Times New Roman" w:hAnsi="Times New Roman"/>
                <w:sz w:val="18"/>
                <w:szCs w:val="18"/>
              </w:rPr>
            </w:pPr>
            <w:r>
              <w:rPr>
                <w:rFonts w:hint="eastAsia" w:ascii="Times New Roman" w:hAnsi="Times New Roman"/>
                <w:sz w:val="18"/>
                <w:szCs w:val="18"/>
              </w:rPr>
              <w:t>Clear heat and moisture, dissolve stasis and relieve pain</w:t>
            </w:r>
          </w:p>
        </w:tc>
        <w:tc>
          <w:tcPr>
            <w:tcW w:w="3634" w:type="dxa"/>
          </w:tcPr>
          <w:p w14:paraId="66ED9750">
            <w:pPr>
              <w:jc w:val="left"/>
              <w:rPr>
                <w:rFonts w:ascii="Times New Roman" w:hAnsi="Times New Roman"/>
                <w:sz w:val="18"/>
                <w:szCs w:val="18"/>
              </w:rPr>
            </w:pPr>
            <w:r>
              <w:rPr>
                <w:rFonts w:hint="eastAsia" w:ascii="Times New Roman" w:hAnsi="Times New Roman"/>
                <w:sz w:val="18"/>
                <w:szCs w:val="18"/>
              </w:rPr>
              <w:t>It is used for women with subcolor yellow viscous, or like bean dregs, odor, less abdomen, lumbosacral pain caused by moist heat stasis.</w:t>
            </w:r>
          </w:p>
        </w:tc>
        <w:tc>
          <w:tcPr>
            <w:tcW w:w="7229" w:type="dxa"/>
          </w:tcPr>
          <w:p w14:paraId="77F515E0">
            <w:pPr>
              <w:jc w:val="left"/>
              <w:rPr>
                <w:rFonts w:ascii="Times New Roman" w:hAnsi="Times New Roman"/>
                <w:sz w:val="18"/>
                <w:szCs w:val="18"/>
              </w:rPr>
            </w:pPr>
            <w:r>
              <w:rPr>
                <w:rFonts w:hint="eastAsia" w:ascii="Times New Roman" w:hAnsi="Times New Roman"/>
                <w:sz w:val="18"/>
                <w:szCs w:val="18"/>
              </w:rPr>
              <w:t>Above seven flavors, take half of the amount of Semen Coicis and crush it into fine powder or coarse powder, and set aside; The remaining Toosendan Nfructus and the rest of Semen Coicis and other six flavors are decocted three times with water, the first and second times are each 1 hour, the third time 0.5 hours, filtered, the filtrate is combined, concentrated to a clear paste with a relative density of 1.35~1.40 (60~80 °C), add Semen Coicis or Semen Coicis and an appropriate amount of starch, mix, dry, crush, sieve, put into capsules, and make 1000 capsules, which is obtained.</w:t>
            </w:r>
          </w:p>
        </w:tc>
      </w:tr>
      <w:tr w14:paraId="120C135B">
        <w:tblPrEx>
          <w:tblCellMar>
            <w:top w:w="0" w:type="dxa"/>
            <w:left w:w="108" w:type="dxa"/>
            <w:bottom w:w="0" w:type="dxa"/>
            <w:right w:w="108" w:type="dxa"/>
          </w:tblCellMar>
        </w:tblPrEx>
        <w:trPr>
          <w:trHeight w:val="284" w:hRule="atLeast"/>
        </w:trPr>
        <w:tc>
          <w:tcPr>
            <w:tcW w:w="1276" w:type="dxa"/>
          </w:tcPr>
          <w:p w14:paraId="5116BE54">
            <w:pPr>
              <w:rPr>
                <w:rFonts w:ascii="Times New Roman" w:hAnsi="Times New Roman"/>
                <w:b/>
                <w:bCs/>
                <w:sz w:val="18"/>
                <w:szCs w:val="18"/>
              </w:rPr>
            </w:pPr>
            <w:r>
              <w:rPr>
                <w:rFonts w:hint="default" w:ascii="Times New Roman Regular" w:hAnsi="Times New Roman Regular" w:eastAsia="宋体" w:cs="Times New Roman Regular"/>
                <w:b/>
                <w:bCs/>
                <w:sz w:val="20"/>
                <w:szCs w:val="20"/>
                <w:vertAlign w:val="baseline"/>
                <w:lang w:eastAsia="zh-Hans"/>
              </w:rPr>
              <w:t xml:space="preserve">Jinying </w:t>
            </w:r>
            <w:r>
              <w:rPr>
                <w:rFonts w:hint="eastAsia" w:ascii="Times New Roman Regular" w:hAnsi="Times New Roman Regular" w:cs="Times New Roman Regular"/>
                <w:b/>
                <w:bCs/>
                <w:sz w:val="20"/>
                <w:szCs w:val="20"/>
                <w:vertAlign w:val="baseline"/>
                <w:lang w:val="en-US" w:eastAsia="zh-CN"/>
              </w:rPr>
              <w:t>C</w:t>
            </w:r>
            <w:r>
              <w:rPr>
                <w:rFonts w:hint="default" w:ascii="Times New Roman Regular" w:hAnsi="Times New Roman Regular" w:eastAsia="宋体" w:cs="Times New Roman Regular"/>
                <w:b/>
                <w:bCs/>
                <w:sz w:val="20"/>
                <w:szCs w:val="20"/>
                <w:vertAlign w:val="baseline"/>
                <w:lang w:eastAsia="zh-Hans"/>
              </w:rPr>
              <w:t>apsule</w:t>
            </w:r>
          </w:p>
        </w:tc>
        <w:tc>
          <w:tcPr>
            <w:tcW w:w="2096" w:type="dxa"/>
          </w:tcPr>
          <w:p w14:paraId="28233192">
            <w:pPr>
              <w:jc w:val="left"/>
              <w:rPr>
                <w:rFonts w:hint="default" w:ascii="Times New Roman" w:hAnsi="Times New Roman"/>
                <w:sz w:val="18"/>
                <w:szCs w:val="18"/>
              </w:rPr>
            </w:pPr>
            <w:r>
              <w:rPr>
                <w:rFonts w:hint="default" w:ascii="Times New Roman" w:hAnsi="Times New Roman"/>
                <w:sz w:val="18"/>
                <w:szCs w:val="18"/>
                <w:lang w:val="en-US" w:eastAsia="zh-CN"/>
              </w:rPr>
              <w:t>L</w:t>
            </w:r>
            <w:r>
              <w:rPr>
                <w:rFonts w:hint="default" w:ascii="Times New Roman" w:hAnsi="Times New Roman"/>
                <w:sz w:val="18"/>
                <w:szCs w:val="18"/>
                <w:lang w:eastAsia="zh-CN"/>
              </w:rPr>
              <w:t>onicerae</w:t>
            </w:r>
            <w:r>
              <w:rPr>
                <w:rFonts w:hint="default" w:ascii="Times New Roman" w:hAnsi="Times New Roman"/>
                <w:sz w:val="18"/>
                <w:szCs w:val="18"/>
                <w:lang w:val="en-US" w:eastAsia="zh-CN"/>
              </w:rPr>
              <w:t xml:space="preserve"> J</w:t>
            </w:r>
            <w:r>
              <w:rPr>
                <w:rFonts w:hint="default" w:ascii="Times New Roman" w:hAnsi="Times New Roman"/>
                <w:sz w:val="18"/>
                <w:szCs w:val="18"/>
                <w:lang w:eastAsia="zh-CN"/>
              </w:rPr>
              <w:t>aponicae</w:t>
            </w:r>
            <w:r>
              <w:rPr>
                <w:rFonts w:hint="default" w:ascii="Times New Roman" w:hAnsi="Times New Roman"/>
                <w:sz w:val="18"/>
                <w:szCs w:val="18"/>
                <w:lang w:val="en-US" w:eastAsia="zh-CN"/>
              </w:rPr>
              <w:t xml:space="preserve"> F</w:t>
            </w:r>
            <w:r>
              <w:rPr>
                <w:rFonts w:hint="default" w:ascii="Times New Roman" w:hAnsi="Times New Roman"/>
                <w:sz w:val="18"/>
                <w:szCs w:val="18"/>
                <w:lang w:eastAsia="zh-CN"/>
              </w:rPr>
              <w:t xml:space="preserve">los, Phellodendri Amurensis Cortex, </w:t>
            </w:r>
            <w:r>
              <w:rPr>
                <w:rFonts w:ascii="Times New Roman" w:hAnsi="Times New Roman"/>
                <w:sz w:val="18"/>
                <w:szCs w:val="18"/>
                <w:lang w:val="en-US" w:eastAsia="zh-CN"/>
              </w:rPr>
              <w:t>Dandelion</w:t>
            </w:r>
            <w:r>
              <w:rPr>
                <w:rFonts w:hint="default" w:ascii="Times New Roman" w:hAnsi="Times New Roman"/>
                <w:sz w:val="18"/>
                <w:szCs w:val="18"/>
                <w:lang w:eastAsia="zh-CN"/>
              </w:rPr>
              <w:t>, Violae Herba, Chrysanthemi Indici Flos, Atractylodis Rhizoma, Paeonia Veitchii Lynch, C</w:t>
            </w:r>
            <w:r>
              <w:rPr>
                <w:rFonts w:hint="default" w:ascii="Times New Roman" w:hAnsi="Times New Roman"/>
                <w:bCs/>
                <w:sz w:val="18"/>
                <w:szCs w:val="18"/>
                <w:lang w:eastAsia="zh-CN"/>
              </w:rPr>
              <w:t xml:space="preserve">orydalis Tuber, </w:t>
            </w:r>
            <w:r>
              <w:rPr>
                <w:rFonts w:hint="default" w:ascii="Times New Roman" w:hAnsi="Times New Roman"/>
                <w:sz w:val="18"/>
                <w:szCs w:val="18"/>
                <w:lang w:eastAsia="zh-CN"/>
              </w:rPr>
              <w:t xml:space="preserve">Radix Et Rhizoma, </w:t>
            </w:r>
            <w:r>
              <w:rPr>
                <w:rFonts w:hint="default" w:ascii="Times New Roman" w:hAnsi="Times New Roman"/>
                <w:sz w:val="18"/>
                <w:szCs w:val="18"/>
                <w:lang w:val="en-US" w:eastAsia="zh-CN"/>
              </w:rPr>
              <w:t>G</w:t>
            </w:r>
            <w:r>
              <w:rPr>
                <w:rFonts w:hint="default" w:ascii="Times New Roman" w:hAnsi="Times New Roman"/>
                <w:sz w:val="18"/>
                <w:szCs w:val="18"/>
                <w:lang w:eastAsia="zh-CN"/>
              </w:rPr>
              <w:t>leditsiae</w:t>
            </w:r>
            <w:r>
              <w:rPr>
                <w:rFonts w:hint="default" w:ascii="Times New Roman" w:hAnsi="Times New Roman"/>
                <w:sz w:val="18"/>
                <w:szCs w:val="18"/>
                <w:lang w:val="en-US" w:eastAsia="zh-CN"/>
              </w:rPr>
              <w:t xml:space="preserve"> S</w:t>
            </w:r>
            <w:r>
              <w:rPr>
                <w:rFonts w:hint="default" w:ascii="Times New Roman" w:hAnsi="Times New Roman"/>
                <w:sz w:val="18"/>
                <w:szCs w:val="18"/>
                <w:lang w:eastAsia="zh-CN"/>
              </w:rPr>
              <w:t>pina</w:t>
            </w:r>
          </w:p>
        </w:tc>
        <w:tc>
          <w:tcPr>
            <w:tcW w:w="1522" w:type="dxa"/>
          </w:tcPr>
          <w:p w14:paraId="3120B8C0">
            <w:pPr>
              <w:jc w:val="left"/>
              <w:rPr>
                <w:rFonts w:ascii="Times New Roman" w:hAnsi="Times New Roman"/>
                <w:sz w:val="18"/>
                <w:szCs w:val="18"/>
              </w:rPr>
            </w:pPr>
            <w:r>
              <w:rPr>
                <w:rFonts w:hint="eastAsia" w:ascii="Times New Roman" w:hAnsi="Times New Roman"/>
                <w:sz w:val="18"/>
                <w:szCs w:val="18"/>
              </w:rPr>
              <w:t>Clear heat and detoxify, remove dampness and stop banding</w:t>
            </w:r>
          </w:p>
        </w:tc>
        <w:tc>
          <w:tcPr>
            <w:tcW w:w="3634" w:type="dxa"/>
          </w:tcPr>
          <w:p w14:paraId="6615A260">
            <w:pPr>
              <w:jc w:val="left"/>
              <w:rPr>
                <w:rFonts w:ascii="Times New Roman" w:hAnsi="Times New Roman"/>
                <w:sz w:val="18"/>
                <w:szCs w:val="18"/>
              </w:rPr>
            </w:pPr>
            <w:r>
              <w:rPr>
                <w:rFonts w:hint="eastAsia" w:ascii="Times New Roman" w:hAnsi="Times New Roman"/>
                <w:sz w:val="18"/>
                <w:szCs w:val="18"/>
              </w:rPr>
              <w:t>For chronic pelvic inflammatory disease, Chinese medicine dialectical is humid heat evidence, symptoms include lower abdomen, lumbosacral swelling pain and discomfort, vaginal discharge amount, thick yellow color, or accompanied by low-grade fever ups and downs, fatigue, aggravated premenstrual abdominal pain, heavy menstrual bleeding or prolonged menstruation, yellow urine, yellow tongue.</w:t>
            </w:r>
          </w:p>
        </w:tc>
        <w:tc>
          <w:tcPr>
            <w:tcW w:w="7229" w:type="dxa"/>
          </w:tcPr>
          <w:p w14:paraId="303E038A">
            <w:pPr>
              <w:jc w:val="left"/>
              <w:rPr>
                <w:rFonts w:ascii="Times New Roman" w:hAnsi="Times New Roman"/>
                <w:sz w:val="18"/>
                <w:szCs w:val="18"/>
              </w:rPr>
            </w:pPr>
            <w:r>
              <w:rPr>
                <w:rFonts w:hint="eastAsia" w:ascii="Times New Roman" w:hAnsi="Times New Roman"/>
                <w:b w:val="0"/>
                <w:bCs w:val="0"/>
                <w:sz w:val="18"/>
                <w:szCs w:val="18"/>
                <w:lang w:val="en-US" w:eastAsia="zh-CN"/>
              </w:rPr>
              <w:t>The method for its preparation was not been searched.</w:t>
            </w:r>
          </w:p>
        </w:tc>
      </w:tr>
      <w:tr w14:paraId="1AA50C7E">
        <w:tblPrEx>
          <w:tblCellMar>
            <w:top w:w="0" w:type="dxa"/>
            <w:left w:w="108" w:type="dxa"/>
            <w:bottom w:w="0" w:type="dxa"/>
            <w:right w:w="108" w:type="dxa"/>
          </w:tblCellMar>
        </w:tblPrEx>
        <w:trPr>
          <w:trHeight w:val="284" w:hRule="atLeast"/>
        </w:trPr>
        <w:tc>
          <w:tcPr>
            <w:tcW w:w="1276" w:type="dxa"/>
            <w:tcBorders>
              <w:bottom w:val="single" w:color="auto" w:sz="12" w:space="0"/>
            </w:tcBorders>
          </w:tcPr>
          <w:p w14:paraId="46B55D95">
            <w:pPr>
              <w:rPr>
                <w:rFonts w:ascii="Times New Roman" w:hAnsi="Times New Roman"/>
                <w:b/>
                <w:bCs/>
                <w:sz w:val="18"/>
                <w:szCs w:val="18"/>
              </w:rPr>
            </w:pPr>
            <w:r>
              <w:rPr>
                <w:rFonts w:hint="default" w:ascii="Times New Roman Regular" w:hAnsi="Times New Roman Regular" w:eastAsia="宋体" w:cs="Times New Roman Regular"/>
                <w:b/>
                <w:bCs/>
                <w:sz w:val="20"/>
                <w:szCs w:val="20"/>
                <w:vertAlign w:val="baseline"/>
                <w:lang w:eastAsia="zh-Hans"/>
              </w:rPr>
              <w:t>Penyanjing Oral Solution/</w:t>
            </w:r>
            <w:r>
              <w:rPr>
                <w:rFonts w:hint="eastAsia" w:ascii="Times New Roman Regular" w:hAnsi="Times New Roman Regular" w:cs="Times New Roman Regular"/>
                <w:b/>
                <w:bCs/>
                <w:sz w:val="20"/>
                <w:szCs w:val="20"/>
                <w:vertAlign w:val="baseline"/>
                <w:lang w:val="en-US" w:eastAsia="zh-CN"/>
              </w:rPr>
              <w:t>C</w:t>
            </w:r>
            <w:r>
              <w:rPr>
                <w:rFonts w:hint="default" w:ascii="Times New Roman Regular" w:hAnsi="Times New Roman Regular" w:eastAsia="宋体" w:cs="Times New Roman Regular"/>
                <w:b/>
                <w:bCs/>
                <w:sz w:val="20"/>
                <w:szCs w:val="20"/>
                <w:vertAlign w:val="baseline"/>
                <w:lang w:eastAsia="zh-Hans"/>
              </w:rPr>
              <w:t>apsule</w:t>
            </w:r>
          </w:p>
        </w:tc>
        <w:tc>
          <w:tcPr>
            <w:tcW w:w="2096" w:type="dxa"/>
            <w:tcBorders>
              <w:bottom w:val="single" w:color="auto" w:sz="12" w:space="0"/>
            </w:tcBorders>
          </w:tcPr>
          <w:p w14:paraId="52B9BF6F">
            <w:pPr>
              <w:jc w:val="left"/>
              <w:rPr>
                <w:rFonts w:hint="default" w:ascii="Times New Roman" w:hAnsi="Times New Roman"/>
                <w:bCs/>
                <w:sz w:val="18"/>
                <w:szCs w:val="18"/>
                <w:lang w:eastAsia="zh-CN"/>
              </w:rPr>
            </w:pPr>
            <w:r>
              <w:rPr>
                <w:rFonts w:hint="default" w:ascii="Times New Roman" w:hAnsi="Times New Roman"/>
                <w:sz w:val="18"/>
                <w:szCs w:val="18"/>
                <w:lang w:val="en-US" w:eastAsia="zh-CN"/>
              </w:rPr>
              <w:t>L</w:t>
            </w:r>
            <w:r>
              <w:rPr>
                <w:rFonts w:hint="default" w:ascii="Times New Roman" w:hAnsi="Times New Roman"/>
                <w:sz w:val="18"/>
                <w:szCs w:val="18"/>
                <w:lang w:eastAsia="zh-CN"/>
              </w:rPr>
              <w:t>onice</w:t>
            </w:r>
            <w:r>
              <w:rPr>
                <w:rFonts w:hint="default" w:ascii="Times New Roman" w:hAnsi="Times New Roman"/>
                <w:sz w:val="18"/>
                <w:szCs w:val="18"/>
                <w:lang w:val="en-US" w:eastAsia="zh-CN"/>
              </w:rPr>
              <w:t xml:space="preserve"> R</w:t>
            </w:r>
            <w:r>
              <w:rPr>
                <w:rFonts w:hint="default" w:ascii="Times New Roman" w:hAnsi="Times New Roman"/>
                <w:sz w:val="18"/>
                <w:szCs w:val="18"/>
                <w:lang w:eastAsia="zh-CN"/>
              </w:rPr>
              <w:t>aejaponica</w:t>
            </w:r>
            <w:r>
              <w:rPr>
                <w:rFonts w:hint="default" w:ascii="Times New Roman" w:hAnsi="Times New Roman"/>
                <w:sz w:val="18"/>
                <w:szCs w:val="18"/>
                <w:lang w:val="en-US" w:eastAsia="zh-CN"/>
              </w:rPr>
              <w:t xml:space="preserve"> C</w:t>
            </w:r>
            <w:r>
              <w:rPr>
                <w:rFonts w:hint="default" w:ascii="Times New Roman" w:hAnsi="Times New Roman"/>
                <w:sz w:val="18"/>
                <w:szCs w:val="18"/>
                <w:lang w:eastAsia="zh-CN"/>
              </w:rPr>
              <w:t xml:space="preserve">aulis, </w:t>
            </w:r>
            <w:r>
              <w:rPr>
                <w:rFonts w:hint="default" w:ascii="Times New Roman" w:hAnsi="Times New Roman"/>
                <w:bCs/>
                <w:sz w:val="18"/>
                <w:szCs w:val="18"/>
                <w:lang w:eastAsia="zh-CN"/>
              </w:rPr>
              <w:t xml:space="preserve">Caulis Spatholobi, Cibotiirhizoma, </w:t>
            </w:r>
            <w:r>
              <w:rPr>
                <w:rFonts w:ascii="Times New Roman" w:hAnsi="Times New Roman"/>
                <w:sz w:val="18"/>
                <w:szCs w:val="18"/>
                <w:lang w:val="en-US" w:eastAsia="zh-CN"/>
              </w:rPr>
              <w:t>Dandelion</w:t>
            </w:r>
            <w:r>
              <w:rPr>
                <w:rFonts w:hint="default" w:ascii="Times New Roman" w:hAnsi="Times New Roman"/>
                <w:sz w:val="18"/>
                <w:szCs w:val="18"/>
                <w:lang w:eastAsia="zh-CN"/>
              </w:rPr>
              <w:t xml:space="preserve">, Leonuri Herba, Plantaginis Herba, Paeonia Veitchii Lynch, </w:t>
            </w:r>
            <w:r>
              <w:rPr>
                <w:rFonts w:hint="default" w:ascii="Times New Roman" w:hAnsi="Times New Roman"/>
                <w:bCs/>
                <w:sz w:val="18"/>
                <w:szCs w:val="18"/>
                <w:lang w:eastAsia="zh-CN"/>
              </w:rPr>
              <w:t xml:space="preserve">Ligusticum Wallichii, </w:t>
            </w:r>
          </w:p>
          <w:p w14:paraId="7ACFB9A1">
            <w:pPr>
              <w:jc w:val="left"/>
              <w:rPr>
                <w:rFonts w:hint="default" w:ascii="Times New Roman" w:hAnsi="Times New Roman"/>
                <w:sz w:val="18"/>
                <w:szCs w:val="18"/>
              </w:rPr>
            </w:pPr>
          </w:p>
        </w:tc>
        <w:tc>
          <w:tcPr>
            <w:tcW w:w="1522" w:type="dxa"/>
            <w:tcBorders>
              <w:bottom w:val="single" w:color="auto" w:sz="12" w:space="0"/>
            </w:tcBorders>
          </w:tcPr>
          <w:p w14:paraId="2BDFEBA5">
            <w:pPr>
              <w:jc w:val="left"/>
              <w:rPr>
                <w:rFonts w:ascii="Times New Roman" w:hAnsi="Times New Roman"/>
                <w:sz w:val="18"/>
                <w:szCs w:val="18"/>
              </w:rPr>
            </w:pPr>
            <w:r>
              <w:rPr>
                <w:rFonts w:hint="eastAsia" w:ascii="Times New Roman" w:hAnsi="Times New Roman"/>
                <w:sz w:val="18"/>
                <w:szCs w:val="18"/>
              </w:rPr>
              <w:t>Clear heat and dampness, and blood circulation, regulate menstruation and stop banding</w:t>
            </w:r>
          </w:p>
        </w:tc>
        <w:tc>
          <w:tcPr>
            <w:tcW w:w="3634" w:type="dxa"/>
            <w:tcBorders>
              <w:bottom w:val="single" w:color="auto" w:sz="12" w:space="0"/>
            </w:tcBorders>
          </w:tcPr>
          <w:p w14:paraId="1C9D120C">
            <w:pPr>
              <w:jc w:val="left"/>
              <w:rPr>
                <w:rFonts w:ascii="Times New Roman" w:hAnsi="Times New Roman"/>
                <w:sz w:val="18"/>
                <w:szCs w:val="18"/>
              </w:rPr>
            </w:pPr>
            <w:r>
              <w:rPr>
                <w:rFonts w:hint="eastAsia" w:ascii="Times New Roman" w:hAnsi="Times New Roman"/>
                <w:sz w:val="18"/>
                <w:szCs w:val="18"/>
              </w:rPr>
              <w:t>It is used for hot and humid bets, excessive vaginal discharge, pelvic inflammatory disease see the above symptoms</w:t>
            </w:r>
          </w:p>
        </w:tc>
        <w:tc>
          <w:tcPr>
            <w:tcW w:w="7229" w:type="dxa"/>
            <w:tcBorders>
              <w:bottom w:val="single" w:color="auto" w:sz="12" w:space="0"/>
            </w:tcBorders>
          </w:tcPr>
          <w:p w14:paraId="5435F6B0">
            <w:pPr>
              <w:jc w:val="left"/>
              <w:rPr>
                <w:rFonts w:hint="default" w:ascii="Times New Roman" w:hAnsi="Times New Roman"/>
                <w:sz w:val="18"/>
                <w:szCs w:val="18"/>
                <w:lang w:eastAsia="zh-Hans"/>
              </w:rPr>
            </w:pPr>
            <w:r>
              <w:rPr>
                <w:rFonts w:hint="default" w:ascii="Times New Roman" w:hAnsi="Times New Roman"/>
                <w:sz w:val="18"/>
                <w:szCs w:val="18"/>
                <w:lang w:eastAsia="zh-Hans"/>
              </w:rPr>
              <w:t>Penyanjing Oral Solution: The above eight flavor medicinal materials were mixed well, decocted twice with water, each time for 2 hours, the decoction was combined, filtered, the filtrate was concentrated to a relative density of 1.25 (90 °C), ethanol was added to make the alcohol content of 65%, stirred well, stood for 12 hours, filtered the supernatant, and recovered the ethanol to a relative density of 1.30 (60 ~ 65 °C) clear paste. Take sucrose, sodium benzoate, add an appropriate amount of water, dissolve, filter, mix well with the above concentrate, add an appropriate amount of purified water, make 1000ml, stir well, pott, sterilize, and obtain.</w:t>
            </w:r>
          </w:p>
          <w:p w14:paraId="3A0CAE0D">
            <w:pPr>
              <w:jc w:val="left"/>
              <w:rPr>
                <w:rFonts w:hint="eastAsia" w:ascii="Times New Roman" w:hAnsi="Times New Roman" w:eastAsia="宋体"/>
                <w:sz w:val="18"/>
                <w:szCs w:val="18"/>
                <w:lang w:val="en-US" w:eastAsia="zh-CN"/>
              </w:rPr>
            </w:pPr>
            <w:r>
              <w:rPr>
                <w:rFonts w:hint="default" w:ascii="Times New Roman" w:hAnsi="Times New Roman"/>
                <w:sz w:val="18"/>
                <w:szCs w:val="18"/>
                <w:lang w:eastAsia="zh-Hans"/>
              </w:rPr>
              <w:t xml:space="preserve">Penyanjing </w:t>
            </w:r>
            <w:r>
              <w:rPr>
                <w:rFonts w:hint="eastAsia" w:ascii="Times New Roman" w:hAnsi="Times New Roman"/>
                <w:sz w:val="18"/>
                <w:szCs w:val="18"/>
                <w:lang w:val="en-US" w:eastAsia="zh-CN"/>
              </w:rPr>
              <w:t>C</w:t>
            </w:r>
            <w:r>
              <w:rPr>
                <w:rFonts w:hint="default" w:ascii="Times New Roman" w:hAnsi="Times New Roman"/>
                <w:sz w:val="18"/>
                <w:szCs w:val="18"/>
                <w:lang w:eastAsia="zh-Hans"/>
              </w:rPr>
              <w:t xml:space="preserve">apsule: </w:t>
            </w:r>
            <w:r>
              <w:rPr>
                <w:rFonts w:hint="eastAsia" w:ascii="Times New Roman" w:hAnsi="Times New Roman"/>
                <w:sz w:val="18"/>
                <w:szCs w:val="18"/>
                <w:lang w:eastAsia="zh-Hans"/>
              </w:rPr>
              <w:t>Add water to decoction the above herbs twice, each time for 2 hours; The decoction is combined, filtered, and the filtrate is concentrated under reduced pressure to be relative Thick paste with a density of 1.25 (heat measurement at 90 °C), put it at room temperature, add ethanol to make the alcohol content of the liquid 65%, stir well, stand for 12 hours, filter the supernatant, recover ethanol and concentrate to a thick paste with a relative density of 1.30 (60-65 °C heat measurement) under reduced pressure, add micronized silica gel and starch to mix well, vacuum dry</w:t>
            </w:r>
            <w:r>
              <w:rPr>
                <w:rFonts w:hint="eastAsia" w:ascii="Times New Roman" w:hAnsi="Times New Roman"/>
                <w:sz w:val="18"/>
                <w:szCs w:val="18"/>
              </w:rPr>
              <w:t>, take out the dry paste, crush into fine powder, mix well, and put capsules</w:t>
            </w:r>
            <w:r>
              <w:rPr>
                <w:rFonts w:hint="eastAsia" w:ascii="Times New Roman" w:hAnsi="Times New Roman"/>
                <w:sz w:val="18"/>
                <w:szCs w:val="18"/>
                <w:lang w:val="en-US" w:eastAsia="zh-CN"/>
              </w:rPr>
              <w:t>.</w:t>
            </w:r>
          </w:p>
        </w:tc>
      </w:tr>
    </w:tbl>
    <w:p w14:paraId="0CEC5F62">
      <w:pPr>
        <w:rPr>
          <w:rFonts w:ascii="Times New Roman" w:hAnsi="Times New Roman"/>
          <w:sz w:val="18"/>
          <w:szCs w:val="18"/>
        </w:rPr>
      </w:pPr>
    </w:p>
    <w:sectPr>
      <w:pgSz w:w="23811" w:h="16837"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Times New Roman Regular">
    <w:altName w:val="Times New Roman"/>
    <w:panose1 w:val="02020603050405020304"/>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ExNzM5YmQ2NDYwNDgyNjU0ZGUxZjZlYTZiNzM5YmYifQ=="/>
  </w:docVars>
  <w:rsids>
    <w:rsidRoot w:val="00B86B2D"/>
    <w:rsid w:val="000558B4"/>
    <w:rsid w:val="000D4225"/>
    <w:rsid w:val="000F6E59"/>
    <w:rsid w:val="00166C8D"/>
    <w:rsid w:val="002854E1"/>
    <w:rsid w:val="002A37C1"/>
    <w:rsid w:val="002C5275"/>
    <w:rsid w:val="004665E0"/>
    <w:rsid w:val="00467D91"/>
    <w:rsid w:val="004A670B"/>
    <w:rsid w:val="004F5313"/>
    <w:rsid w:val="005057BB"/>
    <w:rsid w:val="00522E84"/>
    <w:rsid w:val="005916B8"/>
    <w:rsid w:val="005D1BB6"/>
    <w:rsid w:val="005E58AA"/>
    <w:rsid w:val="00623179"/>
    <w:rsid w:val="00627A15"/>
    <w:rsid w:val="007B04C9"/>
    <w:rsid w:val="007F1542"/>
    <w:rsid w:val="00825233"/>
    <w:rsid w:val="009D00ED"/>
    <w:rsid w:val="00A8618B"/>
    <w:rsid w:val="00B11A55"/>
    <w:rsid w:val="00B86B2D"/>
    <w:rsid w:val="00DA03B6"/>
    <w:rsid w:val="00DF59E9"/>
    <w:rsid w:val="00E24B22"/>
    <w:rsid w:val="00EC27B3"/>
    <w:rsid w:val="00EC28FD"/>
    <w:rsid w:val="00F3235F"/>
    <w:rsid w:val="00F95CED"/>
    <w:rsid w:val="100A4108"/>
    <w:rsid w:val="134F4DBA"/>
    <w:rsid w:val="1535519D"/>
    <w:rsid w:val="16B74615"/>
    <w:rsid w:val="2DB9081B"/>
    <w:rsid w:val="2ED14396"/>
    <w:rsid w:val="2EFD45C3"/>
    <w:rsid w:val="38B642D4"/>
    <w:rsid w:val="3B7956A4"/>
    <w:rsid w:val="420662CD"/>
    <w:rsid w:val="46570022"/>
    <w:rsid w:val="554A6079"/>
    <w:rsid w:val="57634C77"/>
    <w:rsid w:val="57E99F02"/>
    <w:rsid w:val="598D4786"/>
    <w:rsid w:val="664C20A9"/>
    <w:rsid w:val="6DB14A8F"/>
    <w:rsid w:val="71EA1913"/>
    <w:rsid w:val="77FF1B24"/>
    <w:rsid w:val="7AD5EA9A"/>
    <w:rsid w:val="7B2B6862"/>
    <w:rsid w:val="7FEDEA1D"/>
    <w:rsid w:val="AFDFEE3F"/>
    <w:rsid w:val="E1FAA4CD"/>
    <w:rsid w:val="F7BB9B29"/>
    <w:rsid w:val="FBF1E3AE"/>
    <w:rsid w:val="FEFF4EFD"/>
    <w:rsid w:val="FFEE08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next w:val="1"/>
    <w:link w:val="9"/>
    <w:qFormat/>
    <w:uiPriority w:val="9"/>
    <w:pPr>
      <w:keepNext/>
      <w:keepLines/>
      <w:pBdr>
        <w:bottom w:val="single" w:color="D9E2F3" w:themeColor="accent1" w:themeTint="33" w:sz="8" w:space="0"/>
      </w:pBdr>
      <w:spacing w:after="200" w:line="300" w:lineRule="auto"/>
      <w:outlineLvl w:val="0"/>
    </w:pPr>
    <w:rPr>
      <w:rFonts w:eastAsia="Microsoft YaHei UI" w:asciiTheme="majorHAnsi" w:hAnsiTheme="majorHAnsi" w:cstheme="majorBidi"/>
      <w:color w:val="4472C4" w:themeColor="accent1"/>
      <w:kern w:val="0"/>
      <w:sz w:val="36"/>
      <w:szCs w:val="36"/>
      <w:lang w:val="en-US" w:eastAsia="ja-JP" w:bidi="ar-SA"/>
      <w14:textFill>
        <w14:solidFill>
          <w14:schemeClr w14:val="accent1"/>
        </w14:solidFill>
      </w14:textFill>
    </w:rPr>
  </w:style>
  <w:style w:type="paragraph" w:styleId="3">
    <w:name w:val="heading 2"/>
    <w:next w:val="1"/>
    <w:link w:val="10"/>
    <w:unhideWhenUsed/>
    <w:qFormat/>
    <w:uiPriority w:val="9"/>
    <w:pPr>
      <w:keepNext/>
      <w:keepLines/>
      <w:spacing w:before="120" w:after="120"/>
      <w:outlineLvl w:val="1"/>
    </w:pPr>
    <w:rPr>
      <w:rFonts w:eastAsia="Microsoft YaHei UI" w:asciiTheme="minorHAnsi" w:hAnsiTheme="minorHAnsi" w:cstheme="minorBidi"/>
      <w:b/>
      <w:bCs/>
      <w:color w:val="44546A" w:themeColor="text2"/>
      <w:kern w:val="0"/>
      <w:sz w:val="26"/>
      <w:szCs w:val="26"/>
      <w:lang w:val="en-US" w:eastAsia="ja-JP" w:bidi="ar-SA"/>
      <w14:textFill>
        <w14:solidFill>
          <w14:schemeClr w14:val="tx2"/>
        </w14:solidFill>
      </w14:textFill>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Emphasis"/>
    <w:basedOn w:val="7"/>
    <w:qFormat/>
    <w:uiPriority w:val="20"/>
    <w:rPr>
      <w:i/>
    </w:rPr>
  </w:style>
  <w:style w:type="character" w:customStyle="1" w:styleId="9">
    <w:name w:val="标题 1 字符"/>
    <w:basedOn w:val="7"/>
    <w:link w:val="2"/>
    <w:qFormat/>
    <w:uiPriority w:val="9"/>
    <w:rPr>
      <w:rFonts w:eastAsia="Microsoft YaHei UI" w:asciiTheme="majorHAnsi" w:hAnsiTheme="majorHAnsi" w:cstheme="majorBidi"/>
      <w:color w:val="4472C4" w:themeColor="accent1"/>
      <w:kern w:val="0"/>
      <w:sz w:val="36"/>
      <w:szCs w:val="36"/>
      <w:lang w:eastAsia="ja-JP"/>
      <w14:textFill>
        <w14:solidFill>
          <w14:schemeClr w14:val="accent1"/>
        </w14:solidFill>
      </w14:textFill>
    </w:rPr>
  </w:style>
  <w:style w:type="character" w:customStyle="1" w:styleId="10">
    <w:name w:val="标题 2 字符"/>
    <w:basedOn w:val="7"/>
    <w:link w:val="3"/>
    <w:qFormat/>
    <w:uiPriority w:val="9"/>
    <w:rPr>
      <w:rFonts w:eastAsia="Microsoft YaHei UI"/>
      <w:b/>
      <w:bCs/>
      <w:color w:val="44546A" w:themeColor="text2"/>
      <w:kern w:val="0"/>
      <w:sz w:val="26"/>
      <w:szCs w:val="26"/>
      <w:lang w:eastAsia="ja-JP"/>
      <w14:textFill>
        <w14:solidFill>
          <w14:schemeClr w14:val="tx2"/>
        </w14:solidFill>
      </w14:textFill>
    </w:rPr>
  </w:style>
  <w:style w:type="character" w:customStyle="1" w:styleId="11">
    <w:name w:val="页眉 字符"/>
    <w:basedOn w:val="7"/>
    <w:link w:val="5"/>
    <w:qFormat/>
    <w:uiPriority w:val="99"/>
    <w:rPr>
      <w:rFonts w:ascii="Calibri" w:hAnsi="Calibri" w:eastAsia="宋体" w:cs="Times New Roman"/>
      <w:sz w:val="18"/>
      <w:szCs w:val="18"/>
    </w:rPr>
  </w:style>
  <w:style w:type="character" w:customStyle="1" w:styleId="12">
    <w:name w:val="页脚 字符"/>
    <w:basedOn w:val="7"/>
    <w:link w:val="4"/>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2147</Words>
  <Characters>12341</Characters>
  <Lines>398</Lines>
  <Paragraphs>342</Paragraphs>
  <TotalTime>15</TotalTime>
  <ScaleCrop>false</ScaleCrop>
  <LinksUpToDate>false</LinksUpToDate>
  <CharactersWithSpaces>14418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2023-01-07T18:17:00Z</dcterms:created>
  <dc:creator>城利 宾</dc:creator>
  <cp:lastModifiedBy>Windows </cp:lastModifiedBy>
  <dcterms:modified xsi:type="dcterms:W3CDTF">2025-03-07T01:27:27Z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f137421e-0e54-4568-84b0-c7dfe3713af5</vt:lpwstr>
  </property>
  <property fmtid="{D5CDD505-2E9C-101B-9397-08002B2CF9AE}" pid="3" name="KSOProductBuildVer">
    <vt:lpwstr>2052-12.1.0.20305</vt:lpwstr>
  </property>
  <property fmtid="{D5CDD505-2E9C-101B-9397-08002B2CF9AE}" pid="4" name="ICV">
    <vt:lpwstr>B8E58D82C54A11A86F582464CDC9DF83_42</vt:lpwstr>
  </property>
  <property fmtid="{D5CDD505-2E9C-101B-9397-08002B2CF9AE}" pid="5" name="KSOTemplateDocerSaveRecord">
    <vt:lpwstr>eyJoZGlkIjoiZGExNzM5YmQ2NDYwNDgyNjU0ZGUxZjZlYTZiNzM5YmYiLCJ1c2VySWQiOiIzMDQ4NDI5OTEifQ==</vt:lpwstr>
  </property>
</Properties>
</file>