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372" w:rsidRPr="00C57763" w:rsidRDefault="00766372" w:rsidP="00766372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766372" w:rsidRPr="00DE2B89" w:rsidRDefault="00766372" w:rsidP="00DE2B8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E2B89">
        <w:rPr>
          <w:rFonts w:asciiTheme="majorBidi" w:hAnsiTheme="majorBidi" w:cstheme="majorBidi"/>
          <w:b/>
          <w:bCs/>
          <w:sz w:val="28"/>
          <w:szCs w:val="28"/>
        </w:rPr>
        <w:t>Differentiation of ASCs to Osteocytes</w:t>
      </w:r>
    </w:p>
    <w:p w:rsidR="00766372" w:rsidRDefault="00766372" w:rsidP="00766372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C57763">
        <w:rPr>
          <w:rFonts w:asciiTheme="majorBidi" w:hAnsiTheme="majorBidi" w:cstheme="majorBidi"/>
          <w:sz w:val="24"/>
          <w:szCs w:val="24"/>
        </w:rPr>
        <w:t xml:space="preserve">Cells were </w:t>
      </w:r>
      <w:r>
        <w:rPr>
          <w:rFonts w:asciiTheme="majorBidi" w:hAnsiTheme="majorBidi" w:cstheme="majorBidi"/>
          <w:sz w:val="24"/>
          <w:szCs w:val="24"/>
        </w:rPr>
        <w:t>detached</w:t>
      </w:r>
      <w:r w:rsidRPr="00C57763">
        <w:rPr>
          <w:rFonts w:asciiTheme="majorBidi" w:hAnsiTheme="majorBidi" w:cstheme="majorBidi"/>
          <w:sz w:val="24"/>
          <w:szCs w:val="24"/>
        </w:rPr>
        <w:t xml:space="preserve"> after </w:t>
      </w:r>
      <w:r>
        <w:rPr>
          <w:rFonts w:asciiTheme="majorBidi" w:hAnsiTheme="majorBidi" w:cstheme="majorBidi"/>
          <w:sz w:val="24"/>
          <w:szCs w:val="24"/>
        </w:rPr>
        <w:t>using</w:t>
      </w:r>
      <w:r w:rsidRPr="00C57763">
        <w:rPr>
          <w:rFonts w:asciiTheme="majorBidi" w:hAnsiTheme="majorBidi" w:cstheme="majorBidi"/>
          <w:sz w:val="24"/>
          <w:szCs w:val="24"/>
        </w:rPr>
        <w:t xml:space="preserve"> trypsin + EDTA solution (Gibco, Life Technologies). Then</w:t>
      </w:r>
      <w:r>
        <w:rPr>
          <w:rFonts w:asciiTheme="majorBidi" w:hAnsiTheme="majorBidi" w:cstheme="majorBidi"/>
          <w:sz w:val="24"/>
          <w:szCs w:val="24"/>
        </w:rPr>
        <w:t>,</w:t>
      </w:r>
      <w:r w:rsidRPr="00C57763">
        <w:rPr>
          <w:rFonts w:asciiTheme="majorBidi" w:hAnsiTheme="majorBidi" w:cstheme="majorBidi"/>
          <w:sz w:val="24"/>
          <w:szCs w:val="24"/>
        </w:rPr>
        <w:t xml:space="preserve"> ASCs were seeded on 6-well culture plates </w:t>
      </w:r>
      <w:r>
        <w:rPr>
          <w:rFonts w:asciiTheme="majorBidi" w:hAnsiTheme="majorBidi" w:cstheme="majorBidi"/>
          <w:sz w:val="24"/>
          <w:szCs w:val="24"/>
        </w:rPr>
        <w:t>at</w:t>
      </w:r>
      <w:r w:rsidRPr="00C57763">
        <w:rPr>
          <w:rFonts w:asciiTheme="majorBidi" w:hAnsiTheme="majorBidi" w:cstheme="majorBidi"/>
          <w:sz w:val="24"/>
          <w:szCs w:val="24"/>
        </w:rPr>
        <w:t xml:space="preserve"> a density of 5×10</w:t>
      </w:r>
      <w:r w:rsidRPr="00C57763">
        <w:rPr>
          <w:rFonts w:asciiTheme="majorBidi" w:hAnsiTheme="majorBidi" w:cstheme="majorBidi"/>
          <w:sz w:val="24"/>
          <w:szCs w:val="24"/>
          <w:vertAlign w:val="superscript"/>
        </w:rPr>
        <w:t xml:space="preserve">4 </w:t>
      </w:r>
      <w:r w:rsidRPr="00C57763">
        <w:rPr>
          <w:rFonts w:asciiTheme="majorBidi" w:hAnsiTheme="majorBidi" w:cstheme="majorBidi"/>
          <w:sz w:val="24"/>
          <w:szCs w:val="24"/>
        </w:rPr>
        <w:t xml:space="preserve">cells/mL and DMEM+FBS 10% for </w:t>
      </w:r>
      <w:r>
        <w:rPr>
          <w:rFonts w:asciiTheme="majorBidi" w:hAnsiTheme="majorBidi" w:cstheme="majorBidi"/>
          <w:sz w:val="24"/>
          <w:szCs w:val="24"/>
        </w:rPr>
        <w:t>48 hours. N</w:t>
      </w:r>
      <w:r w:rsidRPr="00C57763">
        <w:rPr>
          <w:rFonts w:asciiTheme="majorBidi" w:hAnsiTheme="majorBidi" w:cstheme="majorBidi"/>
          <w:sz w:val="24"/>
          <w:szCs w:val="24"/>
        </w:rPr>
        <w:t xml:space="preserve">ext, a specific osteocyte differentiation medium was added to the medium, containing dexamethasone (1 </w:t>
      </w:r>
      <w:proofErr w:type="spellStart"/>
      <w:r w:rsidRPr="00C57763">
        <w:rPr>
          <w:rFonts w:asciiTheme="majorBidi" w:hAnsiTheme="majorBidi" w:cstheme="majorBidi"/>
          <w:sz w:val="24"/>
          <w:szCs w:val="24"/>
        </w:rPr>
        <w:t>nM</w:t>
      </w:r>
      <w:proofErr w:type="spellEnd"/>
      <w:r w:rsidRPr="00C57763">
        <w:rPr>
          <w:rFonts w:asciiTheme="majorBidi" w:hAnsiTheme="majorBidi" w:cstheme="majorBidi"/>
          <w:sz w:val="24"/>
          <w:szCs w:val="24"/>
        </w:rPr>
        <w:t xml:space="preserve">), ascorbate-2-phosphate (50 µM), and glycerophosphate (2 mM). For 21 days, cells were cultured in a humidified incubator containing 5% CO2 at 37°C. The medium was </w:t>
      </w:r>
      <w:r>
        <w:rPr>
          <w:rFonts w:asciiTheme="majorBidi" w:hAnsiTheme="majorBidi" w:cstheme="majorBidi"/>
          <w:sz w:val="24"/>
          <w:szCs w:val="24"/>
        </w:rPr>
        <w:t>changed</w:t>
      </w:r>
      <w:r w:rsidRPr="00C57763">
        <w:rPr>
          <w:rFonts w:asciiTheme="majorBidi" w:hAnsiTheme="majorBidi" w:cstheme="majorBidi"/>
          <w:sz w:val="24"/>
          <w:szCs w:val="24"/>
        </w:rPr>
        <w:t xml:space="preserve"> every 4 days. </w:t>
      </w:r>
      <w:r>
        <w:rPr>
          <w:rFonts w:asciiTheme="majorBidi" w:hAnsiTheme="majorBidi" w:cstheme="majorBidi"/>
          <w:sz w:val="24"/>
          <w:szCs w:val="24"/>
        </w:rPr>
        <w:t>Only</w:t>
      </w:r>
      <w:r w:rsidRPr="00C57763">
        <w:rPr>
          <w:rFonts w:asciiTheme="majorBidi" w:hAnsiTheme="majorBidi" w:cstheme="majorBidi"/>
          <w:sz w:val="24"/>
          <w:szCs w:val="24"/>
        </w:rPr>
        <w:t xml:space="preserve"> DMEM+FBS (10 percent) made up the control medium. The presence of calcified deposits was ultimately ascertained </w:t>
      </w:r>
      <w:r>
        <w:rPr>
          <w:rFonts w:asciiTheme="majorBidi" w:hAnsiTheme="majorBidi" w:cstheme="majorBidi"/>
          <w:sz w:val="24"/>
          <w:szCs w:val="24"/>
        </w:rPr>
        <w:t>using</w:t>
      </w:r>
      <w:r w:rsidRPr="00C57763">
        <w:rPr>
          <w:rFonts w:asciiTheme="majorBidi" w:hAnsiTheme="majorBidi" w:cstheme="majorBidi"/>
          <w:sz w:val="24"/>
          <w:szCs w:val="24"/>
        </w:rPr>
        <w:t xml:space="preserve"> alizarin red and alkaline phosphatase.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766372" w:rsidRPr="00C57763" w:rsidRDefault="00766372" w:rsidP="00766372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766372" w:rsidRPr="00DE2B89" w:rsidRDefault="00766372" w:rsidP="00DE2B8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E2B89">
        <w:rPr>
          <w:rFonts w:asciiTheme="majorBidi" w:hAnsiTheme="majorBidi" w:cstheme="majorBidi"/>
          <w:b/>
          <w:bCs/>
          <w:sz w:val="28"/>
          <w:szCs w:val="28"/>
        </w:rPr>
        <w:t xml:space="preserve">Differentiation of ASCs to </w:t>
      </w:r>
      <w:bookmarkStart w:id="0" w:name="_Hlk162755731"/>
      <w:r w:rsidRPr="00DE2B89">
        <w:rPr>
          <w:rFonts w:asciiTheme="majorBidi" w:hAnsiTheme="majorBidi" w:cstheme="majorBidi"/>
          <w:b/>
          <w:bCs/>
          <w:sz w:val="28"/>
          <w:szCs w:val="28"/>
        </w:rPr>
        <w:t>Adipocytes</w:t>
      </w:r>
      <w:bookmarkEnd w:id="0"/>
    </w:p>
    <w:p w:rsidR="00766372" w:rsidRPr="00C57763" w:rsidRDefault="00766372" w:rsidP="00766372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C57763">
        <w:rPr>
          <w:rFonts w:asciiTheme="majorBidi" w:hAnsiTheme="majorBidi" w:cstheme="majorBidi"/>
          <w:sz w:val="24"/>
          <w:szCs w:val="24"/>
        </w:rPr>
        <w:t>After ASCs</w:t>
      </w:r>
      <w:r>
        <w:rPr>
          <w:rFonts w:asciiTheme="majorBidi" w:hAnsiTheme="majorBidi" w:cstheme="majorBidi"/>
          <w:sz w:val="24"/>
          <w:szCs w:val="24"/>
        </w:rPr>
        <w:t xml:space="preserve"> reached 90% confluence, t</w:t>
      </w:r>
      <w:r w:rsidRPr="00C57763">
        <w:rPr>
          <w:rFonts w:asciiTheme="majorBidi" w:hAnsiTheme="majorBidi" w:cstheme="majorBidi"/>
          <w:sz w:val="24"/>
          <w:szCs w:val="24"/>
        </w:rPr>
        <w:t>rypsin/EDTA was added to the plates and then centrifuged at 1200 rpm for five minutes. After</w:t>
      </w:r>
      <w:r>
        <w:rPr>
          <w:rFonts w:asciiTheme="majorBidi" w:hAnsiTheme="majorBidi" w:cstheme="majorBidi"/>
          <w:sz w:val="24"/>
          <w:szCs w:val="24"/>
        </w:rPr>
        <w:t>wards</w:t>
      </w:r>
      <w:r w:rsidRPr="00C57763">
        <w:rPr>
          <w:rFonts w:asciiTheme="majorBidi" w:hAnsiTheme="majorBidi" w:cstheme="majorBidi"/>
          <w:sz w:val="24"/>
          <w:szCs w:val="24"/>
        </w:rPr>
        <w:t>, the cell mixture was seeded in six-well culture plates with DMEM supplemented with 10% FBS at a density of 5x10</w:t>
      </w:r>
      <w:r w:rsidRPr="00C57763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C57763">
        <w:rPr>
          <w:rFonts w:asciiTheme="majorBidi" w:hAnsiTheme="majorBidi" w:cstheme="majorBidi"/>
          <w:sz w:val="24"/>
          <w:szCs w:val="24"/>
        </w:rPr>
        <w:t xml:space="preserve"> cells/</w:t>
      </w:r>
      <w:proofErr w:type="spellStart"/>
      <w:r w:rsidRPr="00C57763">
        <w:rPr>
          <w:rFonts w:asciiTheme="majorBidi" w:hAnsiTheme="majorBidi" w:cstheme="majorBidi"/>
          <w:sz w:val="24"/>
          <w:szCs w:val="24"/>
        </w:rPr>
        <w:t>mL.</w:t>
      </w:r>
      <w:proofErr w:type="spellEnd"/>
      <w:r w:rsidRPr="00C5776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After</w:t>
      </w:r>
      <w:r w:rsidRPr="00C57763">
        <w:rPr>
          <w:rFonts w:asciiTheme="majorBidi" w:hAnsiTheme="majorBidi" w:cstheme="majorBidi"/>
          <w:sz w:val="24"/>
          <w:szCs w:val="24"/>
        </w:rPr>
        <w:t xml:space="preserve"> a 48-hour period, cells were treated with the differentiation medium (</w:t>
      </w:r>
      <w:proofErr w:type="spellStart"/>
      <w:r w:rsidRPr="00C57763">
        <w:rPr>
          <w:rFonts w:asciiTheme="majorBidi" w:hAnsiTheme="majorBidi" w:cstheme="majorBidi"/>
          <w:sz w:val="24"/>
          <w:szCs w:val="24"/>
        </w:rPr>
        <w:t>AdipoDiff</w:t>
      </w:r>
      <w:proofErr w:type="spellEnd"/>
      <w:r w:rsidRPr="00C57763">
        <w:rPr>
          <w:rFonts w:asciiTheme="majorBidi" w:hAnsiTheme="majorBidi" w:cstheme="majorBidi"/>
          <w:sz w:val="24"/>
          <w:szCs w:val="24"/>
        </w:rPr>
        <w:t xml:space="preserve">; </w:t>
      </w:r>
      <w:proofErr w:type="spellStart"/>
      <w:r w:rsidRPr="00C57763">
        <w:rPr>
          <w:rFonts w:asciiTheme="majorBidi" w:hAnsiTheme="majorBidi" w:cstheme="majorBidi"/>
          <w:sz w:val="24"/>
          <w:szCs w:val="24"/>
        </w:rPr>
        <w:t>StemMACS</w:t>
      </w:r>
      <w:proofErr w:type="spellEnd"/>
      <w:r w:rsidRPr="00C57763">
        <w:rPr>
          <w:rFonts w:asciiTheme="majorBidi" w:hAnsiTheme="majorBidi" w:cstheme="majorBidi"/>
          <w:sz w:val="24"/>
          <w:szCs w:val="24"/>
        </w:rPr>
        <w:t xml:space="preserve">), which </w:t>
      </w:r>
      <w:r>
        <w:rPr>
          <w:rFonts w:asciiTheme="majorBidi" w:hAnsiTheme="majorBidi" w:cstheme="majorBidi"/>
          <w:sz w:val="24"/>
          <w:szCs w:val="24"/>
        </w:rPr>
        <w:t>consisted of</w:t>
      </w:r>
      <w:r w:rsidRPr="00C57763">
        <w:rPr>
          <w:rFonts w:asciiTheme="majorBidi" w:hAnsiTheme="majorBidi" w:cstheme="majorBidi"/>
          <w:sz w:val="24"/>
          <w:szCs w:val="24"/>
        </w:rPr>
        <w:t xml:space="preserve"> DMEM + 10% FBS, 2 mM 1-glutamine, antibiotics (100 U/mL penicillin, 100 µg/mL streptomycin), 10^-7M dexamethasone, 50 µg/mL ascorbic acid, and 10 µg/mL indomethacin. </w:t>
      </w:r>
      <w:r>
        <w:rPr>
          <w:rFonts w:asciiTheme="majorBidi" w:hAnsiTheme="majorBidi" w:cstheme="majorBidi"/>
          <w:sz w:val="24"/>
          <w:szCs w:val="24"/>
        </w:rPr>
        <w:t>Then</w:t>
      </w:r>
      <w:r w:rsidRPr="00C57763">
        <w:rPr>
          <w:rFonts w:asciiTheme="majorBidi" w:hAnsiTheme="majorBidi" w:cstheme="majorBidi"/>
          <w:sz w:val="24"/>
          <w:szCs w:val="24"/>
        </w:rPr>
        <w:t xml:space="preserve">, the plates were </w:t>
      </w:r>
      <w:r>
        <w:rPr>
          <w:rFonts w:asciiTheme="majorBidi" w:hAnsiTheme="majorBidi" w:cstheme="majorBidi"/>
          <w:sz w:val="24"/>
          <w:szCs w:val="24"/>
        </w:rPr>
        <w:t>kept</w:t>
      </w:r>
      <w:r w:rsidRPr="00C57763">
        <w:rPr>
          <w:rFonts w:asciiTheme="majorBidi" w:hAnsiTheme="majorBidi" w:cstheme="majorBidi"/>
          <w:sz w:val="24"/>
          <w:szCs w:val="24"/>
        </w:rPr>
        <w:t xml:space="preserve"> in a humidified incubator with 95% CO2 at 37 °C for three weeks, </w:t>
      </w:r>
      <w:r>
        <w:rPr>
          <w:rFonts w:asciiTheme="majorBidi" w:hAnsiTheme="majorBidi" w:cstheme="majorBidi"/>
          <w:sz w:val="24"/>
          <w:szCs w:val="24"/>
        </w:rPr>
        <w:t>and</w:t>
      </w:r>
      <w:r w:rsidRPr="00C57763">
        <w:rPr>
          <w:rFonts w:asciiTheme="majorBidi" w:hAnsiTheme="majorBidi" w:cstheme="majorBidi"/>
          <w:sz w:val="24"/>
          <w:szCs w:val="24"/>
        </w:rPr>
        <w:t xml:space="preserve"> the medium </w:t>
      </w:r>
      <w:r>
        <w:rPr>
          <w:rFonts w:asciiTheme="majorBidi" w:hAnsiTheme="majorBidi" w:cstheme="majorBidi"/>
          <w:sz w:val="24"/>
          <w:szCs w:val="24"/>
        </w:rPr>
        <w:t>was</w:t>
      </w:r>
      <w:r w:rsidRPr="00C57763">
        <w:rPr>
          <w:rFonts w:asciiTheme="majorBidi" w:hAnsiTheme="majorBidi" w:cstheme="majorBidi"/>
          <w:sz w:val="24"/>
          <w:szCs w:val="24"/>
        </w:rPr>
        <w:t xml:space="preserve"> changed every three days. The control group consisted of </w:t>
      </w:r>
      <w:r>
        <w:rPr>
          <w:rFonts w:asciiTheme="majorBidi" w:hAnsiTheme="majorBidi" w:cstheme="majorBidi"/>
          <w:sz w:val="24"/>
          <w:szCs w:val="24"/>
        </w:rPr>
        <w:t>un</w:t>
      </w:r>
      <w:r w:rsidRPr="00C57763">
        <w:rPr>
          <w:rFonts w:asciiTheme="majorBidi" w:hAnsiTheme="majorBidi" w:cstheme="majorBidi"/>
          <w:sz w:val="24"/>
          <w:szCs w:val="24"/>
        </w:rPr>
        <w:t xml:space="preserve">stimulated cells </w:t>
      </w:r>
      <w:r>
        <w:rPr>
          <w:rFonts w:asciiTheme="majorBidi" w:hAnsiTheme="majorBidi" w:cstheme="majorBidi"/>
          <w:sz w:val="24"/>
          <w:szCs w:val="24"/>
        </w:rPr>
        <w:t>maintained</w:t>
      </w:r>
      <w:r w:rsidRPr="00C57763">
        <w:rPr>
          <w:rFonts w:asciiTheme="majorBidi" w:hAnsiTheme="majorBidi" w:cstheme="majorBidi"/>
          <w:sz w:val="24"/>
          <w:szCs w:val="24"/>
        </w:rPr>
        <w:t xml:space="preserve"> in DMEM + FBS media. After 21 days, oil-red O staining of the cells allowed microscopic detection of lipid vacuoles.</w:t>
      </w:r>
    </w:p>
    <w:p w:rsidR="00766372" w:rsidRPr="00C57763" w:rsidRDefault="00766372" w:rsidP="00766372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766372" w:rsidRPr="00DE2B89" w:rsidRDefault="00766372" w:rsidP="00DE2B8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E2B89">
        <w:rPr>
          <w:rFonts w:asciiTheme="majorBidi" w:hAnsiTheme="majorBidi" w:cstheme="majorBidi"/>
          <w:b/>
          <w:bCs/>
          <w:sz w:val="28"/>
          <w:szCs w:val="28"/>
        </w:rPr>
        <w:t>Differentiation of ASCs to Chondrocytes</w:t>
      </w:r>
    </w:p>
    <w:p w:rsidR="007016CC" w:rsidRDefault="00766372" w:rsidP="00EA4E42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  <w:r w:rsidRPr="00C57763">
        <w:rPr>
          <w:rFonts w:asciiTheme="majorBidi" w:hAnsiTheme="majorBidi" w:cstheme="majorBidi"/>
          <w:sz w:val="24"/>
          <w:szCs w:val="24"/>
        </w:rPr>
        <w:t xml:space="preserve">ells were </w:t>
      </w:r>
      <w:r>
        <w:rPr>
          <w:rFonts w:asciiTheme="majorBidi" w:hAnsiTheme="majorBidi" w:cstheme="majorBidi"/>
          <w:sz w:val="24"/>
          <w:szCs w:val="24"/>
        </w:rPr>
        <w:t>detached</w:t>
      </w:r>
      <w:r w:rsidRPr="00C57763">
        <w:rPr>
          <w:rFonts w:asciiTheme="majorBidi" w:hAnsiTheme="majorBidi" w:cstheme="majorBidi"/>
          <w:sz w:val="24"/>
          <w:szCs w:val="24"/>
        </w:rPr>
        <w:t xml:space="preserve"> from the bottom</w:t>
      </w:r>
      <w:r>
        <w:rPr>
          <w:rFonts w:asciiTheme="majorBidi" w:hAnsiTheme="majorBidi" w:cstheme="majorBidi"/>
          <w:sz w:val="24"/>
          <w:szCs w:val="24"/>
        </w:rPr>
        <w:t xml:space="preserve"> of the</w:t>
      </w:r>
      <w:r w:rsidRPr="00C57763">
        <w:rPr>
          <w:rFonts w:asciiTheme="majorBidi" w:hAnsiTheme="majorBidi" w:cstheme="majorBidi"/>
          <w:sz w:val="24"/>
          <w:szCs w:val="24"/>
        </w:rPr>
        <w:t xml:space="preserve"> plate using trypsin/EDTA </w:t>
      </w:r>
      <w:r>
        <w:rPr>
          <w:rFonts w:asciiTheme="majorBidi" w:hAnsiTheme="majorBidi" w:cstheme="majorBidi"/>
          <w:sz w:val="24"/>
          <w:szCs w:val="24"/>
        </w:rPr>
        <w:t xml:space="preserve">after </w:t>
      </w:r>
      <w:r w:rsidRPr="00C57763">
        <w:rPr>
          <w:rFonts w:asciiTheme="majorBidi" w:hAnsiTheme="majorBidi" w:cstheme="majorBidi"/>
          <w:sz w:val="24"/>
          <w:szCs w:val="24"/>
        </w:rPr>
        <w:t>reach</w:t>
      </w:r>
      <w:r>
        <w:rPr>
          <w:rFonts w:asciiTheme="majorBidi" w:hAnsiTheme="majorBidi" w:cstheme="majorBidi"/>
          <w:sz w:val="24"/>
          <w:szCs w:val="24"/>
        </w:rPr>
        <w:t>ing 80–90% confluence</w:t>
      </w:r>
      <w:r w:rsidRPr="00C57763">
        <w:rPr>
          <w:rFonts w:asciiTheme="majorBidi" w:hAnsiTheme="majorBidi" w:cstheme="majorBidi"/>
          <w:sz w:val="24"/>
          <w:szCs w:val="24"/>
        </w:rPr>
        <w:t xml:space="preserve"> and then centrifuged 2 times to create cell pellets. </w:t>
      </w:r>
      <w:r>
        <w:rPr>
          <w:rFonts w:asciiTheme="majorBidi" w:hAnsiTheme="majorBidi" w:cstheme="majorBidi"/>
          <w:sz w:val="24"/>
          <w:szCs w:val="24"/>
        </w:rPr>
        <w:t>Cells were</w:t>
      </w:r>
      <w:r w:rsidRPr="00C57763">
        <w:rPr>
          <w:rFonts w:asciiTheme="majorBidi" w:hAnsiTheme="majorBidi" w:cstheme="majorBidi"/>
          <w:sz w:val="24"/>
          <w:szCs w:val="24"/>
        </w:rPr>
        <w:t xml:space="preserve"> seeded in six-well culture plates with DMEM supplemented with 10% FBS at a density of 5x10</w:t>
      </w:r>
      <w:r w:rsidRPr="00C57763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C57763">
        <w:rPr>
          <w:rFonts w:asciiTheme="majorBidi" w:hAnsiTheme="majorBidi" w:cstheme="majorBidi"/>
          <w:sz w:val="24"/>
          <w:szCs w:val="24"/>
        </w:rPr>
        <w:t xml:space="preserve"> cells/</w:t>
      </w:r>
      <w:proofErr w:type="spellStart"/>
      <w:r w:rsidRPr="00C57763">
        <w:rPr>
          <w:rFonts w:asciiTheme="majorBidi" w:hAnsiTheme="majorBidi" w:cstheme="majorBidi"/>
          <w:sz w:val="24"/>
          <w:szCs w:val="24"/>
        </w:rPr>
        <w:t>mL.</w:t>
      </w:r>
      <w:proofErr w:type="spellEnd"/>
      <w:r w:rsidRPr="00C57763">
        <w:rPr>
          <w:rFonts w:asciiTheme="majorBidi" w:hAnsiTheme="majorBidi" w:cstheme="majorBidi"/>
          <w:sz w:val="24"/>
          <w:szCs w:val="24"/>
        </w:rPr>
        <w:t xml:space="preserve"> After </w:t>
      </w:r>
      <w:r>
        <w:rPr>
          <w:rFonts w:asciiTheme="majorBidi" w:hAnsiTheme="majorBidi" w:cstheme="majorBidi"/>
          <w:sz w:val="24"/>
          <w:szCs w:val="24"/>
        </w:rPr>
        <w:t>48</w:t>
      </w:r>
      <w:r w:rsidRPr="00C57763">
        <w:rPr>
          <w:rFonts w:asciiTheme="majorBidi" w:hAnsiTheme="majorBidi" w:cstheme="majorBidi"/>
          <w:sz w:val="24"/>
          <w:szCs w:val="24"/>
        </w:rPr>
        <w:t xml:space="preserve"> hours, the original medium was changed with the medium </w:t>
      </w:r>
      <w:r>
        <w:rPr>
          <w:rFonts w:asciiTheme="majorBidi" w:hAnsiTheme="majorBidi" w:cstheme="majorBidi"/>
          <w:sz w:val="24"/>
          <w:szCs w:val="24"/>
        </w:rPr>
        <w:t>required</w:t>
      </w:r>
      <w:r w:rsidRPr="00C57763">
        <w:rPr>
          <w:rFonts w:asciiTheme="majorBidi" w:hAnsiTheme="majorBidi" w:cstheme="majorBidi"/>
          <w:sz w:val="24"/>
          <w:szCs w:val="24"/>
        </w:rPr>
        <w:t xml:space="preserve"> for cartilaginous differentiation</w:t>
      </w:r>
      <w:r>
        <w:rPr>
          <w:rFonts w:asciiTheme="majorBidi" w:hAnsiTheme="majorBidi" w:cstheme="majorBidi"/>
          <w:sz w:val="24"/>
          <w:szCs w:val="24"/>
        </w:rPr>
        <w:t>,</w:t>
      </w:r>
      <w:r w:rsidRPr="00C57763">
        <w:rPr>
          <w:rFonts w:asciiTheme="majorBidi" w:hAnsiTheme="majorBidi" w:cstheme="majorBidi"/>
          <w:sz w:val="24"/>
          <w:szCs w:val="24"/>
        </w:rPr>
        <w:t xml:space="preserve"> which </w:t>
      </w:r>
      <w:r>
        <w:rPr>
          <w:rFonts w:asciiTheme="majorBidi" w:hAnsiTheme="majorBidi" w:cstheme="majorBidi"/>
          <w:sz w:val="24"/>
          <w:szCs w:val="24"/>
        </w:rPr>
        <w:t>included</w:t>
      </w:r>
      <w:r w:rsidRPr="00C57763">
        <w:rPr>
          <w:rFonts w:asciiTheme="majorBidi" w:hAnsiTheme="majorBidi" w:cstheme="majorBidi"/>
          <w:sz w:val="24"/>
          <w:szCs w:val="24"/>
        </w:rPr>
        <w:t>: Proline (</w:t>
      </w:r>
      <w:proofErr w:type="spellStart"/>
      <w:r w:rsidRPr="00C57763">
        <w:rPr>
          <w:rFonts w:asciiTheme="majorBidi" w:hAnsiTheme="majorBidi" w:cstheme="majorBidi"/>
          <w:sz w:val="24"/>
          <w:szCs w:val="24"/>
        </w:rPr>
        <w:t>Thermo</w:t>
      </w:r>
      <w:proofErr w:type="spellEnd"/>
      <w:r w:rsidRPr="00C57763">
        <w:rPr>
          <w:rFonts w:asciiTheme="majorBidi" w:hAnsiTheme="majorBidi" w:cstheme="majorBidi"/>
          <w:sz w:val="24"/>
          <w:szCs w:val="24"/>
        </w:rPr>
        <w:t xml:space="preserve"> Fisher Scientific; USA), insulin (10 ng), transforming growth factor-B3 (TGF-B3) (10 ng/mL) (</w:t>
      </w:r>
      <w:proofErr w:type="spellStart"/>
      <w:r w:rsidRPr="00C57763">
        <w:rPr>
          <w:rFonts w:asciiTheme="majorBidi" w:hAnsiTheme="majorBidi" w:cstheme="majorBidi"/>
          <w:sz w:val="24"/>
          <w:szCs w:val="24"/>
        </w:rPr>
        <w:t>Pcprotech</w:t>
      </w:r>
      <w:proofErr w:type="spellEnd"/>
      <w:r w:rsidRPr="00C57763">
        <w:rPr>
          <w:rFonts w:asciiTheme="majorBidi" w:hAnsiTheme="majorBidi" w:cstheme="majorBidi"/>
          <w:sz w:val="24"/>
          <w:szCs w:val="24"/>
        </w:rPr>
        <w:t xml:space="preserve">; USA), ascorbic acid-2-phosphate (50 µg/mL), dexamethasone (100 </w:t>
      </w:r>
      <w:proofErr w:type="spellStart"/>
      <w:r w:rsidRPr="00C57763">
        <w:rPr>
          <w:rFonts w:asciiTheme="majorBidi" w:hAnsiTheme="majorBidi" w:cstheme="majorBidi"/>
          <w:sz w:val="24"/>
          <w:szCs w:val="24"/>
        </w:rPr>
        <w:t>nM</w:t>
      </w:r>
      <w:proofErr w:type="spellEnd"/>
      <w:r w:rsidRPr="00C57763">
        <w:rPr>
          <w:rFonts w:asciiTheme="majorBidi" w:hAnsiTheme="majorBidi" w:cstheme="majorBidi"/>
          <w:sz w:val="24"/>
          <w:szCs w:val="24"/>
        </w:rPr>
        <w:t xml:space="preserve">), and DMEM with 1 percent </w:t>
      </w:r>
      <w:r w:rsidRPr="00B73112">
        <w:rPr>
          <w:rFonts w:asciiTheme="majorBidi" w:hAnsiTheme="majorBidi" w:cstheme="majorBidi"/>
          <w:sz w:val="24"/>
          <w:szCs w:val="24"/>
        </w:rPr>
        <w:t>ITS (a supplement containing Insulin, Transferrin, and Selenium)</w:t>
      </w:r>
      <w:r w:rsidRPr="00C57763">
        <w:rPr>
          <w:rFonts w:asciiTheme="majorBidi" w:hAnsiTheme="majorBidi" w:cstheme="majorBidi"/>
          <w:sz w:val="24"/>
          <w:szCs w:val="24"/>
        </w:rPr>
        <w:t>+ Premix (BD Biosciences; USA). Every four days, the cells were re</w:t>
      </w:r>
      <w:r>
        <w:rPr>
          <w:rFonts w:asciiTheme="majorBidi" w:hAnsiTheme="majorBidi" w:cstheme="majorBidi"/>
          <w:sz w:val="24"/>
          <w:szCs w:val="24"/>
        </w:rPr>
        <w:t>plenished</w:t>
      </w:r>
      <w:r w:rsidRPr="00C57763">
        <w:rPr>
          <w:rFonts w:asciiTheme="majorBidi" w:hAnsiTheme="majorBidi" w:cstheme="majorBidi"/>
          <w:sz w:val="24"/>
          <w:szCs w:val="24"/>
        </w:rPr>
        <w:t xml:space="preserve"> and maintained in a </w:t>
      </w:r>
      <w:r>
        <w:rPr>
          <w:rFonts w:asciiTheme="majorBidi" w:hAnsiTheme="majorBidi" w:cstheme="majorBidi"/>
          <w:sz w:val="24"/>
          <w:szCs w:val="24"/>
        </w:rPr>
        <w:t xml:space="preserve">fresh </w:t>
      </w:r>
      <w:r w:rsidRPr="00C57763">
        <w:rPr>
          <w:rFonts w:asciiTheme="majorBidi" w:hAnsiTheme="majorBidi" w:cstheme="majorBidi"/>
          <w:sz w:val="24"/>
          <w:szCs w:val="24"/>
        </w:rPr>
        <w:t xml:space="preserve">medium. </w:t>
      </w:r>
      <w:r>
        <w:rPr>
          <w:rFonts w:asciiTheme="majorBidi" w:hAnsiTheme="majorBidi" w:cstheme="majorBidi"/>
          <w:sz w:val="24"/>
          <w:szCs w:val="24"/>
        </w:rPr>
        <w:t>After a</w:t>
      </w:r>
      <w:r w:rsidRPr="00C57763">
        <w:rPr>
          <w:rFonts w:asciiTheme="majorBidi" w:hAnsiTheme="majorBidi" w:cstheme="majorBidi"/>
          <w:sz w:val="24"/>
          <w:szCs w:val="24"/>
        </w:rPr>
        <w:t xml:space="preserve"> period </w:t>
      </w:r>
      <w:r>
        <w:rPr>
          <w:rFonts w:asciiTheme="majorBidi" w:hAnsiTheme="majorBidi" w:cstheme="majorBidi"/>
          <w:sz w:val="24"/>
          <w:szCs w:val="24"/>
        </w:rPr>
        <w:t xml:space="preserve">of </w:t>
      </w:r>
      <w:r w:rsidRPr="00C57763">
        <w:rPr>
          <w:rFonts w:asciiTheme="majorBidi" w:hAnsiTheme="majorBidi" w:cstheme="majorBidi"/>
          <w:sz w:val="24"/>
          <w:szCs w:val="24"/>
        </w:rPr>
        <w:t>21-day</w:t>
      </w:r>
      <w:r>
        <w:rPr>
          <w:rFonts w:asciiTheme="majorBidi" w:hAnsiTheme="majorBidi" w:cstheme="majorBidi"/>
          <w:sz w:val="24"/>
          <w:szCs w:val="24"/>
        </w:rPr>
        <w:t>s</w:t>
      </w:r>
      <w:r w:rsidRPr="00C57763">
        <w:rPr>
          <w:rFonts w:asciiTheme="majorBidi" w:hAnsiTheme="majorBidi" w:cstheme="majorBidi"/>
          <w:sz w:val="24"/>
          <w:szCs w:val="24"/>
        </w:rPr>
        <w:t xml:space="preserve">, cells were fixed using 4% paraformaldehyde. </w:t>
      </w:r>
      <w:r>
        <w:rPr>
          <w:rFonts w:asciiTheme="majorBidi" w:hAnsiTheme="majorBidi" w:cstheme="majorBidi"/>
          <w:sz w:val="24"/>
          <w:szCs w:val="24"/>
        </w:rPr>
        <w:t>E</w:t>
      </w:r>
      <w:r w:rsidRPr="00C57763">
        <w:rPr>
          <w:rFonts w:asciiTheme="majorBidi" w:hAnsiTheme="majorBidi" w:cstheme="majorBidi"/>
          <w:sz w:val="24"/>
          <w:szCs w:val="24"/>
        </w:rPr>
        <w:t xml:space="preserve">xamination </w:t>
      </w:r>
      <w:r>
        <w:rPr>
          <w:rFonts w:asciiTheme="majorBidi" w:hAnsiTheme="majorBidi" w:cstheme="majorBidi"/>
          <w:sz w:val="24"/>
          <w:szCs w:val="24"/>
        </w:rPr>
        <w:t>of the</w:t>
      </w:r>
      <w:r w:rsidRPr="00C57763">
        <w:rPr>
          <w:rFonts w:asciiTheme="majorBidi" w:hAnsiTheme="majorBidi" w:cstheme="majorBidi"/>
          <w:sz w:val="24"/>
          <w:szCs w:val="24"/>
        </w:rPr>
        <w:t xml:space="preserve"> extracellular matrix using toluidine blue and hematoxylin-eosin staining showed Chondroitin cryo-sections. The </w:t>
      </w:r>
      <w:r>
        <w:rPr>
          <w:rFonts w:asciiTheme="majorBidi" w:hAnsiTheme="majorBidi" w:cstheme="majorBidi"/>
          <w:sz w:val="24"/>
          <w:szCs w:val="24"/>
        </w:rPr>
        <w:t>aim</w:t>
      </w:r>
      <w:r w:rsidRPr="00C57763">
        <w:rPr>
          <w:rFonts w:asciiTheme="majorBidi" w:hAnsiTheme="majorBidi" w:cstheme="majorBidi"/>
          <w:sz w:val="24"/>
          <w:szCs w:val="24"/>
        </w:rPr>
        <w:t xml:space="preserve"> of </w:t>
      </w:r>
      <w:r>
        <w:rPr>
          <w:rFonts w:asciiTheme="majorBidi" w:hAnsiTheme="majorBidi" w:cstheme="majorBidi"/>
          <w:sz w:val="24"/>
          <w:szCs w:val="24"/>
        </w:rPr>
        <w:lastRenderedPageBreak/>
        <w:t>work</w:t>
      </w:r>
      <w:r w:rsidRPr="00C57763">
        <w:rPr>
          <w:rFonts w:asciiTheme="majorBidi" w:hAnsiTheme="majorBidi" w:cstheme="majorBidi"/>
          <w:sz w:val="24"/>
          <w:szCs w:val="24"/>
        </w:rPr>
        <w:t xml:space="preserve"> was to identify proteoglycans and glycosaminoglycans (GAGs) </w:t>
      </w:r>
      <w:r>
        <w:rPr>
          <w:rFonts w:asciiTheme="majorBidi" w:hAnsiTheme="majorBidi" w:cstheme="majorBidi"/>
          <w:sz w:val="24"/>
          <w:szCs w:val="24"/>
        </w:rPr>
        <w:t>resulting</w:t>
      </w:r>
      <w:r w:rsidRPr="00C57763">
        <w:rPr>
          <w:rFonts w:asciiTheme="majorBidi" w:hAnsiTheme="majorBidi" w:cstheme="majorBidi"/>
          <w:sz w:val="24"/>
          <w:szCs w:val="24"/>
        </w:rPr>
        <w:t xml:space="preserve"> from chondrogenic differentiation</w:t>
      </w:r>
      <w:r w:rsidR="00EA4E42">
        <w:rPr>
          <w:rFonts w:asciiTheme="majorBidi" w:hAnsiTheme="majorBidi" w:cstheme="majorBidi"/>
          <w:sz w:val="24"/>
          <w:szCs w:val="24"/>
          <w:highlight w:val="green"/>
        </w:rPr>
        <w:fldChar w:fldCharType="begin" w:fldLock="1"/>
      </w:r>
      <w:r w:rsidR="00EA4E42">
        <w:rPr>
          <w:rFonts w:asciiTheme="majorBidi" w:hAnsiTheme="majorBidi" w:cstheme="majorBidi"/>
          <w:sz w:val="24"/>
          <w:szCs w:val="24"/>
          <w:highlight w:val="green"/>
        </w:rPr>
        <w:instrText>ADDIN CSL_CITATION {"citationItems":[{"id":"ITEM-1","itemData":{"DOI":"10.1016/j.jff.2023.105958","ISSN":"17564646","abstract":"Silymarin (SL) has a long history of use for the treatment of a variety of diseases, but several limitations, such as poor bioavailability and negligible solubility, have restricted its successful translation in a clinical setting. However, the nano-micelle delivery system is a highly reproducible method which capable of improving poor-water solubility and bioavailability of free-SL. Mesenchymal stem cells (MSCs) are multipotent cells proficient in tissue renewal and regeneration. MSCs have similar properties to SL including immunomodulatory, antioxidant, and neuroprotective effects. Here, we show that nano-SL (1 and 2.5) increased AD-MSCs proliferation and protected from apoptosis. Our findings indicated that the levels of anti-inflammatory agents including IL-10, IL-4, FOXp3 and TGF-B mRNA expression were significantly upregulated in nano-SL-treated MSCs along with downregulated mRNA expression of pro-inflammatory cytokines (IL-6, IL-17). We identified that nano-SL elevated the T-regulatory (Treg) population (1 and 2.5 µM) and superoxide dismutase activity (2.5 µM) while decreasing nitrite oxide content. Conclusively, combinatorial therapy by nano-SL and MSCs may be useful for MS patients who are receiving MSCs for treatment.","author":[{"dropping-particle":"","family":"Lavi Arab","given":"Fahimeh","non-dropping-particle":"","parse-names":false,"suffix":""},{"dropping-particle":"","family":"Yousefi","given":"Forouzan","non-dropping-particle":"","parse-names":false,"suffix":""},{"dropping-particle":"","family":"Reza Jaafari","given":"Mahmoud","non-dropping-particle":"","parse-names":false,"suffix":""},{"dropping-particle":"","family":"Rajabian","given":"Arezoo","non-dropping-particle":"","parse-names":false,"suffix":""},{"dropping-particle":"","family":"Dana","given":"Hassan","non-dropping-particle":"","parse-names":false,"suffix":""},{"dropping-particle":"","family":"Tabasi","given":"Nafiseh","non-dropping-particle":"","parse-names":false,"suffix":""},{"dropping-particle":"","family":"Behboodifar","given":"Saeed","non-dropping-particle":"","parse-names":false,"suffix":""},{"dropping-particle":"","family":"Faridzadeh","given":"Arezoo","non-dropping-particle":"","parse-names":false,"suffix":""},{"dropping-particle":"","family":"Mahmoudi","given":"Mahmoud","non-dropping-particle":"","parse-names":false,"suffix":""}],"container-title":"Journal of Functional Foods","id":"ITEM-1","issued":{"date-parts":[["2024","2","1"]]},"publisher":"Elsevier Ltd","title":"Evaluation of the immune-modulatory, anti-oxidant, proliferative, and anti-apoptotic effects of nano-silymarin on mesenchymal stem cells isolated from multiple sclerosis patients' adipose tissue sources","type":"article-journal","volume":"113"},"uris":["http://www.mendeley.com/documents/?uuid=17f355d2-d277-338c-a698-5c5b21f342a9"]}],"mendeley":{"formattedCitation":"[1]","plainTextFormattedCitation":"[1]","previouslyFormattedCitation":"[1]"},"properties":{"noteIndex":0},"schema":"https://github.com/citation-style-language/schema/raw/master/csl-citation.json"}</w:instrText>
      </w:r>
      <w:r w:rsidR="00EA4E42">
        <w:rPr>
          <w:rFonts w:asciiTheme="majorBidi" w:hAnsiTheme="majorBidi" w:cstheme="majorBidi"/>
          <w:sz w:val="24"/>
          <w:szCs w:val="24"/>
          <w:highlight w:val="green"/>
        </w:rPr>
        <w:fldChar w:fldCharType="separate"/>
      </w:r>
      <w:r w:rsidR="00EA4E42" w:rsidRPr="00EA4E42">
        <w:rPr>
          <w:rFonts w:asciiTheme="majorBidi" w:hAnsiTheme="majorBidi" w:cstheme="majorBidi"/>
          <w:noProof/>
          <w:sz w:val="24"/>
          <w:szCs w:val="24"/>
          <w:highlight w:val="green"/>
        </w:rPr>
        <w:t>[1]</w:t>
      </w:r>
      <w:r w:rsidR="00EA4E42">
        <w:rPr>
          <w:rFonts w:asciiTheme="majorBidi" w:hAnsiTheme="majorBidi" w:cstheme="majorBidi"/>
          <w:sz w:val="24"/>
          <w:szCs w:val="24"/>
          <w:highlight w:val="green"/>
        </w:rPr>
        <w:fldChar w:fldCharType="end"/>
      </w:r>
      <w:r w:rsidR="00EA4E42">
        <w:rPr>
          <w:rFonts w:asciiTheme="majorBidi" w:hAnsiTheme="majorBidi" w:cstheme="majorBidi"/>
          <w:sz w:val="24"/>
          <w:szCs w:val="24"/>
        </w:rPr>
        <w:t>.</w:t>
      </w:r>
      <w:bookmarkStart w:id="1" w:name="_GoBack"/>
      <w:bookmarkEnd w:id="1"/>
    </w:p>
    <w:p w:rsidR="00EA4E42" w:rsidRDefault="00EA4E42" w:rsidP="00BE6CC8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A4E42" w:rsidRPr="00EA4E42" w:rsidRDefault="00EA4E42" w:rsidP="00EA4E42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</w:rPr>
      </w:pPr>
      <w:r>
        <w:rPr>
          <w:rFonts w:asciiTheme="majorBidi" w:hAnsiTheme="majorBidi" w:cstheme="majorBidi"/>
          <w:sz w:val="24"/>
          <w:szCs w:val="24"/>
        </w:rPr>
        <w:fldChar w:fldCharType="begin" w:fldLock="1"/>
      </w:r>
      <w:r>
        <w:rPr>
          <w:rFonts w:asciiTheme="majorBidi" w:hAnsiTheme="majorBidi" w:cstheme="majorBidi"/>
          <w:sz w:val="24"/>
          <w:szCs w:val="24"/>
        </w:rPr>
        <w:instrText xml:space="preserve">ADDIN Mendeley Bibliography CSL_BIBLIOGRAPHY </w:instrText>
      </w:r>
      <w:r>
        <w:rPr>
          <w:rFonts w:asciiTheme="majorBidi" w:hAnsiTheme="majorBidi" w:cstheme="majorBidi"/>
          <w:sz w:val="24"/>
          <w:szCs w:val="24"/>
        </w:rPr>
        <w:fldChar w:fldCharType="separate"/>
      </w:r>
      <w:r w:rsidRPr="00EA4E42">
        <w:rPr>
          <w:rFonts w:ascii="Times New Roman" w:hAnsi="Times New Roman" w:cs="Times New Roman"/>
          <w:noProof/>
          <w:sz w:val="24"/>
          <w:szCs w:val="24"/>
        </w:rPr>
        <w:t>[1]</w:t>
      </w:r>
      <w:r w:rsidRPr="00EA4E42">
        <w:rPr>
          <w:rFonts w:ascii="Times New Roman" w:hAnsi="Times New Roman" w:cs="Times New Roman"/>
          <w:noProof/>
          <w:sz w:val="24"/>
          <w:szCs w:val="24"/>
        </w:rPr>
        <w:tab/>
        <w:t xml:space="preserve">F. Lavi Arab </w:t>
      </w:r>
      <w:r w:rsidRPr="00EA4E42">
        <w:rPr>
          <w:rFonts w:ascii="Times New Roman" w:hAnsi="Times New Roman" w:cs="Times New Roman"/>
          <w:i/>
          <w:iCs/>
          <w:noProof/>
          <w:sz w:val="24"/>
          <w:szCs w:val="24"/>
        </w:rPr>
        <w:t>et al.</w:t>
      </w:r>
      <w:r w:rsidRPr="00EA4E42">
        <w:rPr>
          <w:rFonts w:ascii="Times New Roman" w:hAnsi="Times New Roman" w:cs="Times New Roman"/>
          <w:noProof/>
          <w:sz w:val="24"/>
          <w:szCs w:val="24"/>
        </w:rPr>
        <w:t xml:space="preserve">, “Evaluation of the immune-modulatory, anti-oxidant, proliferative, and anti-apoptotic effects of nano-silymarin on mesenchymal stem cells isolated from multiple sclerosis patients’ adipose tissue sources,” </w:t>
      </w:r>
      <w:r w:rsidRPr="00EA4E42">
        <w:rPr>
          <w:rFonts w:ascii="Times New Roman" w:hAnsi="Times New Roman" w:cs="Times New Roman"/>
          <w:i/>
          <w:iCs/>
          <w:noProof/>
          <w:sz w:val="24"/>
          <w:szCs w:val="24"/>
        </w:rPr>
        <w:t>J. Funct. Foods</w:t>
      </w:r>
      <w:r w:rsidRPr="00EA4E42">
        <w:rPr>
          <w:rFonts w:ascii="Times New Roman" w:hAnsi="Times New Roman" w:cs="Times New Roman"/>
          <w:noProof/>
          <w:sz w:val="24"/>
          <w:szCs w:val="24"/>
        </w:rPr>
        <w:t>, vol. 113, Feb. 2024, doi: 10.1016/j.jff.2023.105958.</w:t>
      </w:r>
    </w:p>
    <w:p w:rsidR="00EA4E42" w:rsidRPr="00BE6CC8" w:rsidRDefault="00EA4E42" w:rsidP="00EA4E42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fldChar w:fldCharType="end"/>
      </w:r>
    </w:p>
    <w:sectPr w:rsidR="00EA4E42" w:rsidRPr="00BE6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3285E"/>
    <w:multiLevelType w:val="hybridMultilevel"/>
    <w:tmpl w:val="8E223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372"/>
    <w:rsid w:val="00042C16"/>
    <w:rsid w:val="002159DE"/>
    <w:rsid w:val="002303C6"/>
    <w:rsid w:val="00363D98"/>
    <w:rsid w:val="00381EBF"/>
    <w:rsid w:val="007016CC"/>
    <w:rsid w:val="00766372"/>
    <w:rsid w:val="007701B6"/>
    <w:rsid w:val="0078469C"/>
    <w:rsid w:val="00BE6CC8"/>
    <w:rsid w:val="00DE2B89"/>
    <w:rsid w:val="00E74777"/>
    <w:rsid w:val="00EA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37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3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3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3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3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3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3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3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3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3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3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3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3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3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3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3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37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66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372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663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3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3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372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E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37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3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3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3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3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3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3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3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3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3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3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3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3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3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3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3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37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66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372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663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3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3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372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E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C781CABF-03AE-42F1-89FE-DE3EA62F8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 faraji</dc:creator>
  <cp:keywords/>
  <dc:description/>
  <cp:lastModifiedBy>Win7</cp:lastModifiedBy>
  <cp:revision>5</cp:revision>
  <dcterms:created xsi:type="dcterms:W3CDTF">2025-07-03T08:59:00Z</dcterms:created>
  <dcterms:modified xsi:type="dcterms:W3CDTF">2025-07-06T22:05:00Z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12th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9th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d1bdb852-268c-3bc5-afe6-0c0d64dd23e4</vt:lpwstr>
  </property>
  <property fmtid="{D5CDD505-2E9C-101B-9397-08002B2CF9AE}" pid="24" name="Mendeley Citation Style_1">
    <vt:lpwstr>http://www.zotero.org/styles/ieee</vt:lpwstr>
  </property>
</Properties>
</file>