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F43" w:rsidRPr="00851EC5" w:rsidRDefault="00B93F43" w:rsidP="00B93F43">
      <w:pPr>
        <w:spacing w:before="120" w:line="360" w:lineRule="auto"/>
        <w:jc w:val="both"/>
        <w:rPr>
          <w:noProof/>
          <w:sz w:val="24"/>
          <w:szCs w:val="24"/>
          <w:lang w:val="tr-TR" w:eastAsia="tr-TR"/>
        </w:rPr>
      </w:pPr>
      <w:r>
        <w:rPr>
          <w:noProof/>
          <w:sz w:val="24"/>
          <w:szCs w:val="24"/>
          <w:lang w:val="tr-TR" w:eastAsia="tr-TR"/>
        </w:rPr>
        <w:drawing>
          <wp:inline distT="0" distB="0" distL="0" distR="0">
            <wp:extent cx="5977890" cy="2497455"/>
            <wp:effectExtent l="0" t="0" r="381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F43" w:rsidRPr="00851EC5" w:rsidRDefault="00B93F43" w:rsidP="00B93F43">
      <w:pPr>
        <w:spacing w:after="120" w:line="360" w:lineRule="auto"/>
        <w:jc w:val="both"/>
        <w:rPr>
          <w:b/>
          <w:noProof/>
          <w:sz w:val="24"/>
          <w:szCs w:val="24"/>
          <w:lang w:val="tr-TR" w:eastAsia="tr-TR"/>
        </w:rPr>
      </w:pPr>
      <w:r w:rsidRPr="00851EC5">
        <w:rPr>
          <w:b/>
          <w:noProof/>
          <w:sz w:val="24"/>
          <w:szCs w:val="24"/>
          <w:lang w:val="tr-TR" w:eastAsia="tr-TR"/>
        </w:rPr>
        <w:t>Figure 1.</w:t>
      </w:r>
    </w:p>
    <w:p w:rsidR="00345CBF" w:rsidRPr="00345CBF" w:rsidRDefault="00345CBF" w:rsidP="00345CBF">
      <w:pPr>
        <w:spacing w:line="276" w:lineRule="auto"/>
        <w:jc w:val="both"/>
        <w:rPr>
          <w:b/>
          <w:sz w:val="24"/>
          <w:szCs w:val="24"/>
        </w:rPr>
      </w:pPr>
      <w:r w:rsidRPr="00345CBF">
        <w:rPr>
          <w:b/>
          <w:sz w:val="24"/>
          <w:szCs w:val="24"/>
        </w:rPr>
        <w:t>Mass</w:t>
      </w:r>
      <w:r>
        <w:rPr>
          <w:b/>
          <w:sz w:val="24"/>
          <w:szCs w:val="24"/>
        </w:rPr>
        <w:t xml:space="preserve"> spectrometer and chromatograph </w:t>
      </w:r>
      <w:r w:rsidRPr="00345CBF">
        <w:rPr>
          <w:b/>
          <w:sz w:val="24"/>
          <w:szCs w:val="24"/>
        </w:rPr>
        <w:t>conditions</w:t>
      </w:r>
    </w:p>
    <w:p w:rsidR="00345CBF" w:rsidRPr="00345CBF" w:rsidRDefault="00345CBF" w:rsidP="00345CBF">
      <w:pPr>
        <w:spacing w:line="276" w:lineRule="auto"/>
        <w:jc w:val="both"/>
        <w:rPr>
          <w:sz w:val="24"/>
          <w:szCs w:val="24"/>
        </w:rPr>
      </w:pPr>
      <w:r w:rsidRPr="00345CBF">
        <w:rPr>
          <w:sz w:val="24"/>
          <w:szCs w:val="24"/>
        </w:rPr>
        <w:t>A Shimadzu-</w:t>
      </w:r>
      <w:proofErr w:type="spellStart"/>
      <w:r w:rsidRPr="00345CBF">
        <w:rPr>
          <w:sz w:val="24"/>
          <w:szCs w:val="24"/>
        </w:rPr>
        <w:t>Nexera</w:t>
      </w:r>
      <w:proofErr w:type="spellEnd"/>
      <w:r w:rsidRPr="00345CBF">
        <w:rPr>
          <w:sz w:val="24"/>
          <w:szCs w:val="24"/>
        </w:rPr>
        <w:t xml:space="preserve"> model ultrahigh performance liquid chromatograph (UHPLC) coupled with a tandem mass spectrometer was used to</w:t>
      </w:r>
      <w:bookmarkStart w:id="0" w:name="_GoBack"/>
      <w:bookmarkEnd w:id="0"/>
      <w:r w:rsidRPr="00345CBF">
        <w:rPr>
          <w:sz w:val="24"/>
          <w:szCs w:val="24"/>
        </w:rPr>
        <w:t xml:space="preserve"> accomplish </w:t>
      </w:r>
      <w:proofErr w:type="spellStart"/>
      <w:r w:rsidRPr="00345CBF">
        <w:rPr>
          <w:sz w:val="24"/>
          <w:szCs w:val="24"/>
        </w:rPr>
        <w:t>quantiative</w:t>
      </w:r>
      <w:proofErr w:type="spellEnd"/>
      <w:r w:rsidRPr="00345CBF">
        <w:rPr>
          <w:sz w:val="24"/>
          <w:szCs w:val="24"/>
        </w:rPr>
        <w:t xml:space="preserve"> evaluation of 53 phytochemicals. The reversed-phase UHPLC was equipped with an </w:t>
      </w:r>
      <w:proofErr w:type="spellStart"/>
      <w:r w:rsidRPr="00345CBF">
        <w:rPr>
          <w:sz w:val="24"/>
          <w:szCs w:val="24"/>
        </w:rPr>
        <w:t>autosampler</w:t>
      </w:r>
      <w:proofErr w:type="spellEnd"/>
      <w:r w:rsidRPr="00345CBF">
        <w:rPr>
          <w:sz w:val="24"/>
          <w:szCs w:val="24"/>
        </w:rPr>
        <w:t xml:space="preserve"> (SIL-30AC model), a column oven (CTO-10ASvp model), binary pumps (LC-30AD model), and a degasser (DGU- 20A3R model). The chromatographic conditions were optimized in order to </w:t>
      </w:r>
      <w:proofErr w:type="spellStart"/>
      <w:r w:rsidRPr="00345CBF">
        <w:rPr>
          <w:sz w:val="24"/>
          <w:szCs w:val="24"/>
        </w:rPr>
        <w:t>achive</w:t>
      </w:r>
      <w:proofErr w:type="spellEnd"/>
      <w:r w:rsidRPr="00345CBF">
        <w:rPr>
          <w:sz w:val="24"/>
          <w:szCs w:val="24"/>
        </w:rPr>
        <w:t xml:space="preserve"> optimum separation for 53 phytochemicals and overcome the suppression effects. Different </w:t>
      </w:r>
      <w:proofErr w:type="spellStart"/>
      <w:r w:rsidRPr="00345CBF">
        <w:rPr>
          <w:sz w:val="24"/>
          <w:szCs w:val="24"/>
        </w:rPr>
        <w:t>coluımns</w:t>
      </w:r>
      <w:proofErr w:type="spellEnd"/>
      <w:r w:rsidRPr="00345CBF">
        <w:rPr>
          <w:sz w:val="24"/>
          <w:szCs w:val="24"/>
        </w:rPr>
        <w:t xml:space="preserve"> such as Agilent </w:t>
      </w:r>
      <w:proofErr w:type="spellStart"/>
      <w:r w:rsidRPr="00345CBF">
        <w:rPr>
          <w:sz w:val="24"/>
          <w:szCs w:val="24"/>
        </w:rPr>
        <w:t>Poroshell</w:t>
      </w:r>
      <w:proofErr w:type="spellEnd"/>
      <w:r w:rsidRPr="00345CBF">
        <w:rPr>
          <w:sz w:val="24"/>
          <w:szCs w:val="24"/>
        </w:rPr>
        <w:t xml:space="preserve"> 120 EC-C18 model (150 mm×2.1 mm, 2.7 µm) and RP-C18 </w:t>
      </w:r>
      <w:proofErr w:type="spellStart"/>
      <w:r w:rsidRPr="00345CBF">
        <w:rPr>
          <w:sz w:val="24"/>
          <w:szCs w:val="24"/>
        </w:rPr>
        <w:t>Inertsil</w:t>
      </w:r>
      <w:proofErr w:type="spellEnd"/>
      <w:r w:rsidRPr="00345CBF">
        <w:rPr>
          <w:sz w:val="24"/>
          <w:szCs w:val="24"/>
        </w:rPr>
        <w:t xml:space="preserve"> ODS-4 (100 mm×2,1 mm, 2µm), different mobile phases (B) such as acetonitrile and methanol, different mobile phase additives such as ammonium </w:t>
      </w:r>
      <w:proofErr w:type="spellStart"/>
      <w:r w:rsidRPr="00345CBF">
        <w:rPr>
          <w:sz w:val="24"/>
          <w:szCs w:val="24"/>
        </w:rPr>
        <w:t>formate</w:t>
      </w:r>
      <w:proofErr w:type="spellEnd"/>
      <w:r w:rsidRPr="00345CBF">
        <w:rPr>
          <w:sz w:val="24"/>
          <w:szCs w:val="24"/>
        </w:rPr>
        <w:t xml:space="preserve">, formic acid, ammonium acetate, and acetic acid, different column temperatures such as 25°C, 30°C, 35°C and 40°C were tried and applied until the optimum conditions were achieved. Consequently, the chromatographic </w:t>
      </w:r>
      <w:proofErr w:type="spellStart"/>
      <w:r w:rsidRPr="00345CBF">
        <w:rPr>
          <w:sz w:val="24"/>
          <w:szCs w:val="24"/>
        </w:rPr>
        <w:t>seperation</w:t>
      </w:r>
      <w:proofErr w:type="spellEnd"/>
      <w:r w:rsidRPr="00345CBF">
        <w:rPr>
          <w:sz w:val="24"/>
          <w:szCs w:val="24"/>
        </w:rPr>
        <w:t xml:space="preserve"> was performed on a reversed phase Agilent </w:t>
      </w:r>
      <w:proofErr w:type="spellStart"/>
      <w:r w:rsidRPr="00345CBF">
        <w:rPr>
          <w:sz w:val="24"/>
          <w:szCs w:val="24"/>
        </w:rPr>
        <w:t>Poroshell</w:t>
      </w:r>
      <w:proofErr w:type="spellEnd"/>
      <w:r w:rsidRPr="00345CBF">
        <w:rPr>
          <w:sz w:val="24"/>
          <w:szCs w:val="24"/>
        </w:rPr>
        <w:t xml:space="preserve"> 120 EC-C18 model (150 mm×2.1 mm, 2.7 µm) analytical column. The column temperature was set to 40°C. The elution gradient was composed of eluent A (water+5 </w:t>
      </w:r>
      <w:proofErr w:type="spellStart"/>
      <w:r w:rsidRPr="00345CBF">
        <w:rPr>
          <w:sz w:val="24"/>
          <w:szCs w:val="24"/>
        </w:rPr>
        <w:t>mM</w:t>
      </w:r>
      <w:proofErr w:type="spellEnd"/>
      <w:r w:rsidRPr="00345CBF">
        <w:rPr>
          <w:sz w:val="24"/>
          <w:szCs w:val="24"/>
        </w:rPr>
        <w:t xml:space="preserve"> ammonium formate+0.1% formic acid) and eluent B (methanol+5 </w:t>
      </w:r>
      <w:proofErr w:type="spellStart"/>
      <w:r w:rsidRPr="00345CBF">
        <w:rPr>
          <w:sz w:val="24"/>
          <w:szCs w:val="24"/>
        </w:rPr>
        <w:t>mM</w:t>
      </w:r>
      <w:proofErr w:type="spellEnd"/>
      <w:r w:rsidRPr="00345CBF">
        <w:rPr>
          <w:sz w:val="24"/>
          <w:szCs w:val="24"/>
        </w:rPr>
        <w:t xml:space="preserve"> ammonium formate+0.1% formic acid). The following gradient elution profile was used: 20-100% B (0-25 min), 100% B (25-35 min), 20% B (35-45 min). Furthermore, the solvent flow rate and injection volume were settled as 0.5 mL/min and 5 µL, respectively. </w:t>
      </w:r>
    </w:p>
    <w:p w:rsidR="004952CE" w:rsidRPr="00345CBF" w:rsidRDefault="00345CBF" w:rsidP="00345CBF">
      <w:pPr>
        <w:spacing w:line="276" w:lineRule="auto"/>
        <w:ind w:firstLine="708"/>
        <w:jc w:val="both"/>
        <w:rPr>
          <w:sz w:val="24"/>
          <w:szCs w:val="24"/>
        </w:rPr>
      </w:pPr>
      <w:r w:rsidRPr="00345CBF">
        <w:rPr>
          <w:sz w:val="24"/>
          <w:szCs w:val="24"/>
        </w:rPr>
        <w:t xml:space="preserve">The mass spectrometric detection was carried out using a Shimadzu LCMS-8040 model tandem mass spectrometer equipped with </w:t>
      </w:r>
      <w:proofErr w:type="gramStart"/>
      <w:r w:rsidRPr="00345CBF">
        <w:rPr>
          <w:sz w:val="24"/>
          <w:szCs w:val="24"/>
        </w:rPr>
        <w:t>an electrospray</w:t>
      </w:r>
      <w:proofErr w:type="gramEnd"/>
      <w:r w:rsidRPr="00345CBF">
        <w:rPr>
          <w:sz w:val="24"/>
          <w:szCs w:val="24"/>
        </w:rPr>
        <w:t xml:space="preserve"> ionization (ESI) source operating in both negative and positive ionization modes. LC-ESI-MS/MS data were acquired and processed by </w:t>
      </w:r>
      <w:proofErr w:type="spellStart"/>
      <w:r w:rsidRPr="00345CBF">
        <w:rPr>
          <w:sz w:val="24"/>
          <w:szCs w:val="24"/>
        </w:rPr>
        <w:t>LabSolutions</w:t>
      </w:r>
      <w:proofErr w:type="spellEnd"/>
      <w:r w:rsidRPr="00345CBF">
        <w:rPr>
          <w:sz w:val="24"/>
          <w:szCs w:val="24"/>
        </w:rPr>
        <w:t xml:space="preserve"> software (Shimadzu). The MRM (multiple reaction monitoring) mode was used for the quantification of the phytochemicals. The MRM </w:t>
      </w:r>
      <w:proofErr w:type="spellStart"/>
      <w:r w:rsidRPr="00345CBF">
        <w:rPr>
          <w:sz w:val="24"/>
          <w:szCs w:val="24"/>
        </w:rPr>
        <w:t>metot</w:t>
      </w:r>
      <w:proofErr w:type="spellEnd"/>
      <w:r w:rsidRPr="00345CBF">
        <w:rPr>
          <w:sz w:val="24"/>
          <w:szCs w:val="24"/>
        </w:rPr>
        <w:t xml:space="preserve"> was optimized to selectively detect and quantify phytochemical compounds based on the screening of specified precursor phytochemical-to-fragment ion transitions. The collision energies (CE) were optimized in order to generate optimal </w:t>
      </w:r>
      <w:proofErr w:type="spellStart"/>
      <w:r w:rsidRPr="00345CBF">
        <w:rPr>
          <w:sz w:val="24"/>
          <w:szCs w:val="24"/>
        </w:rPr>
        <w:t>phtochemical</w:t>
      </w:r>
      <w:proofErr w:type="spellEnd"/>
      <w:r w:rsidRPr="00345CBF">
        <w:rPr>
          <w:sz w:val="24"/>
          <w:szCs w:val="24"/>
        </w:rPr>
        <w:t xml:space="preserve"> fragmentation and maximal transmission of the desired product ions. The MS </w:t>
      </w:r>
      <w:proofErr w:type="spellStart"/>
      <w:r w:rsidRPr="00345CBF">
        <w:rPr>
          <w:sz w:val="24"/>
          <w:szCs w:val="24"/>
        </w:rPr>
        <w:t>operatinging</w:t>
      </w:r>
      <w:proofErr w:type="spellEnd"/>
      <w:r w:rsidRPr="00345CBF">
        <w:rPr>
          <w:sz w:val="24"/>
          <w:szCs w:val="24"/>
        </w:rPr>
        <w:t xml:space="preserve"> conditions were applied as: drying gas (N2) ﬂow, 15 L/min; nebulizing gas (N2) flow, 3 L/min; DL </w:t>
      </w:r>
      <w:r w:rsidRPr="00345CBF">
        <w:rPr>
          <w:sz w:val="24"/>
          <w:szCs w:val="24"/>
        </w:rPr>
        <w:lastRenderedPageBreak/>
        <w:t>temperature, 250°C; heat block temperature, 400°C, and interface temperature, 350°C.</w:t>
      </w:r>
    </w:p>
    <w:sectPr w:rsidR="004952CE" w:rsidRPr="00345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43"/>
    <w:rsid w:val="00345CBF"/>
    <w:rsid w:val="004952CE"/>
    <w:rsid w:val="00B9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F43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3F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3F43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F43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3F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3F43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YILMAZ</dc:creator>
  <cp:lastModifiedBy>YILMAZ</cp:lastModifiedBy>
  <cp:revision>2</cp:revision>
  <dcterms:created xsi:type="dcterms:W3CDTF">2020-04-09T05:49:00Z</dcterms:created>
  <dcterms:modified xsi:type="dcterms:W3CDTF">2020-04-09T05:53:00Z</dcterms:modified>
</cp:coreProperties>
</file>