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D34E2" w14:textId="77777777" w:rsidR="001D2BD7" w:rsidRPr="00266E02" w:rsidRDefault="001D2BD7" w:rsidP="001D2BD7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266E02">
        <w:rPr>
          <w:rFonts w:asciiTheme="majorBidi" w:hAnsiTheme="majorBidi" w:cstheme="majorBidi"/>
          <w:b/>
          <w:bCs/>
        </w:rPr>
        <w:t xml:space="preserve">Essential Oils Extraction </w:t>
      </w:r>
    </w:p>
    <w:p w14:paraId="18A2AC47" w14:textId="77777777" w:rsidR="001D2BD7" w:rsidRPr="004D14D6" w:rsidRDefault="001D2BD7" w:rsidP="001D2BD7">
      <w:pPr>
        <w:spacing w:line="360" w:lineRule="auto"/>
        <w:jc w:val="both"/>
        <w:rPr>
          <w:rFonts w:asciiTheme="majorBidi" w:hAnsiTheme="majorBidi" w:cstheme="majorBidi"/>
        </w:rPr>
      </w:pPr>
      <w:bookmarkStart w:id="0" w:name="_Hlk160051428"/>
      <w:proofErr w:type="spellStart"/>
      <w:r w:rsidRPr="004D14D6">
        <w:rPr>
          <w:rFonts w:asciiTheme="majorBidi" w:hAnsiTheme="majorBidi" w:cstheme="majorBidi"/>
          <w:b/>
          <w:bCs/>
          <w:i/>
          <w:iCs/>
        </w:rPr>
        <w:t>Hydrodistillation</w:t>
      </w:r>
      <w:proofErr w:type="spellEnd"/>
      <w:r w:rsidRPr="004D14D6">
        <w:rPr>
          <w:rFonts w:asciiTheme="majorBidi" w:hAnsiTheme="majorBidi" w:cstheme="majorBidi"/>
          <w:b/>
          <w:bCs/>
          <w:i/>
          <w:iCs/>
        </w:rPr>
        <w:t xml:space="preserve"> (HD)</w:t>
      </w:r>
      <w:bookmarkEnd w:id="0"/>
    </w:p>
    <w:p w14:paraId="33B7E21B" w14:textId="61F3E0F2" w:rsidR="001D2BD7" w:rsidRPr="004D14D6" w:rsidRDefault="001D2BD7" w:rsidP="001D2BD7">
      <w:pPr>
        <w:spacing w:line="360" w:lineRule="auto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</w:rPr>
        <w:t xml:space="preserve">We chopped the fresh aerial parts into small pieces (250 g) and blended them with distilled water. The mixture was then </w:t>
      </w:r>
      <w:proofErr w:type="spellStart"/>
      <w:r w:rsidRPr="004D14D6">
        <w:rPr>
          <w:rFonts w:asciiTheme="majorBidi" w:hAnsiTheme="majorBidi" w:cstheme="majorBidi"/>
        </w:rPr>
        <w:t>hydrodistilled</w:t>
      </w:r>
      <w:proofErr w:type="spellEnd"/>
      <w:r w:rsidRPr="004D14D6">
        <w:rPr>
          <w:rFonts w:asciiTheme="majorBidi" w:hAnsiTheme="majorBidi" w:cstheme="majorBidi"/>
        </w:rPr>
        <w:t xml:space="preserve"> for four hours using a Clevenger distillation apparatus </w:t>
      </w:r>
      <w:r w:rsidR="00B67872" w:rsidRPr="004D14D6">
        <w:rPr>
          <w:rFonts w:asciiTheme="majorBidi" w:hAnsiTheme="majorBidi" w:cstheme="majorBidi"/>
        </w:rPr>
        <w:t>[38]</w:t>
      </w:r>
      <w:r w:rsidRPr="004D14D6">
        <w:rPr>
          <w:rFonts w:asciiTheme="majorBidi" w:hAnsiTheme="majorBidi" w:cstheme="majorBidi"/>
        </w:rPr>
        <w:t>. The oil obtained through HD was dried using anhydrous sodium sulfate (Sigma-Aldrich, USA).</w:t>
      </w:r>
    </w:p>
    <w:p w14:paraId="3069F622" w14:textId="77777777" w:rsidR="001D2BD7" w:rsidRPr="004D14D6" w:rsidRDefault="001D2BD7" w:rsidP="001D2BD7">
      <w:pPr>
        <w:spacing w:line="360" w:lineRule="auto"/>
        <w:jc w:val="both"/>
        <w:rPr>
          <w:rFonts w:asciiTheme="majorBidi" w:hAnsiTheme="majorBidi" w:cstheme="majorBidi"/>
        </w:rPr>
      </w:pPr>
    </w:p>
    <w:p w14:paraId="6C144566" w14:textId="77777777" w:rsidR="001D2BD7" w:rsidRPr="004D14D6" w:rsidRDefault="001D2BD7" w:rsidP="001D2BD7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lang w:bidi="ar-EG"/>
        </w:rPr>
      </w:pPr>
      <w:r w:rsidRPr="004D14D6">
        <w:rPr>
          <w:rFonts w:asciiTheme="majorBidi" w:hAnsiTheme="majorBidi" w:cstheme="majorBidi"/>
          <w:b/>
          <w:bCs/>
          <w:i/>
          <w:iCs/>
          <w:lang w:bidi="ar-EG"/>
        </w:rPr>
        <w:t xml:space="preserve">Supercritical fluid extraction (SF) </w:t>
      </w:r>
    </w:p>
    <w:p w14:paraId="60B74C18" w14:textId="7A75C6B4" w:rsidR="00E10CC3" w:rsidRPr="004D14D6" w:rsidRDefault="001D2BD7" w:rsidP="00E10CC3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 w:bidi="ar-EG"/>
        </w:rPr>
      </w:pPr>
      <w:r w:rsidRPr="004D14D6">
        <w:rPr>
          <w:rFonts w:asciiTheme="majorBidi" w:eastAsia="CharisSIL" w:hAnsiTheme="majorBidi" w:cstheme="majorBidi"/>
        </w:rPr>
        <w:t>It was performed using supercritical carbon dioxide with a Speed TM SFE-2/4, and functional separations were carried out using the USDA1-USA. 160 g of air-dried samples were extracted at 40°C and 100 bar with a flow rate of 10 mL/min. First, the device was operated in static mode for one hour, followed by two hours of dynamic mode, for a total of three hours. To address the low polarity and thus the reduced effectiveness of CO</w:t>
      </w:r>
      <w:r w:rsidRPr="004D14D6">
        <w:rPr>
          <w:rFonts w:asciiTheme="majorBidi" w:eastAsia="CharisSIL" w:hAnsiTheme="majorBidi" w:cstheme="majorBidi"/>
          <w:vertAlign w:val="subscript"/>
        </w:rPr>
        <w:t>2</w:t>
      </w:r>
      <w:r w:rsidRPr="004D14D6">
        <w:rPr>
          <w:rFonts w:asciiTheme="majorBidi" w:eastAsia="CharisSIL" w:hAnsiTheme="majorBidi" w:cstheme="majorBidi"/>
        </w:rPr>
        <w:t xml:space="preserve"> in extracting more polar compounds from natural matrices, absolute ethanol was added as a cosolvent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 adjust polarity and improve solvating power (flow rate of 2 mL/min) </w:t>
      </w:r>
      <w:r w:rsidR="00B67872" w:rsidRPr="004D14D6">
        <w:rPr>
          <w:rFonts w:asciiTheme="majorBidi" w:eastAsia="CharisSIL" w:hAnsiTheme="majorBidi" w:cstheme="majorBidi"/>
        </w:rPr>
        <w:t>[99, 38]</w:t>
      </w:r>
      <w:r w:rsidRPr="004D14D6">
        <w:rPr>
          <w:rFonts w:asciiTheme="majorBidi" w:eastAsia="CharisSIL" w:hAnsiTheme="majorBidi" w:cstheme="majorBidi"/>
        </w:rPr>
        <w:t xml:space="preserve">. </w:t>
      </w:r>
      <w:r w:rsidRPr="004D14D6">
        <w:rPr>
          <w:rFonts w:asciiTheme="majorBidi" w:hAnsiTheme="majorBidi" w:cstheme="majorBidi"/>
        </w:rPr>
        <w:t xml:space="preserve">The EOs </w:t>
      </w:r>
      <w:proofErr w:type="gramStart"/>
      <w:r w:rsidRPr="004D14D6">
        <w:rPr>
          <w:rFonts w:asciiTheme="majorBidi" w:hAnsiTheme="majorBidi" w:cstheme="majorBidi"/>
        </w:rPr>
        <w:t>percentages</w:t>
      </w:r>
      <w:proofErr w:type="gramEnd"/>
      <w:r w:rsidRPr="004D14D6">
        <w:rPr>
          <w:rFonts w:asciiTheme="majorBidi" w:hAnsiTheme="majorBidi" w:cstheme="majorBidi"/>
        </w:rPr>
        <w:t xml:space="preserve"> obtained from HD and SF-EOs were reported in mL/100 g of aerial parts. </w:t>
      </w:r>
      <w:r w:rsidR="00B67872" w:rsidRPr="004D14D6">
        <w:rPr>
          <w:rFonts w:asciiTheme="majorBidi" w:hAnsiTheme="majorBidi" w:cstheme="majorBidi"/>
        </w:rPr>
        <w:t>[38].</w:t>
      </w:r>
    </w:p>
    <w:p w14:paraId="72EF203D" w14:textId="77777777" w:rsidR="00E10CC3" w:rsidRPr="004D14D6" w:rsidRDefault="00E10CC3" w:rsidP="00E10CC3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 w:bidi="ar-EG"/>
        </w:rPr>
      </w:pPr>
    </w:p>
    <w:p w14:paraId="5AB4B719" w14:textId="77777777" w:rsidR="00E10CC3" w:rsidRPr="004D14D6" w:rsidRDefault="00E10CC3" w:rsidP="00E10CC3">
      <w:pPr>
        <w:spacing w:line="360" w:lineRule="auto"/>
        <w:jc w:val="both"/>
        <w:rPr>
          <w:b/>
          <w:bCs/>
          <w:i/>
          <w:iCs/>
        </w:rPr>
      </w:pPr>
      <w:r w:rsidRPr="004D14D6">
        <w:rPr>
          <w:b/>
          <w:bCs/>
          <w:i/>
          <w:iCs/>
        </w:rPr>
        <w:t>Dynamic head-space GC/MS analysis</w:t>
      </w:r>
    </w:p>
    <w:p w14:paraId="61E12C7F" w14:textId="257D2373" w:rsidR="00E10CC3" w:rsidRPr="004D14D6" w:rsidRDefault="00E10CC3" w:rsidP="00E10CC3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4D14D6">
        <w:rPr>
          <w:rFonts w:eastAsia="Calibri"/>
        </w:rPr>
        <w:t xml:space="preserve">Hashemi et al. </w:t>
      </w:r>
      <w:r w:rsidR="00B67872" w:rsidRPr="004D14D6">
        <w:rPr>
          <w:rFonts w:eastAsia="Calibri"/>
        </w:rPr>
        <w:t>[39]</w:t>
      </w:r>
      <w:r w:rsidRPr="004D14D6">
        <w:rPr>
          <w:rFonts w:eastAsia="Calibri"/>
        </w:rPr>
        <w:t xml:space="preserve"> followed a specific procedure. Approximately 2 g of aerial parts </w:t>
      </w:r>
      <w:proofErr w:type="gramStart"/>
      <w:r w:rsidRPr="004D14D6">
        <w:rPr>
          <w:rFonts w:eastAsia="Calibri"/>
        </w:rPr>
        <w:t>was</w:t>
      </w:r>
      <w:proofErr w:type="gramEnd"/>
      <w:r w:rsidRPr="004D14D6">
        <w:rPr>
          <w:rFonts w:eastAsia="Calibri"/>
        </w:rPr>
        <w:t xml:space="preserve"> placed in a glass vial (5 mL). A Shimadzu headspace sampler HS-20, connected to a Shimadzu GC-MS-QP2020 from Kyoto, Japan, was used. The setup included an Rtx-1MS column, 30 m long, 0.25 mm ID, and 0.25 µm film thickness (</w:t>
      </w:r>
      <w:proofErr w:type="spellStart"/>
      <w:r w:rsidRPr="004D14D6">
        <w:rPr>
          <w:rFonts w:eastAsia="Calibri"/>
        </w:rPr>
        <w:t>Restek</w:t>
      </w:r>
      <w:proofErr w:type="spellEnd"/>
      <w:r w:rsidRPr="004D14D6">
        <w:rPr>
          <w:rFonts w:eastAsia="Calibri"/>
        </w:rPr>
        <w:t xml:space="preserve">, Bellefonte, PA, USA). The oven temperature was set at 80 °C, while the sample and transfer line temperatures were set at 150 °C. The condition of headspace sampling included an 8-minute equilibration period, a 2-minute pressurization phase, and a 5-minute needle flush. The column oven temperature was initially set at 45 °C for 2 minutes, then ramped up to 300 °C at a rate of 5 °C per minute and maintained for 5 minutes. Helium was used as </w:t>
      </w:r>
      <w:proofErr w:type="gramStart"/>
      <w:r w:rsidRPr="004D14D6">
        <w:rPr>
          <w:rFonts w:eastAsia="Calibri"/>
        </w:rPr>
        <w:t>the carrier</w:t>
      </w:r>
      <w:proofErr w:type="gramEnd"/>
      <w:r w:rsidRPr="004D14D6">
        <w:rPr>
          <w:rFonts w:eastAsia="Calibri"/>
        </w:rPr>
        <w:t xml:space="preserve"> gas at a flow rate of 1.40 mL/min, with a split ratio of 1:25. The </w:t>
      </w:r>
      <w:r w:rsidR="00D57965" w:rsidRPr="004D14D6">
        <w:rPr>
          <w:rFonts w:asciiTheme="majorBidi" w:hAnsiTheme="majorBidi" w:cstheme="majorBidi"/>
          <w:shd w:val="clear" w:color="auto" w:fill="FFFFFF"/>
        </w:rPr>
        <w:t>Atmospheric Pressure Chemical Ionization</w:t>
      </w:r>
      <w:r w:rsidR="00D57965" w:rsidRPr="004D14D6">
        <w:rPr>
          <w:rFonts w:eastAsia="Calibri"/>
        </w:rPr>
        <w:t xml:space="preserve"> (</w:t>
      </w:r>
      <w:r w:rsidRPr="004D14D6">
        <w:rPr>
          <w:rFonts w:eastAsia="Calibri"/>
        </w:rPr>
        <w:t>APCI</w:t>
      </w:r>
      <w:r w:rsidR="00D57965" w:rsidRPr="004D14D6">
        <w:rPr>
          <w:rFonts w:eastAsia="Calibri"/>
        </w:rPr>
        <w:t>)</w:t>
      </w:r>
      <w:r w:rsidRPr="004D14D6">
        <w:rPr>
          <w:rFonts w:eastAsia="Calibri"/>
        </w:rPr>
        <w:t xml:space="preserve"> pressure was kept steady at 50 kPa, while the ion source and interface temperatures were set at 200 °C and 280 °C, respectively</w:t>
      </w:r>
    </w:p>
    <w:p w14:paraId="03C9B055" w14:textId="77777777" w:rsidR="00302E12" w:rsidRPr="004D14D6" w:rsidRDefault="00302E12" w:rsidP="00302E12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  <w:b/>
          <w:bCs/>
        </w:rPr>
        <w:t>Susceptibility test</w:t>
      </w:r>
    </w:p>
    <w:p w14:paraId="1674EBFD" w14:textId="77777777" w:rsidR="00E10CC3" w:rsidRPr="004D14D6" w:rsidRDefault="00E10CC3" w:rsidP="00E10CC3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29AD7767" w14:textId="77777777" w:rsidR="001B635C" w:rsidRPr="004D14D6" w:rsidRDefault="001B635C" w:rsidP="00E10CC3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</w:rPr>
      </w:pPr>
    </w:p>
    <w:p w14:paraId="7ECA6FCC" w14:textId="04DBC7E7" w:rsidR="001B635C" w:rsidRPr="004D14D6" w:rsidRDefault="001B635C" w:rsidP="00302E12">
      <w:pPr>
        <w:spacing w:line="360" w:lineRule="auto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</w:rPr>
        <w:lastRenderedPageBreak/>
        <w:t>Using the agar well-diffusion method, we performed the assay according to guidelines from the Clinical and Laboratory Standards Institute</w:t>
      </w:r>
      <w:r w:rsidR="00B67872" w:rsidRPr="004D14D6">
        <w:rPr>
          <w:rFonts w:asciiTheme="majorBidi" w:hAnsiTheme="majorBidi" w:cstheme="majorBidi"/>
        </w:rPr>
        <w:t xml:space="preserve"> </w:t>
      </w:r>
      <w:r w:rsidRPr="004D14D6">
        <w:rPr>
          <w:rFonts w:asciiTheme="majorBidi" w:hAnsiTheme="majorBidi" w:cstheme="majorBidi"/>
        </w:rPr>
        <w:t>CLSI, 2025</w:t>
      </w:r>
      <w:r w:rsidR="00B67872" w:rsidRPr="004D14D6">
        <w:rPr>
          <w:rFonts w:asciiTheme="majorBidi" w:hAnsiTheme="majorBidi" w:cstheme="majorBidi"/>
        </w:rPr>
        <w:t xml:space="preserve">[40] </w:t>
      </w:r>
      <w:r w:rsidRPr="004D14D6">
        <w:rPr>
          <w:rFonts w:asciiTheme="majorBidi" w:hAnsiTheme="majorBidi" w:cstheme="majorBidi"/>
        </w:rPr>
        <w:t>and Gholizadeh et al.</w:t>
      </w:r>
      <w:r w:rsidR="00302E12" w:rsidRPr="004D14D6">
        <w:rPr>
          <w:rFonts w:asciiTheme="majorBidi" w:hAnsiTheme="majorBidi" w:cstheme="majorBidi"/>
        </w:rPr>
        <w:t xml:space="preserve"> </w:t>
      </w:r>
      <w:r w:rsidR="00B67872" w:rsidRPr="004D14D6">
        <w:rPr>
          <w:rFonts w:asciiTheme="majorBidi" w:hAnsiTheme="majorBidi" w:cstheme="majorBidi"/>
        </w:rPr>
        <w:t>[41]</w:t>
      </w:r>
      <w:r w:rsidRPr="004D14D6">
        <w:rPr>
          <w:rFonts w:asciiTheme="majorBidi" w:hAnsiTheme="majorBidi" w:cstheme="majorBidi"/>
        </w:rPr>
        <w:t>. We tested four Gram-positive bacteria (</w:t>
      </w:r>
      <w:r w:rsidRPr="004D14D6">
        <w:rPr>
          <w:rFonts w:asciiTheme="majorBidi" w:hAnsiTheme="majorBidi" w:cstheme="majorBidi"/>
          <w:i/>
          <w:iCs/>
        </w:rPr>
        <w:t>C</w:t>
      </w:r>
      <w:r w:rsidRPr="004D14D6">
        <w:rPr>
          <w:rFonts w:asciiTheme="majorBidi" w:hAnsiTheme="majorBidi" w:cstheme="majorBidi"/>
        </w:rPr>
        <w:t xml:space="preserve">. </w:t>
      </w:r>
      <w:r w:rsidRPr="004D14D6">
        <w:rPr>
          <w:rFonts w:asciiTheme="majorBidi" w:hAnsiTheme="majorBidi" w:cstheme="majorBidi"/>
          <w:i/>
          <w:iCs/>
        </w:rPr>
        <w:t>perfringens</w:t>
      </w:r>
      <w:r w:rsidRPr="004D14D6">
        <w:rPr>
          <w:rFonts w:asciiTheme="majorBidi" w:hAnsiTheme="majorBidi" w:cstheme="majorBidi"/>
        </w:rPr>
        <w:t xml:space="preserve"> ATCC 13124, </w:t>
      </w:r>
      <w:r w:rsidRPr="004D14D6">
        <w:rPr>
          <w:rFonts w:asciiTheme="majorBidi" w:hAnsiTheme="majorBidi" w:cstheme="majorBidi"/>
          <w:i/>
          <w:iCs/>
        </w:rPr>
        <w:t>L</w:t>
      </w:r>
      <w:r w:rsidRPr="004D14D6">
        <w:rPr>
          <w:rFonts w:asciiTheme="majorBidi" w:hAnsiTheme="majorBidi" w:cstheme="majorBidi"/>
        </w:rPr>
        <w:t xml:space="preserve">. </w:t>
      </w:r>
      <w:r w:rsidRPr="004D14D6">
        <w:rPr>
          <w:rFonts w:asciiTheme="majorBidi" w:hAnsiTheme="majorBidi" w:cstheme="majorBidi"/>
          <w:i/>
          <w:iCs/>
        </w:rPr>
        <w:t xml:space="preserve">monocytogenes </w:t>
      </w:r>
      <w:r w:rsidRPr="004D14D6">
        <w:rPr>
          <w:rFonts w:asciiTheme="majorBidi" w:hAnsiTheme="majorBidi" w:cstheme="majorBidi"/>
        </w:rPr>
        <w:t xml:space="preserve">ATCC 7644, </w:t>
      </w:r>
      <w:r w:rsidRPr="004D14D6">
        <w:rPr>
          <w:rFonts w:asciiTheme="majorBidi" w:hAnsiTheme="majorBidi" w:cstheme="majorBidi"/>
          <w:i/>
          <w:iCs/>
        </w:rPr>
        <w:t>S</w:t>
      </w:r>
      <w:r w:rsidRPr="004D14D6">
        <w:rPr>
          <w:rFonts w:asciiTheme="majorBidi" w:hAnsiTheme="majorBidi" w:cstheme="majorBidi"/>
        </w:rPr>
        <w:t xml:space="preserve">. </w:t>
      </w:r>
      <w:r w:rsidRPr="004D14D6">
        <w:rPr>
          <w:rFonts w:asciiTheme="majorBidi" w:hAnsiTheme="majorBidi" w:cstheme="majorBidi"/>
          <w:i/>
          <w:iCs/>
        </w:rPr>
        <w:t xml:space="preserve">aureus </w:t>
      </w:r>
      <w:r w:rsidRPr="004D14D6">
        <w:rPr>
          <w:rFonts w:asciiTheme="majorBidi" w:hAnsiTheme="majorBidi" w:cstheme="majorBidi"/>
        </w:rPr>
        <w:t xml:space="preserve">ATCC 25923, and </w:t>
      </w:r>
      <w:r w:rsidRPr="004D14D6">
        <w:rPr>
          <w:rFonts w:asciiTheme="majorBidi" w:hAnsiTheme="majorBidi" w:cstheme="majorBidi"/>
          <w:i/>
          <w:iCs/>
        </w:rPr>
        <w:t>E.</w:t>
      </w:r>
      <w:r w:rsidRPr="004D14D6">
        <w:rPr>
          <w:rFonts w:asciiTheme="majorBidi" w:hAnsiTheme="majorBidi" w:cstheme="majorBidi"/>
        </w:rPr>
        <w:t xml:space="preserve"> </w:t>
      </w:r>
      <w:r w:rsidRPr="004D14D6">
        <w:rPr>
          <w:rFonts w:asciiTheme="majorBidi" w:hAnsiTheme="majorBidi" w:cstheme="majorBidi"/>
          <w:i/>
          <w:iCs/>
        </w:rPr>
        <w:t xml:space="preserve">faecalis </w:t>
      </w:r>
      <w:r w:rsidRPr="004D14D6">
        <w:rPr>
          <w:rFonts w:asciiTheme="majorBidi" w:hAnsiTheme="majorBidi" w:cstheme="majorBidi"/>
        </w:rPr>
        <w:t>ATCC 29212) and two Gram-negative bacteria (</w:t>
      </w:r>
      <w:r w:rsidRPr="004D14D6">
        <w:rPr>
          <w:rFonts w:asciiTheme="majorBidi" w:hAnsiTheme="majorBidi" w:cstheme="majorBidi"/>
          <w:i/>
          <w:iCs/>
        </w:rPr>
        <w:t>E</w:t>
      </w:r>
      <w:r w:rsidRPr="004D14D6">
        <w:rPr>
          <w:rFonts w:asciiTheme="majorBidi" w:hAnsiTheme="majorBidi" w:cstheme="majorBidi"/>
        </w:rPr>
        <w:t xml:space="preserve">. </w:t>
      </w:r>
      <w:r w:rsidRPr="004D14D6">
        <w:rPr>
          <w:rFonts w:asciiTheme="majorBidi" w:hAnsiTheme="majorBidi" w:cstheme="majorBidi"/>
          <w:i/>
          <w:iCs/>
        </w:rPr>
        <w:t xml:space="preserve">coli </w:t>
      </w:r>
      <w:r w:rsidRPr="004D14D6">
        <w:rPr>
          <w:rFonts w:asciiTheme="majorBidi" w:hAnsiTheme="majorBidi" w:cstheme="majorBidi"/>
        </w:rPr>
        <w:t xml:space="preserve">ATCC 8739 and </w:t>
      </w:r>
      <w:r w:rsidRPr="004D14D6">
        <w:rPr>
          <w:rFonts w:asciiTheme="majorBidi" w:hAnsiTheme="majorBidi" w:cstheme="majorBidi"/>
          <w:i/>
          <w:iCs/>
        </w:rPr>
        <w:t>S</w:t>
      </w:r>
      <w:r w:rsidRPr="004D14D6">
        <w:rPr>
          <w:rFonts w:asciiTheme="majorBidi" w:hAnsiTheme="majorBidi" w:cstheme="majorBidi"/>
        </w:rPr>
        <w:t xml:space="preserve">. </w:t>
      </w:r>
      <w:r w:rsidRPr="004D14D6">
        <w:rPr>
          <w:rFonts w:asciiTheme="majorBidi" w:hAnsiTheme="majorBidi" w:cstheme="majorBidi"/>
          <w:i/>
          <w:iCs/>
        </w:rPr>
        <w:t xml:space="preserve">enterica </w:t>
      </w:r>
      <w:r w:rsidRPr="004D14D6">
        <w:rPr>
          <w:rFonts w:asciiTheme="majorBidi" w:hAnsiTheme="majorBidi" w:cstheme="majorBidi"/>
        </w:rPr>
        <w:t>ATCC 14028). As reference drugs, we used conventional antibiotics with various mechanisms of action (</w:t>
      </w:r>
      <w:proofErr w:type="spellStart"/>
      <w:r w:rsidRPr="004D14D6">
        <w:rPr>
          <w:rFonts w:asciiTheme="majorBidi" w:hAnsiTheme="majorBidi" w:cstheme="majorBidi"/>
        </w:rPr>
        <w:t>Bioanalyse</w:t>
      </w:r>
      <w:proofErr w:type="spellEnd"/>
      <w:r w:rsidRPr="004D14D6">
        <w:rPr>
          <w:rFonts w:asciiTheme="majorBidi" w:hAnsiTheme="majorBidi" w:cstheme="majorBidi"/>
        </w:rPr>
        <w:t xml:space="preserve">, Turkey): Amikacin (AK 30) as a protein synthesis inhibitor, amoxicillin (AX 25) as a cell wall synthesis inhibitor, and norfloxacin (NOR 10) as a DNA replication inhibitor while 10% </w:t>
      </w:r>
      <w:r w:rsidR="00D57965" w:rsidRPr="004D14D6">
        <w:rPr>
          <w:rFonts w:asciiTheme="majorBidi" w:hAnsiTheme="majorBidi" w:cstheme="majorBidi"/>
        </w:rPr>
        <w:t>Dimethyl sulfoxide (</w:t>
      </w:r>
      <w:r w:rsidRPr="004D14D6">
        <w:rPr>
          <w:rFonts w:asciiTheme="majorBidi" w:hAnsiTheme="majorBidi" w:cstheme="majorBidi"/>
        </w:rPr>
        <w:t>DMSO</w:t>
      </w:r>
      <w:r w:rsidR="00D57965" w:rsidRPr="004D14D6">
        <w:rPr>
          <w:rFonts w:asciiTheme="majorBidi" w:hAnsiTheme="majorBidi" w:cstheme="majorBidi"/>
        </w:rPr>
        <w:t>)</w:t>
      </w:r>
      <w:r w:rsidRPr="004D14D6">
        <w:rPr>
          <w:rFonts w:asciiTheme="majorBidi" w:hAnsiTheme="majorBidi" w:cstheme="majorBidi"/>
        </w:rPr>
        <w:t xml:space="preserve"> as a negative control. We prepared a 100 µL suspension containing 1×</w:t>
      </w:r>
      <w:r w:rsidR="00302E12" w:rsidRPr="004D14D6">
        <w:rPr>
          <w:rFonts w:asciiTheme="majorBidi" w:hAnsiTheme="majorBidi" w:cstheme="majorBidi"/>
        </w:rPr>
        <w:t>×10</w:t>
      </w:r>
      <w:r w:rsidR="00302E12" w:rsidRPr="004D14D6">
        <w:rPr>
          <w:rFonts w:asciiTheme="majorBidi" w:hAnsiTheme="majorBidi" w:cstheme="majorBidi"/>
          <w:vertAlign w:val="superscript"/>
        </w:rPr>
        <w:t>5</w:t>
      </w:r>
      <w:r w:rsidR="00302E12" w:rsidRPr="004D14D6">
        <w:rPr>
          <w:rFonts w:asciiTheme="majorBidi" w:hAnsiTheme="majorBidi" w:cstheme="majorBidi"/>
        </w:rPr>
        <w:t xml:space="preserve"> </w:t>
      </w:r>
      <w:r w:rsidRPr="004D14D6">
        <w:rPr>
          <w:rFonts w:asciiTheme="majorBidi" w:hAnsiTheme="majorBidi" w:cstheme="majorBidi"/>
        </w:rPr>
        <w:t>cells of each reference strain (optical density, OD600 = 0.2) and inoculated it onto MHA plates. After the agar solidified, we drilled wells with a diameter of 0.6 cm and added 50 µL of the tested sample at concentrations of 50, 1, and 0.5 mg/</w:t>
      </w:r>
      <w:proofErr w:type="spellStart"/>
      <w:r w:rsidRPr="004D14D6">
        <w:rPr>
          <w:rFonts w:asciiTheme="majorBidi" w:hAnsiTheme="majorBidi" w:cstheme="majorBidi"/>
        </w:rPr>
        <w:t>mL.</w:t>
      </w:r>
      <w:proofErr w:type="spellEnd"/>
      <w:r w:rsidRPr="004D14D6">
        <w:rPr>
          <w:rFonts w:asciiTheme="majorBidi" w:hAnsiTheme="majorBidi" w:cstheme="majorBidi"/>
        </w:rPr>
        <w:t xml:space="preserve"> We then refrigerated the plates to facilitate diffusion of the tested samples </w:t>
      </w:r>
      <w:r w:rsidR="00B67872" w:rsidRPr="004D14D6">
        <w:rPr>
          <w:rFonts w:asciiTheme="majorBidi" w:hAnsiTheme="majorBidi" w:cstheme="majorBidi"/>
        </w:rPr>
        <w:t>[42]</w:t>
      </w:r>
      <w:r w:rsidRPr="004D14D6">
        <w:rPr>
          <w:rFonts w:asciiTheme="majorBidi" w:hAnsiTheme="majorBidi" w:cstheme="majorBidi"/>
        </w:rPr>
        <w:t xml:space="preserve"> and incubated them at 37°C for 24 hours. For </w:t>
      </w:r>
      <w:r w:rsidRPr="004D14D6">
        <w:rPr>
          <w:rFonts w:asciiTheme="majorBidi" w:hAnsiTheme="majorBidi" w:cstheme="majorBidi"/>
          <w:i/>
          <w:iCs/>
        </w:rPr>
        <w:t>C</w:t>
      </w:r>
      <w:r w:rsidRPr="004D14D6">
        <w:rPr>
          <w:rFonts w:asciiTheme="majorBidi" w:hAnsiTheme="majorBidi" w:cstheme="majorBidi"/>
        </w:rPr>
        <w:t xml:space="preserve">. </w:t>
      </w:r>
      <w:r w:rsidRPr="004D14D6">
        <w:rPr>
          <w:rFonts w:asciiTheme="majorBidi" w:hAnsiTheme="majorBidi" w:cstheme="majorBidi"/>
          <w:i/>
          <w:iCs/>
        </w:rPr>
        <w:t>perfringens</w:t>
      </w:r>
      <w:r w:rsidRPr="004D14D6">
        <w:rPr>
          <w:rFonts w:asciiTheme="majorBidi" w:hAnsiTheme="majorBidi" w:cstheme="majorBidi"/>
        </w:rPr>
        <w:t>, we incubated anaerobically using an anaerobic jar. We measured the antimicrobial activity of the extracts by the diameter of the zones of inhibition (ZOI) in millimeters.</w:t>
      </w:r>
    </w:p>
    <w:p w14:paraId="372FECF5" w14:textId="77777777" w:rsidR="00B735B4" w:rsidRPr="004D14D6" w:rsidRDefault="00B735B4" w:rsidP="001B635C">
      <w:pPr>
        <w:spacing w:line="360" w:lineRule="auto"/>
        <w:jc w:val="both"/>
        <w:rPr>
          <w:rFonts w:asciiTheme="majorBidi" w:hAnsiTheme="majorBidi" w:cstheme="majorBidi"/>
        </w:rPr>
      </w:pPr>
    </w:p>
    <w:p w14:paraId="44A2329E" w14:textId="77777777" w:rsidR="00B735B4" w:rsidRPr="004D14D6" w:rsidRDefault="00B735B4" w:rsidP="00B735B4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4D14D6">
        <w:rPr>
          <w:rFonts w:asciiTheme="majorBidi" w:hAnsiTheme="majorBidi" w:cstheme="majorBidi"/>
          <w:b/>
          <w:bCs/>
        </w:rPr>
        <w:t>Determination of minimum inhibitory concentrations (MIC)</w:t>
      </w:r>
    </w:p>
    <w:p w14:paraId="1D7CB968" w14:textId="6D2CED3B" w:rsidR="00B735B4" w:rsidRPr="004D14D6" w:rsidRDefault="00B735B4" w:rsidP="00D57965">
      <w:pPr>
        <w:pStyle w:val="NoSpacing"/>
        <w:tabs>
          <w:tab w:val="left" w:pos="8460"/>
        </w:tabs>
        <w:spacing w:line="360" w:lineRule="auto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</w:rPr>
        <w:t xml:space="preserve">For HD and SF, the assay was conducted using a broth microdilution method, following the guidelines of </w:t>
      </w:r>
      <w:proofErr w:type="spellStart"/>
      <w:r w:rsidRPr="004D14D6">
        <w:rPr>
          <w:rFonts w:asciiTheme="majorBidi" w:hAnsiTheme="majorBidi" w:cstheme="majorBidi"/>
        </w:rPr>
        <w:t>Balouiri</w:t>
      </w:r>
      <w:proofErr w:type="spellEnd"/>
      <w:r w:rsidRPr="004D14D6">
        <w:rPr>
          <w:rFonts w:asciiTheme="majorBidi" w:hAnsiTheme="majorBidi" w:cstheme="majorBidi"/>
        </w:rPr>
        <w:t xml:space="preserve"> et al. </w:t>
      </w:r>
      <w:r w:rsidR="00B67872" w:rsidRPr="004D14D6">
        <w:rPr>
          <w:rFonts w:asciiTheme="majorBidi" w:hAnsiTheme="majorBidi" w:cstheme="majorBidi"/>
        </w:rPr>
        <w:t>[43]</w:t>
      </w:r>
      <w:r w:rsidRPr="004D14D6">
        <w:rPr>
          <w:rFonts w:asciiTheme="majorBidi" w:hAnsiTheme="majorBidi" w:cstheme="majorBidi"/>
        </w:rPr>
        <w:t xml:space="preserve"> and CLSI</w:t>
      </w:r>
      <w:r w:rsidR="00B67872" w:rsidRPr="004D14D6">
        <w:rPr>
          <w:rFonts w:asciiTheme="majorBidi" w:hAnsiTheme="majorBidi" w:cstheme="majorBidi"/>
        </w:rPr>
        <w:t xml:space="preserve">, </w:t>
      </w:r>
      <w:r w:rsidRPr="004D14D6">
        <w:rPr>
          <w:rFonts w:asciiTheme="majorBidi" w:hAnsiTheme="majorBidi" w:cstheme="majorBidi"/>
        </w:rPr>
        <w:t>2025</w:t>
      </w:r>
      <w:r w:rsidR="00B67872" w:rsidRPr="004D14D6">
        <w:rPr>
          <w:rFonts w:asciiTheme="majorBidi" w:hAnsiTheme="majorBidi" w:cstheme="majorBidi"/>
        </w:rPr>
        <w:t>[40]</w:t>
      </w:r>
      <w:r w:rsidRPr="004D14D6">
        <w:rPr>
          <w:rFonts w:asciiTheme="majorBidi" w:hAnsiTheme="majorBidi" w:cstheme="majorBidi"/>
        </w:rPr>
        <w:t xml:space="preserve">. We prepared stock solutions by dissolving 50 mg of each oil separately in 1 mL of 10% DMSO. Each well (2–12) was given 100 </w:t>
      </w:r>
      <w:proofErr w:type="spellStart"/>
      <w:r w:rsidRPr="004D14D6">
        <w:rPr>
          <w:rFonts w:asciiTheme="majorBidi" w:hAnsiTheme="majorBidi" w:cstheme="majorBidi"/>
        </w:rPr>
        <w:t>μL</w:t>
      </w:r>
      <w:proofErr w:type="spellEnd"/>
      <w:r w:rsidRPr="004D14D6">
        <w:rPr>
          <w:rFonts w:asciiTheme="majorBidi" w:hAnsiTheme="majorBidi" w:cstheme="majorBidi"/>
        </w:rPr>
        <w:t xml:space="preserve"> of sterile MHB, and 150 </w:t>
      </w:r>
      <w:proofErr w:type="spellStart"/>
      <w:r w:rsidRPr="004D14D6">
        <w:rPr>
          <w:rFonts w:asciiTheme="majorBidi" w:hAnsiTheme="majorBidi" w:cstheme="majorBidi"/>
        </w:rPr>
        <w:t>μL</w:t>
      </w:r>
      <w:proofErr w:type="spellEnd"/>
      <w:r w:rsidRPr="004D14D6">
        <w:rPr>
          <w:rFonts w:asciiTheme="majorBidi" w:hAnsiTheme="majorBidi" w:cstheme="majorBidi"/>
        </w:rPr>
        <w:t xml:space="preserve"> of the stock solution was added to the first column of microtiter plates. A two-fold serial dilution of the stock solution was made by transferring 100 </w:t>
      </w:r>
      <w:proofErr w:type="spellStart"/>
      <w:r w:rsidRPr="004D14D6">
        <w:rPr>
          <w:rFonts w:asciiTheme="majorBidi" w:hAnsiTheme="majorBidi" w:cstheme="majorBidi"/>
        </w:rPr>
        <w:t>μL</w:t>
      </w:r>
      <w:proofErr w:type="spellEnd"/>
      <w:r w:rsidRPr="004D14D6">
        <w:rPr>
          <w:rFonts w:asciiTheme="majorBidi" w:hAnsiTheme="majorBidi" w:cstheme="majorBidi"/>
        </w:rPr>
        <w:t xml:space="preserve"> from the first well to the next </w:t>
      </w:r>
      <w:proofErr w:type="gramStart"/>
      <w:r w:rsidRPr="004D14D6">
        <w:rPr>
          <w:rFonts w:asciiTheme="majorBidi" w:hAnsiTheme="majorBidi" w:cstheme="majorBidi"/>
        </w:rPr>
        <w:t>wells</w:t>
      </w:r>
      <w:proofErr w:type="gramEnd"/>
      <w:r w:rsidRPr="004D14D6">
        <w:rPr>
          <w:rFonts w:asciiTheme="majorBidi" w:hAnsiTheme="majorBidi" w:cstheme="majorBidi"/>
        </w:rPr>
        <w:t xml:space="preserve">, up to the 11th. We then added 50 </w:t>
      </w:r>
      <w:proofErr w:type="spellStart"/>
      <w:r w:rsidRPr="004D14D6">
        <w:rPr>
          <w:rFonts w:asciiTheme="majorBidi" w:hAnsiTheme="majorBidi" w:cstheme="majorBidi"/>
        </w:rPr>
        <w:t>μL</w:t>
      </w:r>
      <w:proofErr w:type="spellEnd"/>
      <w:r w:rsidRPr="004D14D6">
        <w:rPr>
          <w:rFonts w:asciiTheme="majorBidi" w:hAnsiTheme="majorBidi" w:cstheme="majorBidi"/>
        </w:rPr>
        <w:t xml:space="preserve"> of bacterial inoculum containing 1 × 105 CFU/mL (OD600 = 0.2) to each well, except the last (blank). All plates were then incubated for 24 hours at 37°C, except for </w:t>
      </w:r>
      <w:r w:rsidRPr="004D14D6">
        <w:rPr>
          <w:rFonts w:asciiTheme="majorBidi" w:hAnsiTheme="majorBidi" w:cstheme="majorBidi"/>
          <w:i/>
          <w:iCs/>
        </w:rPr>
        <w:t>C.</w:t>
      </w:r>
      <w:r w:rsidRPr="004D14D6">
        <w:rPr>
          <w:rFonts w:asciiTheme="majorBidi" w:hAnsiTheme="majorBidi" w:cstheme="majorBidi"/>
        </w:rPr>
        <w:t xml:space="preserve"> </w:t>
      </w:r>
      <w:r w:rsidRPr="004D14D6">
        <w:rPr>
          <w:rFonts w:asciiTheme="majorBidi" w:hAnsiTheme="majorBidi" w:cstheme="majorBidi"/>
          <w:i/>
          <w:iCs/>
        </w:rPr>
        <w:t>perfringens,</w:t>
      </w:r>
      <w:r w:rsidRPr="004D14D6">
        <w:rPr>
          <w:rFonts w:asciiTheme="majorBidi" w:hAnsiTheme="majorBidi" w:cstheme="majorBidi"/>
        </w:rPr>
        <w:t xml:space="preserve"> which was incubated in an anaerobic jar. We used chloramphenicol (1 mg/mL) and ciprofloxacin (1 mg/mL) as standards. We measured absorbance at </w:t>
      </w:r>
      <w:proofErr w:type="spellStart"/>
      <w:r w:rsidRPr="004D14D6">
        <w:rPr>
          <w:rFonts w:asciiTheme="majorBidi" w:hAnsiTheme="majorBidi" w:cstheme="majorBidi"/>
        </w:rPr>
        <w:t>λmax</w:t>
      </w:r>
      <w:proofErr w:type="spellEnd"/>
      <w:r w:rsidRPr="004D14D6">
        <w:rPr>
          <w:rFonts w:asciiTheme="majorBidi" w:hAnsiTheme="majorBidi" w:cstheme="majorBidi"/>
        </w:rPr>
        <w:t xml:space="preserve"> = 620 nm using an automated microplate reader (</w:t>
      </w:r>
      <w:proofErr w:type="spellStart"/>
      <w:r w:rsidRPr="004D14D6">
        <w:rPr>
          <w:rFonts w:asciiTheme="majorBidi" w:hAnsiTheme="majorBidi" w:cstheme="majorBidi"/>
        </w:rPr>
        <w:t>ChroMate</w:t>
      </w:r>
      <w:proofErr w:type="spellEnd"/>
      <w:r w:rsidRPr="004D14D6">
        <w:rPr>
          <w:rFonts w:asciiTheme="majorBidi" w:hAnsiTheme="majorBidi" w:cstheme="majorBidi"/>
        </w:rPr>
        <w:t xml:space="preserve"> 4300, USA). We determined statistical significance with a </w:t>
      </w:r>
      <w:r w:rsidRPr="004D14D6">
        <w:rPr>
          <w:rFonts w:asciiTheme="majorBidi" w:hAnsiTheme="majorBidi" w:cstheme="majorBidi"/>
          <w:i/>
          <w:iCs/>
        </w:rPr>
        <w:t>p</w:t>
      </w:r>
      <w:r w:rsidRPr="004D14D6">
        <w:rPr>
          <w:rFonts w:asciiTheme="majorBidi" w:hAnsiTheme="majorBidi" w:cstheme="majorBidi"/>
        </w:rPr>
        <w:t xml:space="preserve">-value of &lt; 0.05 compared to the control. We calculated the cell viability percentage using the formula (A </w:t>
      </w:r>
      <w:r w:rsidRPr="004D14D6">
        <w:rPr>
          <w:rFonts w:asciiTheme="majorBidi" w:hAnsiTheme="majorBidi" w:cstheme="majorBidi"/>
          <w:vertAlign w:val="subscript"/>
        </w:rPr>
        <w:t>treated</w:t>
      </w:r>
      <w:r w:rsidRPr="004D14D6">
        <w:rPr>
          <w:rFonts w:asciiTheme="majorBidi" w:hAnsiTheme="majorBidi" w:cstheme="majorBidi"/>
        </w:rPr>
        <w:t xml:space="preserve">/A /A </w:t>
      </w:r>
      <w:r w:rsidRPr="004D14D6">
        <w:rPr>
          <w:rFonts w:asciiTheme="majorBidi" w:hAnsiTheme="majorBidi" w:cstheme="majorBidi"/>
          <w:vertAlign w:val="subscript"/>
        </w:rPr>
        <w:t>untreated</w:t>
      </w:r>
      <w:r w:rsidRPr="004D14D6">
        <w:rPr>
          <w:rFonts w:asciiTheme="majorBidi" w:hAnsiTheme="majorBidi" w:cstheme="majorBidi"/>
        </w:rPr>
        <w:t>) × 100.  A is the absorbance at 620 nm, with the viability of untreated cells set at 100%.</w:t>
      </w:r>
    </w:p>
    <w:p w14:paraId="54E194BC" w14:textId="77777777" w:rsidR="00B57B08" w:rsidRPr="004D14D6" w:rsidRDefault="00B57B08" w:rsidP="00B57B08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4D14D6">
        <w:rPr>
          <w:rFonts w:asciiTheme="majorBidi" w:hAnsiTheme="majorBidi" w:cstheme="majorBidi"/>
          <w:b/>
          <w:bCs/>
        </w:rPr>
        <w:t xml:space="preserve"> Assessment of the minimum bactericidal concentration (MBC)</w:t>
      </w:r>
    </w:p>
    <w:p w14:paraId="6D13D4D9" w14:textId="380F63EB" w:rsidR="00B57B08" w:rsidRPr="004D14D6" w:rsidRDefault="00B57B08" w:rsidP="00B57B08">
      <w:pPr>
        <w:pStyle w:val="NoSpacing"/>
        <w:tabs>
          <w:tab w:val="left" w:pos="8460"/>
        </w:tabs>
        <w:spacing w:line="360" w:lineRule="auto"/>
        <w:jc w:val="both"/>
        <w:rPr>
          <w:rFonts w:asciiTheme="majorBidi" w:eastAsiaTheme="minorHAnsi" w:hAnsiTheme="majorBidi" w:cstheme="majorBidi"/>
          <w:kern w:val="2"/>
          <w14:ligatures w14:val="standardContextual"/>
        </w:rPr>
      </w:pPr>
      <w:r w:rsidRPr="004D14D6">
        <w:rPr>
          <w:rFonts w:asciiTheme="majorBidi" w:eastAsiaTheme="minorHAnsi" w:hAnsiTheme="majorBidi" w:cstheme="majorBidi"/>
          <w:kern w:val="2"/>
          <w14:ligatures w14:val="standardContextual"/>
        </w:rPr>
        <w:lastRenderedPageBreak/>
        <w:t>Using the broth dilution method, as outlined in the CLSI</w:t>
      </w:r>
      <w:r w:rsidR="00B67872" w:rsidRPr="004D14D6">
        <w:rPr>
          <w:rFonts w:asciiTheme="majorBidi" w:eastAsiaTheme="minorHAnsi" w:hAnsiTheme="majorBidi" w:cstheme="majorBidi"/>
          <w:kern w:val="2"/>
          <w14:ligatures w14:val="standardContextual"/>
        </w:rPr>
        <w:t xml:space="preserve">, </w:t>
      </w:r>
      <w:r w:rsidRPr="004D14D6">
        <w:rPr>
          <w:rFonts w:asciiTheme="majorBidi" w:eastAsiaTheme="minorHAnsi" w:hAnsiTheme="majorBidi" w:cstheme="majorBidi"/>
          <w:kern w:val="2"/>
          <w14:ligatures w14:val="standardContextual"/>
        </w:rPr>
        <w:t>2025</w:t>
      </w:r>
      <w:r w:rsidR="00B67872" w:rsidRPr="004D14D6">
        <w:rPr>
          <w:rFonts w:asciiTheme="majorBidi" w:eastAsiaTheme="minorHAnsi" w:hAnsiTheme="majorBidi" w:cstheme="majorBidi"/>
          <w:kern w:val="2"/>
          <w14:ligatures w14:val="standardContextual"/>
        </w:rPr>
        <w:t xml:space="preserve"> [40]</w:t>
      </w:r>
      <w:r w:rsidRPr="004D14D6">
        <w:rPr>
          <w:rFonts w:asciiTheme="majorBidi" w:eastAsiaTheme="minorHAnsi" w:hAnsiTheme="majorBidi" w:cstheme="majorBidi"/>
          <w:kern w:val="2"/>
          <w14:ligatures w14:val="standardContextual"/>
        </w:rPr>
        <w:t xml:space="preserve"> guidelines, we determined the results. We took 50 µL aliquots from all wells without visible growth after 24 hours of incubation at 37 °C and spread them onto MHA plates. These plates were then incubated for another 24 hours at 37°C, except for </w:t>
      </w:r>
      <w:r w:rsidRPr="004D14D6">
        <w:rPr>
          <w:rFonts w:asciiTheme="majorBidi" w:eastAsiaTheme="minorHAnsi" w:hAnsiTheme="majorBidi" w:cstheme="majorBidi"/>
          <w:i/>
          <w:iCs/>
          <w:kern w:val="2"/>
          <w14:ligatures w14:val="standardContextual"/>
        </w:rPr>
        <w:t>C. perfringens</w:t>
      </w:r>
      <w:r w:rsidRPr="004D14D6">
        <w:rPr>
          <w:rFonts w:asciiTheme="majorBidi" w:eastAsiaTheme="minorHAnsi" w:hAnsiTheme="majorBidi" w:cstheme="majorBidi"/>
          <w:kern w:val="2"/>
          <w14:ligatures w14:val="standardContextual"/>
        </w:rPr>
        <w:t>, which was incubated in an anaerobic environment. Since the detection limit (LOD) for this method is 10 CFU/mL, no growth on the</w:t>
      </w:r>
      <w:r w:rsidRPr="004D14D6">
        <w:rPr>
          <w:rFonts w:asciiTheme="majorBidi" w:eastAsiaTheme="minorHAnsi" w:hAnsiTheme="majorBidi" w:cstheme="majorBidi"/>
          <w:kern w:val="2"/>
          <w14:ligatures w14:val="standardContextual"/>
        </w:rPr>
        <w:br/>
        <w:t>MHA plates indicated that the bacterial concentration was below this level. This confirmed that the initial concentration of 105 CFU/mL had been reduced to less than 10 CFU/</w:t>
      </w:r>
      <w:proofErr w:type="spellStart"/>
      <w:r w:rsidRPr="004D14D6">
        <w:rPr>
          <w:rFonts w:asciiTheme="majorBidi" w:eastAsiaTheme="minorHAnsi" w:hAnsiTheme="majorBidi" w:cstheme="majorBidi"/>
          <w:kern w:val="2"/>
          <w14:ligatures w14:val="standardContextual"/>
        </w:rPr>
        <w:t>mL.</w:t>
      </w:r>
      <w:proofErr w:type="spellEnd"/>
      <w:r w:rsidRPr="004D14D6">
        <w:rPr>
          <w:rFonts w:asciiTheme="majorBidi" w:eastAsiaTheme="minorHAnsi" w:hAnsiTheme="majorBidi" w:cstheme="majorBidi"/>
          <w:kern w:val="2"/>
          <w14:ligatures w14:val="standardContextual"/>
        </w:rPr>
        <w:t xml:space="preserve"> Each test was repeated three times to ensure consistent results.</w:t>
      </w:r>
    </w:p>
    <w:p w14:paraId="2CD97FE5" w14:textId="77777777" w:rsidR="00F67793" w:rsidRPr="004D14D6" w:rsidRDefault="00F67793" w:rsidP="00B57B08">
      <w:pPr>
        <w:pStyle w:val="NoSpacing"/>
        <w:tabs>
          <w:tab w:val="left" w:pos="8460"/>
        </w:tabs>
        <w:spacing w:line="360" w:lineRule="auto"/>
        <w:jc w:val="both"/>
        <w:rPr>
          <w:rFonts w:asciiTheme="majorBidi" w:eastAsiaTheme="minorHAnsi" w:hAnsiTheme="majorBidi" w:cstheme="majorBidi"/>
          <w:kern w:val="2"/>
          <w14:ligatures w14:val="standardContextual"/>
        </w:rPr>
      </w:pPr>
    </w:p>
    <w:p w14:paraId="2F0C3FCC" w14:textId="77777777" w:rsidR="002E2C75" w:rsidRPr="004D14D6" w:rsidRDefault="002E2C75" w:rsidP="002E2C75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4D14D6">
        <w:rPr>
          <w:rFonts w:asciiTheme="majorBidi" w:hAnsiTheme="majorBidi" w:cstheme="majorBidi"/>
          <w:b/>
          <w:bCs/>
        </w:rPr>
        <w:t>Time kills assay</w:t>
      </w:r>
    </w:p>
    <w:p w14:paraId="03F83327" w14:textId="3F0AF9DB" w:rsidR="002E2C75" w:rsidRPr="004D14D6" w:rsidRDefault="002E2C75" w:rsidP="002E2C75">
      <w:pPr>
        <w:spacing w:line="360" w:lineRule="auto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</w:rPr>
        <w:t xml:space="preserve">Following the methods outlined by Foerster et al. </w:t>
      </w:r>
      <w:r w:rsidR="00B67872" w:rsidRPr="004D14D6">
        <w:rPr>
          <w:rFonts w:asciiTheme="majorBidi" w:hAnsiTheme="majorBidi" w:cstheme="majorBidi"/>
        </w:rPr>
        <w:t>[44]</w:t>
      </w:r>
      <w:r w:rsidRPr="004D14D6">
        <w:rPr>
          <w:rFonts w:asciiTheme="majorBidi" w:hAnsiTheme="majorBidi" w:cstheme="majorBidi"/>
        </w:rPr>
        <w:t>, we prepared a 1 × 10^5 CFU/mL concentration of each tested strain in 50 mL MHB separately through incubation at 37 °C with shaking at 150 rpm for four hours. We then added 5 mL of each sample (2× MIC) to each flask containing the pre-incubated bacteria. At various time points (0, 2, 4, 6, 8, and 24 hours) at 37 °C, we took aliquots and serially diluted them. We plated 100 microliters of each dilution on MHA and incubated it at 37 °C for 24 hours, including both positive and negative controls with inoculated and uninoculated MHB. During the initial 6-hour time-kill experiments, we monitored bacterial growth by measuring changes in viable bacteria (CFU/mL). We analyzed the data by calculating the average colony counts (Log10 CFU/mL) from three replicates per dilution at each time point. We set the detection limit at 2 Log10 CFU/</w:t>
      </w:r>
      <w:proofErr w:type="spellStart"/>
      <w:r w:rsidRPr="004D14D6">
        <w:rPr>
          <w:rFonts w:asciiTheme="majorBidi" w:hAnsiTheme="majorBidi" w:cstheme="majorBidi"/>
        </w:rPr>
        <w:t>mL.</w:t>
      </w:r>
      <w:proofErr w:type="spellEnd"/>
      <w:r w:rsidRPr="004D14D6">
        <w:rPr>
          <w:rFonts w:asciiTheme="majorBidi" w:hAnsiTheme="majorBidi" w:cstheme="majorBidi"/>
        </w:rPr>
        <w:t xml:space="preserve"> We defined bacteriostatic and bactericidal effects as reductions of 2 and 3 Log10 CFU/mL, respectively, compared to the initial inoculum.</w:t>
      </w:r>
    </w:p>
    <w:p w14:paraId="63CF21ED" w14:textId="77777777" w:rsidR="002E2C75" w:rsidRPr="004D14D6" w:rsidRDefault="002E2C75" w:rsidP="002E2C75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</w:rPr>
      </w:pPr>
      <w:r w:rsidRPr="004D14D6">
        <w:rPr>
          <w:rFonts w:asciiTheme="majorBidi" w:hAnsiTheme="majorBidi" w:cstheme="majorBidi"/>
          <w:b/>
          <w:bCs/>
          <w:i/>
          <w:iCs/>
        </w:rPr>
        <w:t>Anti-biofilm formation quantitative assay</w:t>
      </w:r>
    </w:p>
    <w:p w14:paraId="1C557B3C" w14:textId="454C7EE7" w:rsidR="002E2C75" w:rsidRPr="004D14D6" w:rsidRDefault="002E2C75" w:rsidP="002E2C75">
      <w:pPr>
        <w:spacing w:line="360" w:lineRule="auto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</w:rPr>
        <w:t xml:space="preserve">Our experiment followed the methods outlined by Kang et al. </w:t>
      </w:r>
      <w:r w:rsidR="00B67872" w:rsidRPr="004D14D6">
        <w:rPr>
          <w:rFonts w:asciiTheme="majorBidi" w:hAnsiTheme="majorBidi" w:cstheme="majorBidi"/>
        </w:rPr>
        <w:t>[46]</w:t>
      </w:r>
      <w:r w:rsidRPr="004D14D6">
        <w:rPr>
          <w:rFonts w:asciiTheme="majorBidi" w:hAnsiTheme="majorBidi" w:cstheme="majorBidi"/>
        </w:rPr>
        <w:t xml:space="preserve"> and Salem et al. </w:t>
      </w:r>
      <w:r w:rsidR="00B67872" w:rsidRPr="004D14D6">
        <w:rPr>
          <w:rFonts w:asciiTheme="majorBidi" w:hAnsiTheme="majorBidi" w:cstheme="majorBidi"/>
        </w:rPr>
        <w:t>[47]</w:t>
      </w:r>
      <w:r w:rsidRPr="004D14D6">
        <w:rPr>
          <w:rFonts w:asciiTheme="majorBidi" w:hAnsiTheme="majorBidi" w:cstheme="majorBidi"/>
        </w:rPr>
        <w:t xml:space="preserve">, with some minor changes. In brief, we added different concentrations of HD and SF oils (0.097-50 mg/mL) to 96-well polystyrene plates and inoculated each plate with 100 </w:t>
      </w:r>
      <w:proofErr w:type="spellStart"/>
      <w:r w:rsidRPr="004D14D6">
        <w:rPr>
          <w:rFonts w:asciiTheme="majorBidi" w:hAnsiTheme="majorBidi" w:cstheme="majorBidi"/>
        </w:rPr>
        <w:t>μL</w:t>
      </w:r>
      <w:proofErr w:type="spellEnd"/>
      <w:r w:rsidRPr="004D14D6">
        <w:rPr>
          <w:rFonts w:asciiTheme="majorBidi" w:hAnsiTheme="majorBidi" w:cstheme="majorBidi"/>
        </w:rPr>
        <w:t xml:space="preserve"> of a microbial culture (1 × 10^5 CFU/mL) individually. The plates were then incubated statically for 48 hours at 37°C, with anaerobic conditions for </w:t>
      </w:r>
      <w:r w:rsidRPr="004D14D6">
        <w:rPr>
          <w:rFonts w:asciiTheme="majorBidi" w:hAnsiTheme="majorBidi" w:cstheme="majorBidi"/>
          <w:i/>
          <w:iCs/>
        </w:rPr>
        <w:t>C.</w:t>
      </w:r>
      <w:r w:rsidRPr="004D14D6">
        <w:rPr>
          <w:rFonts w:asciiTheme="majorBidi" w:hAnsiTheme="majorBidi" w:cstheme="majorBidi"/>
        </w:rPr>
        <w:t xml:space="preserve"> </w:t>
      </w:r>
      <w:r w:rsidRPr="004D14D6">
        <w:rPr>
          <w:rFonts w:asciiTheme="majorBidi" w:hAnsiTheme="majorBidi" w:cstheme="majorBidi"/>
          <w:i/>
          <w:iCs/>
        </w:rPr>
        <w:t>perfringens</w:t>
      </w:r>
      <w:r w:rsidRPr="004D14D6">
        <w:rPr>
          <w:rFonts w:asciiTheme="majorBidi" w:hAnsiTheme="majorBidi" w:cstheme="majorBidi"/>
        </w:rPr>
        <w:t xml:space="preserve">. After incubation, we washed the plates twice with sterile PBS (pH 7.3) and air-dried them. To fix the biofilms, we added 400 </w:t>
      </w:r>
      <w:proofErr w:type="spellStart"/>
      <w:r w:rsidRPr="004D14D6">
        <w:rPr>
          <w:rFonts w:asciiTheme="majorBidi" w:hAnsiTheme="majorBidi" w:cstheme="majorBidi"/>
        </w:rPr>
        <w:t>μL</w:t>
      </w:r>
      <w:proofErr w:type="spellEnd"/>
      <w:r w:rsidRPr="004D14D6">
        <w:rPr>
          <w:rFonts w:asciiTheme="majorBidi" w:hAnsiTheme="majorBidi" w:cstheme="majorBidi"/>
        </w:rPr>
        <w:t xml:space="preserve"> of methanol (MeOH) for 15 minutes, followed by staining with a 1% crystal violet solution for 10 minutes. We then solubilized the stained biofilms by adding absolute ethanol to each well. We measured the </w:t>
      </w:r>
      <w:r w:rsidRPr="004D14D6">
        <w:rPr>
          <w:rFonts w:asciiTheme="majorBidi" w:hAnsiTheme="majorBidi" w:cstheme="majorBidi"/>
        </w:rPr>
        <w:lastRenderedPageBreak/>
        <w:t>absorbance at 630 nm using a microplate reader (</w:t>
      </w:r>
      <w:proofErr w:type="spellStart"/>
      <w:r w:rsidRPr="004D14D6">
        <w:rPr>
          <w:rFonts w:asciiTheme="majorBidi" w:hAnsiTheme="majorBidi" w:cstheme="majorBidi"/>
        </w:rPr>
        <w:t>ChroMate</w:t>
      </w:r>
      <w:proofErr w:type="spellEnd"/>
      <w:r w:rsidRPr="004D14D6">
        <w:rPr>
          <w:rFonts w:asciiTheme="majorBidi" w:hAnsiTheme="majorBidi" w:cstheme="majorBidi"/>
        </w:rPr>
        <w:t xml:space="preserve"> 4300, USA). The results were expressed as the percentage of biofilm formation inhibition, calculated using the formula: [(OD control – OD sample) / (OD control)] × 100, where OD represents optical density at 630 nm, and untreated cells served as the control. </w:t>
      </w:r>
    </w:p>
    <w:p w14:paraId="1665631F" w14:textId="77777777" w:rsidR="002E2C75" w:rsidRPr="004D14D6" w:rsidRDefault="002E2C75" w:rsidP="00B57B08">
      <w:pPr>
        <w:pStyle w:val="NoSpacing"/>
        <w:tabs>
          <w:tab w:val="left" w:pos="8460"/>
        </w:tabs>
        <w:spacing w:line="360" w:lineRule="auto"/>
        <w:jc w:val="both"/>
        <w:rPr>
          <w:rFonts w:asciiTheme="majorBidi" w:eastAsiaTheme="minorHAnsi" w:hAnsiTheme="majorBidi" w:cstheme="majorBidi"/>
          <w:kern w:val="2"/>
          <w14:ligatures w14:val="standardContextual"/>
        </w:rPr>
      </w:pPr>
    </w:p>
    <w:p w14:paraId="7B5B7DA1" w14:textId="77777777" w:rsidR="007D08E7" w:rsidRPr="004D14D6" w:rsidRDefault="007D08E7" w:rsidP="007D08E7">
      <w:pPr>
        <w:spacing w:line="360" w:lineRule="auto"/>
        <w:jc w:val="both"/>
        <w:rPr>
          <w:rFonts w:asciiTheme="majorBidi" w:hAnsiTheme="majorBidi" w:cstheme="majorBidi"/>
        </w:rPr>
      </w:pPr>
    </w:p>
    <w:p w14:paraId="57600A46" w14:textId="77777777" w:rsidR="007D08E7" w:rsidRPr="004D14D6" w:rsidRDefault="007D08E7" w:rsidP="007D08E7">
      <w:pPr>
        <w:spacing w:line="360" w:lineRule="auto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279FA6F1" wp14:editId="32D4404C">
            <wp:extent cx="5943600" cy="1912673"/>
            <wp:effectExtent l="0" t="0" r="0" b="0"/>
            <wp:docPr id="1057304009" name="Picture 1" descr="A graph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304009" name="Picture 1" descr="A graph of a number&#10;&#10;AI-generated content may be incorrect."/>
                    <pic:cNvPicPr/>
                  </pic:nvPicPr>
                  <pic:blipFill rotWithShape="1">
                    <a:blip r:embed="rId7"/>
                    <a:srcRect t="8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2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702DD" w14:textId="7FEF8FE8" w:rsidR="007D08E7" w:rsidRPr="004D14D6" w:rsidRDefault="007D08E7" w:rsidP="007D08E7">
      <w:p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  <w:b/>
          <w:bCs/>
        </w:rPr>
        <w:t xml:space="preserve">        Fig. S1 </w:t>
      </w:r>
      <w:r w:rsidRPr="004D14D6">
        <w:rPr>
          <w:rFonts w:asciiTheme="majorBidi" w:hAnsiTheme="majorBidi" w:cstheme="majorBidi"/>
        </w:rPr>
        <w:t xml:space="preserve">GC/MS chromatogram of essential oil extracted by HD from </w:t>
      </w:r>
      <w:r w:rsidRPr="004D14D6">
        <w:rPr>
          <w:rFonts w:asciiTheme="majorBidi" w:hAnsiTheme="majorBidi" w:cstheme="majorBidi"/>
          <w:i/>
          <w:iCs/>
        </w:rPr>
        <w:t xml:space="preserve">S. </w:t>
      </w:r>
      <w:proofErr w:type="spellStart"/>
      <w:r w:rsidRPr="004D14D6">
        <w:rPr>
          <w:rFonts w:asciiTheme="majorBidi" w:hAnsiTheme="majorBidi" w:cstheme="majorBidi"/>
          <w:i/>
          <w:iCs/>
        </w:rPr>
        <w:t>fruticosa</w:t>
      </w:r>
      <w:proofErr w:type="spellEnd"/>
      <w:r w:rsidRPr="004D14D6">
        <w:rPr>
          <w:rFonts w:asciiTheme="majorBidi" w:hAnsiTheme="majorBidi" w:cstheme="majorBidi"/>
        </w:rPr>
        <w:t xml:space="preserve"> aerial parts. </w:t>
      </w:r>
    </w:p>
    <w:p w14:paraId="62B58D2F" w14:textId="77777777" w:rsidR="007D08E7" w:rsidRPr="004D14D6" w:rsidRDefault="007D08E7" w:rsidP="007D08E7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4D14D6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13B367CC" wp14:editId="64A1BBD3">
            <wp:extent cx="5943600" cy="1901234"/>
            <wp:effectExtent l="0" t="0" r="0" b="3810"/>
            <wp:docPr id="2045496611" name="Picture 1" descr="A graph of a chemical rea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96611" name="Picture 1" descr="A graph of a chemical reaction&#10;&#10;AI-generated content may be incorrect."/>
                    <pic:cNvPicPr/>
                  </pic:nvPicPr>
                  <pic:blipFill rotWithShape="1">
                    <a:blip r:embed="rId8"/>
                    <a:srcRect t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01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6270D" w14:textId="2470B264" w:rsidR="007D08E7" w:rsidRPr="004D14D6" w:rsidRDefault="007D08E7" w:rsidP="007D08E7">
      <w:p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  <w:b/>
          <w:bCs/>
        </w:rPr>
        <w:t xml:space="preserve">            Fig. S2 </w:t>
      </w:r>
      <w:r w:rsidRPr="004D14D6">
        <w:rPr>
          <w:rFonts w:asciiTheme="majorBidi" w:hAnsiTheme="majorBidi" w:cstheme="majorBidi"/>
        </w:rPr>
        <w:t xml:space="preserve">GC/MS-HS chromatogram of essential oil from </w:t>
      </w:r>
      <w:r w:rsidRPr="004D14D6">
        <w:rPr>
          <w:rFonts w:asciiTheme="majorBidi" w:hAnsiTheme="majorBidi" w:cstheme="majorBidi"/>
          <w:i/>
          <w:iCs/>
        </w:rPr>
        <w:t xml:space="preserve">S. </w:t>
      </w:r>
      <w:proofErr w:type="spellStart"/>
      <w:r w:rsidRPr="004D14D6">
        <w:rPr>
          <w:rFonts w:asciiTheme="majorBidi" w:hAnsiTheme="majorBidi" w:cstheme="majorBidi"/>
          <w:i/>
          <w:iCs/>
        </w:rPr>
        <w:t>fruticosa</w:t>
      </w:r>
      <w:proofErr w:type="spellEnd"/>
      <w:r w:rsidRPr="004D14D6">
        <w:rPr>
          <w:rFonts w:asciiTheme="majorBidi" w:hAnsiTheme="majorBidi" w:cstheme="majorBidi"/>
        </w:rPr>
        <w:t xml:space="preserve"> aerial parts. </w:t>
      </w:r>
    </w:p>
    <w:p w14:paraId="23451BE7" w14:textId="77777777" w:rsidR="007D08E7" w:rsidRPr="004D14D6" w:rsidRDefault="007D08E7" w:rsidP="007D08E7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4D14D6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2BAF68C4" wp14:editId="0352FC40">
            <wp:extent cx="5943600" cy="1875881"/>
            <wp:effectExtent l="0" t="0" r="0" b="0"/>
            <wp:docPr id="243061226" name="Picture 1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61226" name="Picture 1" descr="A graph with numbers and lines&#10;&#10;AI-generated content may be incorrect."/>
                    <pic:cNvPicPr/>
                  </pic:nvPicPr>
                  <pic:blipFill rotWithShape="1">
                    <a:blip r:embed="rId9"/>
                    <a:srcRect t="8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5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6D9E8" w14:textId="55DD40A1" w:rsidR="007D08E7" w:rsidRPr="004D14D6" w:rsidRDefault="007D08E7" w:rsidP="004F43BE">
      <w:pPr>
        <w:spacing w:line="360" w:lineRule="auto"/>
        <w:ind w:hanging="360"/>
        <w:jc w:val="both"/>
        <w:rPr>
          <w:rFonts w:asciiTheme="majorBidi" w:hAnsiTheme="majorBidi" w:cstheme="majorBidi"/>
          <w:b/>
          <w:bCs/>
        </w:rPr>
      </w:pPr>
      <w:r w:rsidRPr="004D14D6">
        <w:rPr>
          <w:rFonts w:asciiTheme="majorBidi" w:hAnsiTheme="majorBidi" w:cstheme="majorBidi"/>
          <w:b/>
          <w:bCs/>
        </w:rPr>
        <w:lastRenderedPageBreak/>
        <w:t xml:space="preserve">        Fig. S3 </w:t>
      </w:r>
      <w:r w:rsidR="004F43BE" w:rsidRPr="004D14D6">
        <w:rPr>
          <w:rFonts w:asciiTheme="majorBidi" w:hAnsiTheme="majorBidi" w:cstheme="majorBidi"/>
        </w:rPr>
        <w:t xml:space="preserve">GC/MS chromatogram of essential oil extracted by SF from </w:t>
      </w:r>
      <w:r w:rsidR="004F43BE" w:rsidRPr="004D14D6">
        <w:rPr>
          <w:rFonts w:asciiTheme="majorBidi" w:hAnsiTheme="majorBidi" w:cstheme="majorBidi"/>
          <w:i/>
          <w:iCs/>
        </w:rPr>
        <w:t xml:space="preserve">S. </w:t>
      </w:r>
      <w:proofErr w:type="spellStart"/>
      <w:r w:rsidR="004F43BE" w:rsidRPr="004D14D6">
        <w:rPr>
          <w:rFonts w:asciiTheme="majorBidi" w:hAnsiTheme="majorBidi" w:cstheme="majorBidi"/>
          <w:i/>
          <w:iCs/>
        </w:rPr>
        <w:t>fruticosa</w:t>
      </w:r>
      <w:proofErr w:type="spellEnd"/>
      <w:r w:rsidR="004F43BE" w:rsidRPr="004D14D6">
        <w:rPr>
          <w:rFonts w:asciiTheme="majorBidi" w:hAnsiTheme="majorBidi" w:cstheme="majorBidi"/>
        </w:rPr>
        <w:t xml:space="preserve"> aerial parts.</w:t>
      </w:r>
    </w:p>
    <w:p w14:paraId="733283C0" w14:textId="77777777" w:rsidR="007D08E7" w:rsidRPr="004D14D6" w:rsidRDefault="007D08E7" w:rsidP="007D08E7">
      <w:pPr>
        <w:spacing w:line="360" w:lineRule="auto"/>
        <w:ind w:hanging="360"/>
        <w:jc w:val="both"/>
        <w:rPr>
          <w:rFonts w:asciiTheme="majorBidi" w:hAnsiTheme="majorBidi" w:cstheme="majorBidi"/>
          <w:b/>
          <w:bCs/>
        </w:rPr>
      </w:pPr>
    </w:p>
    <w:p w14:paraId="52CB2CE6" w14:textId="7D91880B" w:rsidR="000803C0" w:rsidRPr="004D14D6" w:rsidRDefault="000803C0" w:rsidP="007D08E7">
      <w:pPr>
        <w:spacing w:line="360" w:lineRule="auto"/>
        <w:ind w:hanging="360"/>
        <w:jc w:val="both"/>
        <w:rPr>
          <w:rFonts w:asciiTheme="majorBidi" w:hAnsiTheme="majorBidi" w:cstheme="majorBidi"/>
          <w:b/>
          <w:bCs/>
        </w:rPr>
      </w:pPr>
      <w:r w:rsidRPr="004D14D6">
        <w:rPr>
          <w:rFonts w:asciiTheme="majorBidi" w:hAnsiTheme="majorBidi" w:cstheme="majorBidi"/>
          <w:b/>
          <w:bCs/>
        </w:rPr>
        <w:t xml:space="preserve">            References</w:t>
      </w:r>
    </w:p>
    <w:p w14:paraId="51DA6A7B" w14:textId="158D83A0" w:rsidR="001D03A7" w:rsidRPr="004D14D6" w:rsidRDefault="001D03A7" w:rsidP="001D03A7">
      <w:pPr>
        <w:pStyle w:val="ListParagraph"/>
        <w:spacing w:after="160" w:line="360" w:lineRule="auto"/>
        <w:jc w:val="both"/>
      </w:pPr>
      <w:r w:rsidRPr="004D14D6">
        <w:rPr>
          <w:rFonts w:asciiTheme="majorBidi" w:hAnsiTheme="majorBidi" w:cstheme="majorBidi"/>
          <w:lang w:bidi="ar-EG"/>
        </w:rPr>
        <w:t xml:space="preserve">Jati PTS, </w:t>
      </w:r>
      <w:proofErr w:type="spellStart"/>
      <w:r w:rsidRPr="004D14D6">
        <w:rPr>
          <w:rFonts w:asciiTheme="majorBidi" w:hAnsiTheme="majorBidi" w:cstheme="majorBidi"/>
          <w:lang w:bidi="ar-EG"/>
        </w:rPr>
        <w:t>Wiradiestia</w:t>
      </w:r>
      <w:proofErr w:type="spellEnd"/>
      <w:r w:rsidRPr="004D14D6">
        <w:rPr>
          <w:rFonts w:asciiTheme="majorBidi" w:hAnsiTheme="majorBidi" w:cstheme="majorBidi"/>
          <w:lang w:bidi="ar-EG"/>
        </w:rPr>
        <w:t xml:space="preserve"> D, </w:t>
      </w:r>
      <w:proofErr w:type="spellStart"/>
      <w:r w:rsidRPr="004D14D6">
        <w:rPr>
          <w:rFonts w:asciiTheme="majorBidi" w:hAnsiTheme="majorBidi" w:cstheme="majorBidi"/>
          <w:lang w:bidi="ar-EG"/>
        </w:rPr>
        <w:t>Altway</w:t>
      </w:r>
      <w:proofErr w:type="spellEnd"/>
      <w:r w:rsidRPr="004D14D6">
        <w:rPr>
          <w:rFonts w:asciiTheme="majorBidi" w:hAnsiTheme="majorBidi" w:cstheme="majorBidi"/>
          <w:lang w:bidi="ar-EG"/>
        </w:rPr>
        <w:t xml:space="preserve"> A, </w:t>
      </w:r>
      <w:proofErr w:type="spellStart"/>
      <w:r w:rsidRPr="004D14D6">
        <w:rPr>
          <w:rFonts w:asciiTheme="majorBidi" w:hAnsiTheme="majorBidi" w:cstheme="majorBidi"/>
          <w:lang w:bidi="ar-EG"/>
        </w:rPr>
        <w:t>Winardi</w:t>
      </w:r>
      <w:proofErr w:type="spellEnd"/>
      <w:r w:rsidRPr="004D14D6">
        <w:rPr>
          <w:rFonts w:asciiTheme="majorBidi" w:hAnsiTheme="majorBidi" w:cstheme="majorBidi"/>
          <w:lang w:bidi="ar-EG"/>
        </w:rPr>
        <w:t xml:space="preserve"> S, </w:t>
      </w:r>
      <w:proofErr w:type="spellStart"/>
      <w:r w:rsidRPr="004D14D6">
        <w:rPr>
          <w:rFonts w:asciiTheme="majorBidi" w:hAnsiTheme="majorBidi" w:cstheme="majorBidi"/>
          <w:lang w:bidi="ar-EG"/>
        </w:rPr>
        <w:t>Machmudah</w:t>
      </w:r>
      <w:proofErr w:type="spellEnd"/>
      <w:r w:rsidRPr="004D14D6">
        <w:rPr>
          <w:rFonts w:asciiTheme="majorBidi" w:hAnsiTheme="majorBidi" w:cstheme="majorBidi"/>
          <w:lang w:bidi="ar-EG"/>
        </w:rPr>
        <w:t xml:space="preserve"> S. Extraction process optimization of Curcumin from </w:t>
      </w:r>
      <w:r w:rsidRPr="004D14D6">
        <w:rPr>
          <w:rFonts w:asciiTheme="majorBidi" w:hAnsiTheme="majorBidi" w:cstheme="majorBidi"/>
          <w:i/>
          <w:iCs/>
          <w:lang w:bidi="ar-EG"/>
        </w:rPr>
        <w:t xml:space="preserve">Curcuma </w:t>
      </w:r>
      <w:proofErr w:type="spellStart"/>
      <w:r w:rsidRPr="004D14D6">
        <w:rPr>
          <w:rFonts w:asciiTheme="majorBidi" w:hAnsiTheme="majorBidi" w:cstheme="majorBidi"/>
          <w:i/>
          <w:iCs/>
          <w:lang w:bidi="ar-EG"/>
        </w:rPr>
        <w:t>xanthorrhiza</w:t>
      </w:r>
      <w:proofErr w:type="spellEnd"/>
      <w:r w:rsidRPr="004D14D6">
        <w:rPr>
          <w:rFonts w:asciiTheme="majorBidi" w:hAnsiTheme="majorBidi" w:cstheme="majorBidi"/>
          <w:lang w:bidi="ar-EG"/>
        </w:rPr>
        <w:t xml:space="preserve"> Roxb. with supercritical carbon dioxide using ethanol as a cosolvent. ACS omega. 2024;9(1):1251-1264</w:t>
      </w:r>
      <w:r w:rsidR="00151648" w:rsidRPr="004D14D6">
        <w:rPr>
          <w:rFonts w:asciiTheme="majorBidi" w:hAnsiTheme="majorBidi" w:cstheme="majorBidi"/>
        </w:rPr>
        <w:t>;</w:t>
      </w:r>
      <w:r w:rsidRPr="004D14D6">
        <w:rPr>
          <w:rFonts w:asciiTheme="majorBidi" w:hAnsiTheme="majorBidi" w:cstheme="majorBidi"/>
        </w:rPr>
        <w:t xml:space="preserve"> </w:t>
      </w:r>
      <w:hyperlink r:id="rId10" w:history="1">
        <w:r w:rsidRPr="004D14D6">
          <w:rPr>
            <w:rStyle w:val="Hyperlink"/>
            <w:rFonts w:asciiTheme="majorBidi" w:hAnsiTheme="majorBidi" w:cstheme="majorBidi"/>
            <w:lang w:bidi="ar-EG"/>
          </w:rPr>
          <w:t>https://doi.org/10.1021/acsomega.3c07497</w:t>
        </w:r>
      </w:hyperlink>
      <w:r w:rsidRPr="004D14D6">
        <w:t>.</w:t>
      </w:r>
    </w:p>
    <w:p w14:paraId="2EB6C084" w14:textId="77777777" w:rsidR="001D03A7" w:rsidRPr="004D14D6" w:rsidRDefault="001D03A7" w:rsidP="001D03A7">
      <w:pPr>
        <w:pStyle w:val="ListParagraph"/>
        <w:spacing w:after="160" w:line="360" w:lineRule="auto"/>
        <w:jc w:val="both"/>
        <w:rPr>
          <w:rFonts w:asciiTheme="majorBidi" w:hAnsiTheme="majorBidi" w:cstheme="majorBidi"/>
          <w:lang w:bidi="ar-EG"/>
        </w:rPr>
      </w:pPr>
    </w:p>
    <w:p w14:paraId="4333DD68" w14:textId="09B90BA5" w:rsidR="001D03A7" w:rsidRPr="001D03A7" w:rsidRDefault="001D03A7" w:rsidP="001D03A7">
      <w:pPr>
        <w:pStyle w:val="ListParagraph"/>
        <w:tabs>
          <w:tab w:val="left" w:pos="-360"/>
        </w:tabs>
        <w:spacing w:after="160" w:line="360" w:lineRule="auto"/>
        <w:ind w:left="810"/>
        <w:jc w:val="both"/>
        <w:rPr>
          <w:rFonts w:asciiTheme="majorBidi" w:hAnsiTheme="majorBidi" w:cstheme="majorBidi"/>
        </w:rPr>
      </w:pPr>
      <w:r w:rsidRPr="004D14D6">
        <w:rPr>
          <w:rFonts w:asciiTheme="majorBidi" w:hAnsiTheme="majorBidi" w:cstheme="majorBidi"/>
        </w:rPr>
        <w:t>Adams RP.</w:t>
      </w:r>
      <w:r w:rsidRPr="004D14D6">
        <w:rPr>
          <w:rFonts w:asciiTheme="majorBidi" w:eastAsia="MyriadPro-Light" w:hAnsiTheme="majorBidi" w:cstheme="majorBidi"/>
        </w:rPr>
        <w:t xml:space="preserve"> </w:t>
      </w:r>
      <w:r w:rsidRPr="004D14D6">
        <w:rPr>
          <w:rFonts w:asciiTheme="majorBidi" w:hAnsiTheme="majorBidi" w:cstheme="majorBidi"/>
        </w:rPr>
        <w:t xml:space="preserve">Identification of essential oil components by gas chromatography/ quadrupole mass spectroscopy. J. Am. Soc. Mass </w:t>
      </w:r>
      <w:proofErr w:type="spellStart"/>
      <w:r w:rsidRPr="004D14D6">
        <w:rPr>
          <w:rFonts w:asciiTheme="majorBidi" w:hAnsiTheme="majorBidi" w:cstheme="majorBidi"/>
        </w:rPr>
        <w:t>Spectrom</w:t>
      </w:r>
      <w:proofErr w:type="spellEnd"/>
      <w:r w:rsidRPr="004D14D6">
        <w:rPr>
          <w:rFonts w:asciiTheme="majorBidi" w:eastAsia="MyriadPro-Light" w:hAnsiTheme="majorBidi" w:cstheme="majorBidi"/>
        </w:rPr>
        <w:t xml:space="preserve">. </w:t>
      </w:r>
      <w:proofErr w:type="gramStart"/>
      <w:r w:rsidRPr="004D14D6">
        <w:rPr>
          <w:rFonts w:asciiTheme="majorBidi" w:eastAsia="MyriadPro-Light" w:hAnsiTheme="majorBidi" w:cstheme="majorBidi"/>
        </w:rPr>
        <w:t>2005</w:t>
      </w:r>
      <w:r w:rsidRPr="004D14D6">
        <w:rPr>
          <w:rFonts w:asciiTheme="majorBidi" w:hAnsiTheme="majorBidi" w:cstheme="majorBidi"/>
        </w:rPr>
        <w:t>;</w:t>
      </w:r>
      <w:r w:rsidRPr="004D14D6">
        <w:rPr>
          <w:rFonts w:asciiTheme="majorBidi" w:eastAsia="MyriadPro-Light" w:hAnsiTheme="majorBidi" w:cstheme="majorBidi"/>
        </w:rPr>
        <w:t>16:1902</w:t>
      </w:r>
      <w:proofErr w:type="gramEnd"/>
      <w:r w:rsidRPr="004D14D6">
        <w:rPr>
          <w:rFonts w:asciiTheme="majorBidi" w:eastAsia="MyriadPro-Light" w:hAnsiTheme="majorBidi" w:cstheme="majorBidi"/>
        </w:rPr>
        <w:t>–3</w:t>
      </w:r>
      <w:r w:rsidR="00151648" w:rsidRPr="004D14D6">
        <w:rPr>
          <w:rFonts w:asciiTheme="majorBidi" w:hAnsiTheme="majorBidi" w:cstheme="majorBidi"/>
        </w:rPr>
        <w:t>;</w:t>
      </w:r>
      <w:r w:rsidRPr="004D14D6">
        <w:rPr>
          <w:rFonts w:asciiTheme="majorBidi" w:eastAsia="MyriadPro-Light" w:hAnsiTheme="majorBidi" w:cstheme="majorBidi"/>
        </w:rPr>
        <w:t xml:space="preserve"> https:// </w:t>
      </w:r>
      <w:proofErr w:type="spellStart"/>
      <w:r w:rsidRPr="004D14D6">
        <w:rPr>
          <w:rFonts w:asciiTheme="majorBidi" w:eastAsia="MyriadPro-Light" w:hAnsiTheme="majorBidi" w:cstheme="majorBidi"/>
        </w:rPr>
        <w:t>doi</w:t>
      </w:r>
      <w:proofErr w:type="spellEnd"/>
      <w:r w:rsidRPr="004D14D6">
        <w:rPr>
          <w:rFonts w:asciiTheme="majorBidi" w:eastAsia="MyriadPro-Light" w:hAnsiTheme="majorBidi" w:cstheme="majorBidi"/>
        </w:rPr>
        <w:t xml:space="preserve">. org/ 10. 1016/j. </w:t>
      </w:r>
      <w:proofErr w:type="spellStart"/>
      <w:r w:rsidRPr="004D14D6">
        <w:rPr>
          <w:rFonts w:asciiTheme="majorBidi" w:eastAsia="MyriadPro-Light" w:hAnsiTheme="majorBidi" w:cstheme="majorBidi"/>
        </w:rPr>
        <w:t>jasms</w:t>
      </w:r>
      <w:proofErr w:type="spellEnd"/>
      <w:r w:rsidRPr="004D14D6">
        <w:rPr>
          <w:rFonts w:asciiTheme="majorBidi" w:eastAsia="MyriadPro-Light" w:hAnsiTheme="majorBidi" w:cstheme="majorBidi"/>
        </w:rPr>
        <w:t>. 2005. 07. 008.</w:t>
      </w:r>
    </w:p>
    <w:p w14:paraId="73F56138" w14:textId="77777777" w:rsidR="007D08E7" w:rsidRDefault="007D08E7" w:rsidP="007D08E7">
      <w:pPr>
        <w:spacing w:line="360" w:lineRule="auto"/>
        <w:ind w:hanging="360"/>
        <w:jc w:val="both"/>
        <w:rPr>
          <w:rFonts w:asciiTheme="majorBidi" w:hAnsiTheme="majorBidi" w:cstheme="majorBidi"/>
          <w:b/>
          <w:bCs/>
        </w:rPr>
      </w:pPr>
    </w:p>
    <w:p w14:paraId="4A986A30" w14:textId="77777777" w:rsidR="00B57B08" w:rsidRPr="00266E02" w:rsidRDefault="00B57B08" w:rsidP="00B735B4">
      <w:pPr>
        <w:pStyle w:val="NoSpacing"/>
        <w:tabs>
          <w:tab w:val="left" w:pos="8460"/>
        </w:tabs>
        <w:spacing w:line="360" w:lineRule="auto"/>
        <w:jc w:val="both"/>
        <w:rPr>
          <w:rFonts w:asciiTheme="majorBidi" w:hAnsiTheme="majorBidi" w:cstheme="majorBidi"/>
        </w:rPr>
      </w:pPr>
    </w:p>
    <w:p w14:paraId="542E89AE" w14:textId="77777777" w:rsidR="00B735B4" w:rsidRPr="00266E02" w:rsidRDefault="00B735B4" w:rsidP="001B635C">
      <w:pPr>
        <w:spacing w:line="360" w:lineRule="auto"/>
        <w:jc w:val="both"/>
        <w:rPr>
          <w:rFonts w:asciiTheme="majorBidi" w:hAnsiTheme="majorBidi" w:cstheme="majorBidi"/>
        </w:rPr>
      </w:pPr>
    </w:p>
    <w:p w14:paraId="4B64D4F3" w14:textId="77777777" w:rsidR="00C40364" w:rsidRDefault="00C40364"/>
    <w:sectPr w:rsidR="00C40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51789" w14:textId="77777777" w:rsidR="00367F67" w:rsidRDefault="00367F67" w:rsidP="00151648">
      <w:r>
        <w:separator/>
      </w:r>
    </w:p>
  </w:endnote>
  <w:endnote w:type="continuationSeparator" w:id="0">
    <w:p w14:paraId="37E991F2" w14:textId="77777777" w:rsidR="00367F67" w:rsidRDefault="00367F67" w:rsidP="00151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isSI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DD317" w14:textId="77777777" w:rsidR="00367F67" w:rsidRDefault="00367F67" w:rsidP="00151648">
      <w:r>
        <w:separator/>
      </w:r>
    </w:p>
  </w:footnote>
  <w:footnote w:type="continuationSeparator" w:id="0">
    <w:p w14:paraId="0CCC8130" w14:textId="77777777" w:rsidR="00367F67" w:rsidRDefault="00367F67" w:rsidP="00151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C3B22"/>
    <w:multiLevelType w:val="hybridMultilevel"/>
    <w:tmpl w:val="AC802E5E"/>
    <w:lvl w:ilvl="0" w:tplc="3F980A8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18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4EE"/>
    <w:rsid w:val="00034156"/>
    <w:rsid w:val="000803C0"/>
    <w:rsid w:val="00126B8E"/>
    <w:rsid w:val="00151648"/>
    <w:rsid w:val="0018292C"/>
    <w:rsid w:val="001A4998"/>
    <w:rsid w:val="001B635C"/>
    <w:rsid w:val="001D03A7"/>
    <w:rsid w:val="001D2BD7"/>
    <w:rsid w:val="00232DFB"/>
    <w:rsid w:val="0029585E"/>
    <w:rsid w:val="002B0EE7"/>
    <w:rsid w:val="002E2C75"/>
    <w:rsid w:val="00302E12"/>
    <w:rsid w:val="00367F67"/>
    <w:rsid w:val="00394E8D"/>
    <w:rsid w:val="003B049A"/>
    <w:rsid w:val="004666C0"/>
    <w:rsid w:val="004D14D6"/>
    <w:rsid w:val="004F43BE"/>
    <w:rsid w:val="00503E80"/>
    <w:rsid w:val="00582EB3"/>
    <w:rsid w:val="005854EE"/>
    <w:rsid w:val="007A4E51"/>
    <w:rsid w:val="007A715D"/>
    <w:rsid w:val="007D08E7"/>
    <w:rsid w:val="00B57B08"/>
    <w:rsid w:val="00B67872"/>
    <w:rsid w:val="00B735B4"/>
    <w:rsid w:val="00BE365E"/>
    <w:rsid w:val="00C40364"/>
    <w:rsid w:val="00CA11E9"/>
    <w:rsid w:val="00D57965"/>
    <w:rsid w:val="00D91B5C"/>
    <w:rsid w:val="00D93D4C"/>
    <w:rsid w:val="00DB75E5"/>
    <w:rsid w:val="00E10CC3"/>
    <w:rsid w:val="00EB6772"/>
    <w:rsid w:val="00F6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478CB"/>
  <w15:chartTrackingRefBased/>
  <w15:docId w15:val="{A9736944-1F44-4602-9D0E-ED3A7994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BD7"/>
    <w:pPr>
      <w:ind w:left="720"/>
      <w:contextualSpacing/>
    </w:pPr>
  </w:style>
  <w:style w:type="paragraph" w:styleId="NoSpacing">
    <w:name w:val="No Spacing"/>
    <w:uiPriority w:val="1"/>
    <w:qFormat/>
    <w:rsid w:val="00B7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1D03A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16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64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16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6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1021/acsomega.3c0749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1589</Words>
  <Characters>9586</Characters>
  <Application>Microsoft Office Word</Application>
  <DocSecurity>0</DocSecurity>
  <Lines>191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Nashwa Elsayed</cp:lastModifiedBy>
  <cp:revision>14</cp:revision>
  <dcterms:created xsi:type="dcterms:W3CDTF">2025-09-12T21:21:00Z</dcterms:created>
  <dcterms:modified xsi:type="dcterms:W3CDTF">2026-03-31T23:47:00Z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3e03e99b-5174-4cc3-bb00-7b8a1f564b21</vt:lpwstr>
  </property>
</Properties>
</file>