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0B681">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The fingerprint of </w:t>
      </w:r>
      <w:bookmarkStart w:id="0" w:name="_Hlk104234384"/>
      <w:r>
        <w:rPr>
          <w:rFonts w:hint="default" w:ascii="Times New Roman" w:hAnsi="Times New Roman" w:cs="Times New Roman"/>
          <w:sz w:val="24"/>
          <w:szCs w:val="24"/>
        </w:rPr>
        <w:t>Fructus auranti</w:t>
      </w:r>
      <w:bookmarkEnd w:id="0"/>
      <w:r>
        <w:rPr>
          <w:rFonts w:hint="default" w:ascii="Times New Roman" w:hAnsi="Times New Roman" w:cs="Times New Roman"/>
          <w:sz w:val="24"/>
          <w:szCs w:val="24"/>
        </w:rPr>
        <w:t>i (FA) has been studied in the previous research</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lang w:eastAsia="zh-CN"/>
        </w:rPr>
        <w:instrText xml:space="preserve"> ADDIN EN.CITE &lt;EndNote&gt;&lt;Cite&gt;&lt;Author&gt;Wang&lt;/Author&gt;&lt;Year&gt;2021&lt;/Year&gt;&lt;RecNum&gt;86&lt;/RecNum&gt;&lt;DisplayText&gt;[1]&lt;/DisplayText&gt;&lt;record&gt;&lt;rec-number&gt;86&lt;/rec-number&gt;&lt;foreign-keys&gt;&lt;key app="EN" db-id="f5ts2zdtivpswceeffmpzv96pw09e2sxp229" timestamp="1653310800"&gt;86&lt;/key&gt;&lt;/foreign-keys&gt;&lt;ref-type name="Journal Article"&gt;17&lt;/ref-type&gt;&lt;contributors&gt;&lt;authors&gt;&lt;author&gt;Wang, H.&lt;/author&gt;&lt;author&gt;Zhong, P.&lt;/author&gt;&lt;author&gt;Liang, J.&lt;/author&gt;&lt;author&gt;Zhou, M.&lt;/author&gt;&lt;author&gt;Chen, K.&lt;/author&gt;&lt;author&gt;Xia, Q.&lt;/author&gt;&lt;/authors&gt;&lt;/contributors&gt;&lt;titles&gt;&lt;title&gt;&lt;style face="normal" font="default" charset="134" size="100%"&gt;Correlation analysis between HPLC fingerprint and small intestinal propelling of processed Fructus aurantii&lt;/style&gt;&lt;/title&gt;&lt;secondary-title&gt;Chinese Traditional  Patent Medicine&lt;/secondary-title&gt;&lt;/titles&gt;&lt;periodical&gt;&lt;full-title&gt;Chinese Traditional  Patent Medicine&lt;/full-title&gt;&lt;/periodical&gt;&lt;pages&gt;5&lt;/pages&gt;&lt;volume&gt;43&lt;/volume&gt;&lt;number&gt;3&lt;/number&gt;&lt;dates&gt;&lt;year&gt;2021&lt;/year&gt;&lt;/dates&gt;&lt;urls&gt;&lt;/urls&gt;&lt;/record&gt;&lt;/Cite&gt;&lt;/EndNote&gt;</w:instrText>
      </w:r>
      <w:r>
        <w:rPr>
          <w:rFonts w:hint="default" w:ascii="Times New Roman" w:hAnsi="Times New Roman" w:cs="Times New Roman"/>
          <w:sz w:val="24"/>
          <w:szCs w:val="24"/>
        </w:rPr>
        <w:fldChar w:fldCharType="separate"/>
      </w:r>
      <w:r>
        <w:rPr>
          <w:rFonts w:hint="default" w:ascii="Times New Roman" w:hAnsi="Times New Roman" w:cs="Times New Roman" w:eastAsiaTheme="minorEastAsia"/>
          <w:kern w:val="2"/>
          <w:sz w:val="24"/>
          <w:szCs w:val="24"/>
          <w:lang w:val="en-US" w:eastAsia="zh-CN" w:bidi="ar-SA"/>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eastAsia="zh-CN"/>
        </w:rPr>
        <w:t>T</w:t>
      </w:r>
      <w:r>
        <w:rPr>
          <w:rFonts w:hint="default" w:ascii="Times New Roman" w:hAnsi="Times New Roman" w:cs="Times New Roman"/>
          <w:sz w:val="24"/>
          <w:szCs w:val="24"/>
        </w:rPr>
        <w:t>he specific methods/data are as follows:</w:t>
      </w:r>
    </w:p>
    <w:p w14:paraId="4B390ACE">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1 Materials and methods</w:t>
      </w:r>
    </w:p>
    <w:p w14:paraId="6660538E">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1.1 Plant material</w:t>
      </w:r>
    </w:p>
    <w:p w14:paraId="7E29CA1D">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FA</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was collected from different regions (</w:t>
      </w:r>
      <w:r>
        <w:rPr>
          <w:rFonts w:hint="default" w:ascii="Times New Roman" w:hAnsi="Times New Roman" w:cs="Times New Roman"/>
          <w:b/>
          <w:bCs/>
          <w:sz w:val="24"/>
          <w:szCs w:val="24"/>
        </w:rPr>
        <w:t>Table S1</w:t>
      </w:r>
      <w:r>
        <w:rPr>
          <w:rFonts w:hint="default" w:ascii="Times New Roman" w:hAnsi="Times New Roman" w:cs="Times New Roman"/>
          <w:b/>
          <w:bCs/>
          <w:sz w:val="24"/>
          <w:szCs w:val="24"/>
          <w:lang w:val="en-US" w:eastAsia="zh-CN"/>
        </w:rPr>
        <w:t>3</w:t>
      </w:r>
      <w:r>
        <w:rPr>
          <w:rFonts w:hint="default" w:ascii="Times New Roman" w:hAnsi="Times New Roman" w:cs="Times New Roman"/>
          <w:sz w:val="24"/>
          <w:szCs w:val="24"/>
        </w:rPr>
        <w:t>).</w:t>
      </w:r>
    </w:p>
    <w:p w14:paraId="523374DB">
      <w:pPr>
        <w:spacing w:line="360" w:lineRule="auto"/>
        <w:jc w:val="center"/>
        <w:rPr>
          <w:rFonts w:hint="default" w:ascii="Times New Roman" w:hAnsi="Times New Roman" w:cs="Times New Roman"/>
          <w:sz w:val="24"/>
          <w:szCs w:val="24"/>
        </w:rPr>
      </w:pPr>
      <w:r>
        <w:rPr>
          <w:rFonts w:hint="default" w:ascii="Times New Roman" w:hAnsi="Times New Roman" w:cs="Times New Roman"/>
          <w:b/>
          <w:bCs/>
          <w:sz w:val="24"/>
          <w:szCs w:val="24"/>
        </w:rPr>
        <w:t>Table S1</w:t>
      </w:r>
      <w:r>
        <w:rPr>
          <w:rFonts w:hint="default" w:ascii="Times New Roman" w:hAnsi="Times New Roman" w:cs="Times New Roman"/>
          <w:b/>
          <w:bCs/>
          <w:sz w:val="24"/>
          <w:szCs w:val="24"/>
          <w:lang w:val="en-US" w:eastAsia="zh-CN"/>
        </w:rPr>
        <w:t>3</w:t>
      </w:r>
      <w:r>
        <w:rPr>
          <w:rFonts w:hint="default" w:ascii="Times New Roman" w:hAnsi="Times New Roman" w:cs="Times New Roman"/>
          <w:sz w:val="24"/>
          <w:szCs w:val="24"/>
        </w:rPr>
        <w:t xml:space="preserve"> Sources of </w:t>
      </w:r>
      <w:bookmarkStart w:id="1" w:name="OLE_LINK1"/>
      <w:bookmarkStart w:id="2" w:name="OLE_LINK2"/>
      <w:r>
        <w:rPr>
          <w:rFonts w:hint="default" w:ascii="Times New Roman" w:hAnsi="Times New Roman" w:cs="Times New Roman"/>
          <w:sz w:val="24"/>
          <w:szCs w:val="24"/>
        </w:rPr>
        <w:t>Fructus auranti</w:t>
      </w:r>
      <w:bookmarkEnd w:id="1"/>
      <w:bookmarkEnd w:id="2"/>
      <w:r>
        <w:rPr>
          <w:rFonts w:hint="default" w:ascii="Times New Roman" w:hAnsi="Times New Roman" w:cs="Times New Roman"/>
          <w:sz w:val="24"/>
          <w:szCs w:val="24"/>
        </w:rPr>
        <w:t xml:space="preserve">i </w:t>
      </w:r>
    </w:p>
    <w:tbl>
      <w:tblPr>
        <w:tblStyle w:val="6"/>
        <w:tblW w:w="80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5"/>
        <w:gridCol w:w="7050"/>
      </w:tblGrid>
      <w:tr w14:paraId="35EA2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35" w:type="dxa"/>
            <w:tcBorders>
              <w:top w:val="single" w:color="auto" w:sz="4" w:space="0"/>
              <w:left w:val="nil"/>
              <w:bottom w:val="single" w:color="auto" w:sz="4" w:space="0"/>
              <w:right w:val="nil"/>
            </w:tcBorders>
            <w:shd w:val="clear" w:color="auto" w:fill="auto"/>
            <w:noWrap/>
            <w:vAlign w:val="center"/>
          </w:tcPr>
          <w:p w14:paraId="1B2F785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FA</w:t>
            </w:r>
          </w:p>
        </w:tc>
        <w:tc>
          <w:tcPr>
            <w:tcW w:w="7050" w:type="dxa"/>
            <w:tcBorders>
              <w:top w:val="single" w:color="auto" w:sz="4" w:space="0"/>
              <w:left w:val="nil"/>
              <w:bottom w:val="single" w:color="auto" w:sz="4" w:space="0"/>
              <w:right w:val="nil"/>
            </w:tcBorders>
            <w:shd w:val="clear" w:color="auto" w:fill="auto"/>
            <w:noWrap/>
            <w:vAlign w:val="center"/>
          </w:tcPr>
          <w:p w14:paraId="507FDE4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Origin</w:t>
            </w:r>
          </w:p>
        </w:tc>
      </w:tr>
      <w:tr w14:paraId="025EA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auto" w:sz="4" w:space="0"/>
              <w:left w:val="nil"/>
              <w:bottom w:val="nil"/>
              <w:right w:val="nil"/>
            </w:tcBorders>
            <w:shd w:val="clear" w:color="auto" w:fill="auto"/>
            <w:noWrap/>
            <w:vAlign w:val="center"/>
          </w:tcPr>
          <w:p w14:paraId="1E5355E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S1</w:t>
            </w:r>
          </w:p>
        </w:tc>
        <w:tc>
          <w:tcPr>
            <w:tcW w:w="0" w:type="auto"/>
            <w:tcBorders>
              <w:top w:val="single" w:color="auto" w:sz="4" w:space="0"/>
              <w:left w:val="nil"/>
              <w:bottom w:val="nil"/>
              <w:right w:val="nil"/>
            </w:tcBorders>
            <w:shd w:val="clear" w:color="auto" w:fill="auto"/>
            <w:noWrap/>
            <w:vAlign w:val="center"/>
          </w:tcPr>
          <w:p w14:paraId="34F76A4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Hunan province</w:t>
            </w:r>
          </w:p>
        </w:tc>
      </w:tr>
      <w:tr w14:paraId="3B4D2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5B8F332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S2</w:t>
            </w:r>
          </w:p>
        </w:tc>
        <w:tc>
          <w:tcPr>
            <w:tcW w:w="0" w:type="auto"/>
            <w:tcBorders>
              <w:top w:val="nil"/>
              <w:left w:val="nil"/>
              <w:bottom w:val="nil"/>
              <w:right w:val="nil"/>
            </w:tcBorders>
            <w:shd w:val="clear" w:color="auto" w:fill="auto"/>
            <w:noWrap/>
            <w:vAlign w:val="center"/>
          </w:tcPr>
          <w:p w14:paraId="59CEA5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Jiangxi (Jiangzhong TCM Decoction Tablets Company)</w:t>
            </w:r>
          </w:p>
        </w:tc>
      </w:tr>
      <w:tr w14:paraId="2D0AC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3AAA58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S3</w:t>
            </w:r>
          </w:p>
        </w:tc>
        <w:tc>
          <w:tcPr>
            <w:tcW w:w="0" w:type="auto"/>
            <w:tcBorders>
              <w:top w:val="nil"/>
              <w:left w:val="nil"/>
              <w:bottom w:val="nil"/>
              <w:right w:val="nil"/>
            </w:tcBorders>
            <w:shd w:val="clear" w:color="auto" w:fill="auto"/>
            <w:noWrap/>
            <w:vAlign w:val="center"/>
          </w:tcPr>
          <w:p w14:paraId="09A368E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Zhejiang (Foshan Nanhai Beisha Pharmaceutical Processing Plant)</w:t>
            </w:r>
          </w:p>
        </w:tc>
      </w:tr>
      <w:tr w14:paraId="3E003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7C8324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S4</w:t>
            </w:r>
          </w:p>
        </w:tc>
        <w:tc>
          <w:tcPr>
            <w:tcW w:w="0" w:type="auto"/>
            <w:tcBorders>
              <w:top w:val="nil"/>
              <w:left w:val="nil"/>
              <w:bottom w:val="nil"/>
              <w:right w:val="nil"/>
            </w:tcBorders>
            <w:shd w:val="clear" w:color="auto" w:fill="auto"/>
            <w:noWrap/>
            <w:vAlign w:val="center"/>
          </w:tcPr>
          <w:p w14:paraId="74C578E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Zhejiang (Foshan Nanhai Beisha Pharmaceutical Processing Plant)</w:t>
            </w:r>
          </w:p>
        </w:tc>
      </w:tr>
      <w:tr w14:paraId="160B4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65F3FAB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S5</w:t>
            </w:r>
          </w:p>
        </w:tc>
        <w:tc>
          <w:tcPr>
            <w:tcW w:w="0" w:type="auto"/>
            <w:tcBorders>
              <w:top w:val="nil"/>
              <w:left w:val="nil"/>
              <w:bottom w:val="nil"/>
              <w:right w:val="nil"/>
            </w:tcBorders>
            <w:shd w:val="clear" w:color="auto" w:fill="auto"/>
            <w:noWrap/>
            <w:vAlign w:val="center"/>
          </w:tcPr>
          <w:p w14:paraId="7A420E2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Jiangxi Province (Guangzhou Zhixin Pharmaceutical Group)</w:t>
            </w:r>
          </w:p>
        </w:tc>
      </w:tr>
      <w:tr w14:paraId="05E6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01EA284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S6</w:t>
            </w:r>
          </w:p>
        </w:tc>
        <w:tc>
          <w:tcPr>
            <w:tcW w:w="0" w:type="auto"/>
            <w:tcBorders>
              <w:top w:val="nil"/>
              <w:left w:val="nil"/>
              <w:bottom w:val="nil"/>
              <w:right w:val="nil"/>
            </w:tcBorders>
            <w:shd w:val="clear" w:color="auto" w:fill="auto"/>
            <w:noWrap/>
            <w:vAlign w:val="center"/>
          </w:tcPr>
          <w:p w14:paraId="3B54641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Hushan Town, Yichun, Jiangxi Province</w:t>
            </w:r>
          </w:p>
        </w:tc>
      </w:tr>
      <w:tr w14:paraId="5B302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239FC4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S7</w:t>
            </w:r>
          </w:p>
        </w:tc>
        <w:tc>
          <w:tcPr>
            <w:tcW w:w="0" w:type="auto"/>
            <w:tcBorders>
              <w:top w:val="nil"/>
              <w:left w:val="nil"/>
              <w:bottom w:val="nil"/>
              <w:right w:val="nil"/>
            </w:tcBorders>
            <w:shd w:val="clear" w:color="auto" w:fill="auto"/>
            <w:noWrap/>
            <w:vAlign w:val="center"/>
          </w:tcPr>
          <w:p w14:paraId="75A235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Yichun lou Town, Jiangxi</w:t>
            </w:r>
          </w:p>
        </w:tc>
      </w:tr>
      <w:tr w14:paraId="141C8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397E7FD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S8</w:t>
            </w:r>
          </w:p>
        </w:tc>
        <w:tc>
          <w:tcPr>
            <w:tcW w:w="0" w:type="auto"/>
            <w:tcBorders>
              <w:top w:val="nil"/>
              <w:left w:val="nil"/>
              <w:bottom w:val="nil"/>
              <w:right w:val="nil"/>
            </w:tcBorders>
            <w:shd w:val="clear" w:color="auto" w:fill="auto"/>
            <w:noWrap/>
            <w:vAlign w:val="center"/>
          </w:tcPr>
          <w:p w14:paraId="3ED1C14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Liugong Town, Yichun, Jiangxi Province</w:t>
            </w:r>
          </w:p>
        </w:tc>
      </w:tr>
      <w:tr w14:paraId="392E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6534E04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S9</w:t>
            </w:r>
          </w:p>
        </w:tc>
        <w:tc>
          <w:tcPr>
            <w:tcW w:w="0" w:type="auto"/>
            <w:tcBorders>
              <w:top w:val="nil"/>
              <w:left w:val="nil"/>
              <w:bottom w:val="nil"/>
              <w:right w:val="nil"/>
            </w:tcBorders>
            <w:shd w:val="clear" w:color="auto" w:fill="auto"/>
            <w:noWrap/>
            <w:vAlign w:val="center"/>
          </w:tcPr>
          <w:p w14:paraId="5535FFE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Hunan (Foshan Nanhai Beisha Pharmaceutical Processing Plant)</w:t>
            </w:r>
          </w:p>
        </w:tc>
      </w:tr>
      <w:tr w14:paraId="28B44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single" w:color="000000" w:sz="4" w:space="0"/>
              <w:right w:val="nil"/>
            </w:tcBorders>
            <w:shd w:val="clear" w:color="auto" w:fill="auto"/>
            <w:noWrap/>
            <w:vAlign w:val="center"/>
          </w:tcPr>
          <w:p w14:paraId="3FAB07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S10</w:t>
            </w:r>
          </w:p>
        </w:tc>
        <w:tc>
          <w:tcPr>
            <w:tcW w:w="0" w:type="auto"/>
            <w:tcBorders>
              <w:top w:val="nil"/>
              <w:left w:val="nil"/>
              <w:bottom w:val="single" w:color="000000" w:sz="4" w:space="0"/>
              <w:right w:val="nil"/>
            </w:tcBorders>
            <w:shd w:val="clear" w:color="auto" w:fill="auto"/>
            <w:noWrap/>
            <w:vAlign w:val="center"/>
          </w:tcPr>
          <w:p w14:paraId="0C21F5D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Zhejiang (Foshan Nanhai Beisha Pharmaceutical Processing Plant)</w:t>
            </w:r>
          </w:p>
        </w:tc>
      </w:tr>
    </w:tbl>
    <w:p w14:paraId="66F50314">
      <w:pPr>
        <w:spacing w:line="360" w:lineRule="auto"/>
        <w:rPr>
          <w:rFonts w:hint="default" w:ascii="Times New Roman" w:hAnsi="Times New Roman" w:cs="Times New Roman"/>
          <w:sz w:val="24"/>
          <w:szCs w:val="24"/>
        </w:rPr>
      </w:pPr>
    </w:p>
    <w:p w14:paraId="70C5635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Notes: S1 to S10 stands for FA.</w:t>
      </w:r>
    </w:p>
    <w:p w14:paraId="3FD219C9">
      <w:pPr>
        <w:spacing w:line="360" w:lineRule="auto"/>
        <w:rPr>
          <w:rFonts w:hint="default" w:ascii="Times New Roman" w:hAnsi="Times New Roman" w:cs="Times New Roman"/>
          <w:b/>
          <w:bCs/>
          <w:sz w:val="24"/>
          <w:szCs w:val="24"/>
          <w:lang w:eastAsia="zh-CN"/>
        </w:rPr>
      </w:pPr>
      <w:r>
        <w:rPr>
          <w:rFonts w:hint="default" w:ascii="Times New Roman" w:hAnsi="Times New Roman" w:cs="Times New Roman"/>
          <w:b/>
          <w:bCs/>
          <w:sz w:val="24"/>
          <w:szCs w:val="24"/>
        </w:rPr>
        <w:t xml:space="preserve">1.2 Establishment of HPLC fingerprint of </w:t>
      </w:r>
      <w:r>
        <w:rPr>
          <w:rFonts w:hint="default" w:ascii="Times New Roman" w:hAnsi="Times New Roman" w:cs="Times New Roman"/>
          <w:b/>
          <w:bCs/>
          <w:sz w:val="24"/>
          <w:szCs w:val="24"/>
          <w:lang w:eastAsia="zh-CN"/>
        </w:rPr>
        <w:t>FA</w:t>
      </w:r>
    </w:p>
    <w:p w14:paraId="25CFA67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1.2.1 Preparation of reference standard solution</w:t>
      </w:r>
    </w:p>
    <w:p w14:paraId="76799102">
      <w:pPr>
        <w:spacing w:line="360" w:lineRule="auto"/>
        <w:ind w:firstLine="480" w:firstLineChars="200"/>
        <w:rPr>
          <w:rFonts w:hint="default" w:ascii="Times New Roman" w:hAnsi="Times New Roman" w:cs="Times New Roman"/>
          <w:b/>
          <w:bCs/>
          <w:sz w:val="24"/>
          <w:szCs w:val="24"/>
          <w:lang w:eastAsia="zh-CN"/>
        </w:rPr>
      </w:pPr>
      <w:r>
        <w:rPr>
          <w:rFonts w:hint="default" w:ascii="Times New Roman" w:hAnsi="Times New Roman" w:cs="Times New Roman"/>
          <w:sz w:val="24"/>
          <w:szCs w:val="24"/>
        </w:rPr>
        <w:t>Hesperidin (Batch No. 110721-201617, 20 mg, purity of 96.1%), naringin (Batch No. 110722-201714, 20 mg, purity of 93.4%), and neohesperidin (Batch No. 111857-201703, 20 mg, purity of 99.2%) were purchased from the National Institutes for Food and Drug Control of China. Naringenin (Batch No. BWB50920, 20 mg, purity ≥ 98%), hesperetin (Batch No. BWB50172, 20 mg, purity ≥ 98%), and nobiletin (Batch No. BWB0620, 20 mg, purity ≥ 98%) were obtained from Beijing Century Aoke Biotechnology Co., Ltd. Appropriate amounts of the above six reference standards were accurately weighed and dissolved in methanol to prepare a mixed reference standard solution containing 80 μg of each component per 1 mL.</w:t>
      </w:r>
    </w:p>
    <w:p w14:paraId="31D63DD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1.2.</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 xml:space="preserve"> Preparation of sample solutions and standard solutions</w:t>
      </w:r>
    </w:p>
    <w:p w14:paraId="38DECBA7">
      <w:pPr>
        <w:spacing w:line="360" w:lineRule="auto"/>
        <w:ind w:firstLine="480" w:firstLineChars="200"/>
        <w:rPr>
          <w:rFonts w:hint="eastAsia" w:ascii="Times New Roman" w:hAnsi="Times New Roman" w:cs="Times New Roman" w:eastAsiaTheme="minorEastAsia"/>
          <w:sz w:val="24"/>
          <w:szCs w:val="24"/>
          <w:lang w:val="en-US" w:eastAsia="zh-CN"/>
        </w:rPr>
      </w:pPr>
      <w:r>
        <w:rPr>
          <w:rFonts w:hint="default" w:ascii="Times New Roman" w:hAnsi="Times New Roman" w:cs="Times New Roman"/>
          <w:sz w:val="24"/>
          <w:szCs w:val="24"/>
        </w:rPr>
        <w:t>1 g of FA powder was added to volumetric flasks and extracted by refluxing in 90 mL of methanol for 1.5 h. Next, the lost weight was compensated with methanol, and the solution was passed through 0.22 μm membrane filters for HPLC fingerprints.</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Chromatographic separation was performed with acetonitrile (A) and 0.1% phosphoric acid aqueous solution (B) at a flow rate of 1.00 mL/min using an Inertsil ODS-3 High Performance Liquid Chromatography column (250 × 4.6 mm, 5 µm). The injection volume was 3 µL, and the elution program was as follows: 5%~6% A for 10 min; linear increase from 6% to 15% A in 10-20 min; linear increase from 15% to 27% A in 20-75 min; linear increase to 65% A in 75-120 min; a 4-min isocratic period, followed by reversion to initial conditions for 5 min. Meanwhile, the detection wavelength was 283 nm at 25℃.</w:t>
      </w:r>
      <w:r>
        <w:rPr>
          <w:rFonts w:hint="eastAsia" w:ascii="Times New Roman" w:hAnsi="Times New Roman" w:cs="Times New Roman"/>
          <w:sz w:val="24"/>
          <w:szCs w:val="24"/>
          <w:lang w:val="en-US" w:eastAsia="zh-CN"/>
        </w:rPr>
        <w:t xml:space="preserve"> The chromatogram of reference standard solution is shown in </w:t>
      </w:r>
      <w:r>
        <w:rPr>
          <w:rFonts w:hint="default" w:ascii="Times New Roman" w:hAnsi="Times New Roman" w:cs="Times New Roman"/>
          <w:b/>
          <w:bCs/>
          <w:sz w:val="24"/>
          <w:szCs w:val="24"/>
        </w:rPr>
        <w:t>Fig. S1</w:t>
      </w:r>
      <w:r>
        <w:rPr>
          <w:rFonts w:hint="eastAsia" w:ascii="Times New Roman" w:hAnsi="Times New Roman" w:cs="Times New Roman"/>
          <w:b/>
          <w:bCs/>
          <w:sz w:val="24"/>
          <w:szCs w:val="24"/>
          <w:lang w:val="en-US" w:eastAsia="zh-CN"/>
        </w:rPr>
        <w:t>A</w:t>
      </w:r>
      <w:r>
        <w:rPr>
          <w:rFonts w:hint="eastAsia" w:ascii="Times New Roman" w:hAnsi="Times New Roman" w:cs="Times New Roman"/>
          <w:sz w:val="24"/>
          <w:szCs w:val="24"/>
          <w:lang w:val="en-US" w:eastAsia="zh-CN"/>
        </w:rPr>
        <w:t>.</w:t>
      </w:r>
    </w:p>
    <w:p w14:paraId="3EE55ADE">
      <w:pPr>
        <w:spacing w:line="360" w:lineRule="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3</w:t>
      </w:r>
      <w:r>
        <w:rPr>
          <w:rFonts w:hint="default" w:ascii="Times New Roman" w:hAnsi="Times New Roman" w:cs="Times New Roman"/>
          <w:sz w:val="24"/>
          <w:szCs w:val="24"/>
        </w:rPr>
        <w:t xml:space="preserve"> Methodological validation</w:t>
      </w:r>
    </w:p>
    <w:p w14:paraId="5E3077C8">
      <w:pPr>
        <w:spacing w:line="360" w:lineRule="auto"/>
        <w:rPr>
          <w:rFonts w:hint="eastAsia" w:ascii="Times New Roman" w:hAnsi="Times New Roman" w:cs="Times New Roman" w:eastAsiaTheme="minorEastAsia"/>
          <w:sz w:val="24"/>
          <w:szCs w:val="24"/>
          <w:lang w:val="en-US" w:eastAsia="zh-CN"/>
        </w:rPr>
      </w:pPr>
      <w:r>
        <w:rPr>
          <w:rFonts w:hint="default" w:ascii="Times New Roman" w:hAnsi="Times New Roman" w:cs="Times New Roman"/>
          <w:sz w:val="24"/>
          <w:szCs w:val="24"/>
        </w:rPr>
        <w:t>The test solution (S10) was injected and determined six times under the chromatographic conditions described in “</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 The relative standard deviation (RSD) values of relative peak areas for all common peaks were less than 3%, indicating good precision of the instrument.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Six batches of test solutions were prepared in accordance with the procedure described in “</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 and analyzed under the chromatographic conditions of “</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 The RSD values of relative peak areas of all common peaks were below 3%, demonstrating satisfactory repeatability of the method.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 test solution was prepared following the method under “</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 and injected for determination at 0, 2, 4, 6, 12 and 24 h under the chromatographic conditions of “</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 The RSD values of relative peak areas for all common peaks were less than 3%, which suggested that the test solution remained stable within 24 h.</w:t>
      </w:r>
      <w:r>
        <w:rPr>
          <w:rFonts w:hint="eastAsia" w:ascii="Times New Roman" w:hAnsi="Times New Roman" w:cs="Times New Roman"/>
          <w:sz w:val="24"/>
          <w:szCs w:val="24"/>
          <w:lang w:val="en-US" w:eastAsia="zh-CN"/>
        </w:rPr>
        <w:t xml:space="preserve"> </w:t>
      </w:r>
    </w:p>
    <w:p w14:paraId="79A5F55C">
      <w:pPr>
        <w:spacing w:line="360" w:lineRule="auto"/>
        <w:rPr>
          <w:rFonts w:hint="default" w:ascii="Times New Roman" w:hAnsi="Times New Roman" w:cs="Times New Roman"/>
          <w:b/>
          <w:sz w:val="24"/>
          <w:szCs w:val="24"/>
        </w:rPr>
      </w:pPr>
      <w:r>
        <w:rPr>
          <w:rFonts w:hint="eastAsia" w:ascii="Times New Roman" w:hAnsi="Times New Roman" w:cs="Times New Roman"/>
          <w:b/>
          <w:sz w:val="24"/>
          <w:szCs w:val="24"/>
          <w:lang w:val="en-US" w:eastAsia="zh-CN"/>
        </w:rPr>
        <w:t xml:space="preserve">2. </w:t>
      </w:r>
      <w:r>
        <w:rPr>
          <w:rFonts w:hint="default" w:ascii="Times New Roman" w:hAnsi="Times New Roman" w:cs="Times New Roman"/>
          <w:b/>
          <w:sz w:val="24"/>
          <w:szCs w:val="24"/>
        </w:rPr>
        <w:t>Results</w:t>
      </w:r>
    </w:p>
    <w:p w14:paraId="4D3E12E9">
      <w:pPr>
        <w:spacing w:line="360" w:lineRule="auto"/>
        <w:rPr>
          <w:rFonts w:hint="default"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2.1 </w:t>
      </w:r>
      <w:r>
        <w:rPr>
          <w:rFonts w:hint="default" w:ascii="Times New Roman" w:hAnsi="Times New Roman" w:cs="Times New Roman"/>
          <w:b/>
          <w:bCs/>
          <w:sz w:val="24"/>
          <w:szCs w:val="24"/>
        </w:rPr>
        <w:t>Similarity assessment and HPLC fingerprints</w:t>
      </w:r>
    </w:p>
    <w:p w14:paraId="39B3F6CE">
      <w:pPr>
        <w:spacing w:line="360" w:lineRule="auto"/>
        <w:ind w:firstLine="480" w:firstLineChars="200"/>
        <w:rPr>
          <w:rFonts w:hint="default" w:ascii="Times New Roman" w:hAnsi="Times New Roman" w:cs="Times New Roman"/>
          <w:sz w:val="24"/>
          <w:szCs w:val="24"/>
        </w:rPr>
      </w:pPr>
      <w:bookmarkStart w:id="3" w:name="_Hlk104214159"/>
      <w:r>
        <w:rPr>
          <w:rFonts w:hint="default" w:ascii="Times New Roman" w:hAnsi="Times New Roman" w:cs="Times New Roman"/>
          <w:sz w:val="24"/>
          <w:szCs w:val="24"/>
        </w:rPr>
        <w:t>The chromatograms of 10 batches of samples were imported into the “TCM chromatographic fingerprint similarity evaluation System (version 2008A)”, which was used to calculate the similarity between a test sample and a reference one for similarity evaluation of different chromatographic fingerprintss. The fingerprints of FA (</w:t>
      </w:r>
      <w:r>
        <w:rPr>
          <w:rFonts w:hint="default" w:ascii="Times New Roman" w:hAnsi="Times New Roman" w:cs="Times New Roman"/>
          <w:b/>
          <w:bCs/>
          <w:sz w:val="24"/>
          <w:szCs w:val="24"/>
        </w:rPr>
        <w:t>Fig. S1</w:t>
      </w:r>
      <w:r>
        <w:rPr>
          <w:rFonts w:hint="eastAsia" w:ascii="Times New Roman" w:hAnsi="Times New Roman" w:cs="Times New Roman"/>
          <w:b/>
          <w:bCs/>
          <w:sz w:val="24"/>
          <w:szCs w:val="24"/>
          <w:lang w:val="en-US" w:eastAsia="zh-CN"/>
        </w:rPr>
        <w:t>B</w:t>
      </w:r>
      <w:r>
        <w:rPr>
          <w:rFonts w:hint="default" w:ascii="Times New Roman" w:hAnsi="Times New Roman" w:cs="Times New Roman"/>
          <w:sz w:val="24"/>
          <w:szCs w:val="24"/>
        </w:rPr>
        <w:t>) and the control fingerprints (R) were obtained by using the average method with S6 as the reference fingerprint. The generated reference fingerprints were used as the fusion fingerprints of each batch and as the control map (R), and it indicated that the quality of the samples used in the experiment was stable and controllable. The similarity data were shown in Table S14. The calculated similarity was between 0.991 and 0.999 which indicated the consistency of the samples used in this experiment and was conducive to subsequent data analysis.</w:t>
      </w:r>
      <w:bookmarkEnd w:id="3"/>
      <w:r>
        <w:rPr>
          <w:rFonts w:hint="default" w:ascii="Times New Roman" w:hAnsi="Times New Roman" w:cs="Times New Roman"/>
          <w:sz w:val="24"/>
          <w:szCs w:val="24"/>
        </w:rPr>
        <w:t xml:space="preserve"> </w:t>
      </w:r>
    </w:p>
    <w:p w14:paraId="3C36F1AF">
      <w:pPr>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br w:type="page"/>
      </w:r>
    </w:p>
    <w:p w14:paraId="2B6BE4D0">
      <w:pPr>
        <w:pStyle w:val="11"/>
        <w:spacing w:line="360" w:lineRule="auto"/>
        <w:ind w:left="0"/>
        <w:jc w:val="center"/>
        <w:rPr>
          <w:rFonts w:hint="default" w:ascii="Times New Roman" w:hAnsi="Times New Roman" w:cs="Times New Roman"/>
          <w:sz w:val="24"/>
          <w:szCs w:val="24"/>
          <w:lang w:eastAsia="zh-CN"/>
        </w:rPr>
      </w:pPr>
      <w:r>
        <w:rPr>
          <w:rFonts w:hint="default" w:ascii="Times New Roman" w:hAnsi="Times New Roman" w:cs="Times New Roman"/>
          <w:b/>
          <w:bCs/>
          <w:sz w:val="24"/>
          <w:szCs w:val="24"/>
        </w:rPr>
        <w:t>Table S</w:t>
      </w:r>
      <w:r>
        <w:rPr>
          <w:rFonts w:hint="default" w:ascii="Times New Roman" w:hAnsi="Times New Roman" w:cs="Times New Roman"/>
          <w:b/>
          <w:bCs/>
          <w:sz w:val="24"/>
          <w:szCs w:val="24"/>
          <w:lang w:val="en-US" w:eastAsia="zh-CN"/>
        </w:rPr>
        <w:t>14</w:t>
      </w:r>
      <w:r>
        <w:rPr>
          <w:rFonts w:hint="default" w:ascii="Times New Roman" w:hAnsi="Times New Roman" w:cs="Times New Roman"/>
          <w:sz w:val="24"/>
          <w:szCs w:val="24"/>
        </w:rPr>
        <w:t xml:space="preserve"> Calculation results of fingerprint similarity of 10 batches of </w:t>
      </w:r>
      <w:r>
        <w:rPr>
          <w:rFonts w:hint="default" w:ascii="Times New Roman" w:hAnsi="Times New Roman" w:cs="Times New Roman"/>
          <w:sz w:val="24"/>
          <w:szCs w:val="24"/>
          <w:lang w:eastAsia="zh-CN"/>
        </w:rPr>
        <w:t>FA</w:t>
      </w:r>
    </w:p>
    <w:tbl>
      <w:tblPr>
        <w:tblStyle w:val="6"/>
        <w:tblpPr w:leftFromText="180" w:rightFromText="180" w:vertAnchor="text" w:horzAnchor="page" w:tblpX="1683" w:tblpY="191"/>
        <w:tblOverlap w:val="never"/>
        <w:tblW w:w="9469" w:type="dxa"/>
        <w:jc w:val="center"/>
        <w:tblLayout w:type="autofit"/>
        <w:tblCellMar>
          <w:top w:w="0" w:type="dxa"/>
          <w:left w:w="108" w:type="dxa"/>
          <w:bottom w:w="0" w:type="dxa"/>
          <w:right w:w="108" w:type="dxa"/>
        </w:tblCellMar>
      </w:tblPr>
      <w:tblGrid>
        <w:gridCol w:w="896"/>
        <w:gridCol w:w="815"/>
        <w:gridCol w:w="759"/>
        <w:gridCol w:w="759"/>
        <w:gridCol w:w="759"/>
        <w:gridCol w:w="759"/>
        <w:gridCol w:w="759"/>
        <w:gridCol w:w="759"/>
        <w:gridCol w:w="788"/>
        <w:gridCol w:w="759"/>
        <w:gridCol w:w="760"/>
        <w:gridCol w:w="897"/>
      </w:tblGrid>
      <w:tr w14:paraId="30417D63">
        <w:tblPrEx>
          <w:tblCellMar>
            <w:top w:w="0" w:type="dxa"/>
            <w:left w:w="108" w:type="dxa"/>
            <w:bottom w:w="0" w:type="dxa"/>
            <w:right w:w="108" w:type="dxa"/>
          </w:tblCellMar>
        </w:tblPrEx>
        <w:trPr>
          <w:trHeight w:val="946" w:hRule="atLeast"/>
          <w:jc w:val="center"/>
        </w:trPr>
        <w:tc>
          <w:tcPr>
            <w:tcW w:w="896" w:type="dxa"/>
            <w:tcBorders>
              <w:top w:val="single" w:color="auto" w:sz="12" w:space="0"/>
              <w:left w:val="nil"/>
              <w:bottom w:val="single" w:color="auto" w:sz="8" w:space="0"/>
              <w:right w:val="nil"/>
            </w:tcBorders>
            <w:shd w:val="clear" w:color="auto" w:fill="auto"/>
            <w:vAlign w:val="center"/>
          </w:tcPr>
          <w:p w14:paraId="375B3FEE">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sample</w:t>
            </w:r>
          </w:p>
        </w:tc>
        <w:tc>
          <w:tcPr>
            <w:tcW w:w="815" w:type="dxa"/>
            <w:tcBorders>
              <w:top w:val="single" w:color="auto" w:sz="12" w:space="0"/>
              <w:left w:val="nil"/>
              <w:bottom w:val="single" w:color="auto" w:sz="8" w:space="0"/>
              <w:right w:val="nil"/>
            </w:tcBorders>
            <w:shd w:val="clear" w:color="auto" w:fill="auto"/>
            <w:vAlign w:val="center"/>
          </w:tcPr>
          <w:p w14:paraId="4BBEA078">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S1</w:t>
            </w:r>
          </w:p>
        </w:tc>
        <w:tc>
          <w:tcPr>
            <w:tcW w:w="759" w:type="dxa"/>
            <w:tcBorders>
              <w:top w:val="single" w:color="auto" w:sz="12" w:space="0"/>
              <w:left w:val="nil"/>
              <w:bottom w:val="single" w:color="auto" w:sz="8" w:space="0"/>
              <w:right w:val="nil"/>
            </w:tcBorders>
            <w:shd w:val="clear" w:color="auto" w:fill="auto"/>
            <w:vAlign w:val="center"/>
          </w:tcPr>
          <w:p w14:paraId="21B992BA">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S2</w:t>
            </w:r>
          </w:p>
        </w:tc>
        <w:tc>
          <w:tcPr>
            <w:tcW w:w="759" w:type="dxa"/>
            <w:tcBorders>
              <w:top w:val="single" w:color="auto" w:sz="12" w:space="0"/>
              <w:left w:val="nil"/>
              <w:bottom w:val="single" w:color="auto" w:sz="8" w:space="0"/>
              <w:right w:val="nil"/>
            </w:tcBorders>
            <w:shd w:val="clear" w:color="auto" w:fill="auto"/>
            <w:vAlign w:val="center"/>
          </w:tcPr>
          <w:p w14:paraId="13B13BA1">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S3</w:t>
            </w:r>
          </w:p>
        </w:tc>
        <w:tc>
          <w:tcPr>
            <w:tcW w:w="759" w:type="dxa"/>
            <w:tcBorders>
              <w:top w:val="single" w:color="auto" w:sz="12" w:space="0"/>
              <w:left w:val="nil"/>
              <w:bottom w:val="single" w:color="auto" w:sz="8" w:space="0"/>
              <w:right w:val="nil"/>
            </w:tcBorders>
            <w:shd w:val="clear" w:color="auto" w:fill="auto"/>
            <w:vAlign w:val="center"/>
          </w:tcPr>
          <w:p w14:paraId="2ACA3A92">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S4</w:t>
            </w:r>
          </w:p>
        </w:tc>
        <w:tc>
          <w:tcPr>
            <w:tcW w:w="759" w:type="dxa"/>
            <w:tcBorders>
              <w:top w:val="single" w:color="auto" w:sz="12" w:space="0"/>
              <w:left w:val="nil"/>
              <w:bottom w:val="single" w:color="auto" w:sz="8" w:space="0"/>
              <w:right w:val="nil"/>
            </w:tcBorders>
            <w:shd w:val="clear" w:color="auto" w:fill="auto"/>
            <w:vAlign w:val="center"/>
          </w:tcPr>
          <w:p w14:paraId="750ADC63">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S5</w:t>
            </w:r>
          </w:p>
        </w:tc>
        <w:tc>
          <w:tcPr>
            <w:tcW w:w="759" w:type="dxa"/>
            <w:tcBorders>
              <w:top w:val="single" w:color="auto" w:sz="12" w:space="0"/>
              <w:left w:val="nil"/>
              <w:bottom w:val="single" w:color="auto" w:sz="8" w:space="0"/>
              <w:right w:val="nil"/>
            </w:tcBorders>
            <w:shd w:val="clear" w:color="auto" w:fill="auto"/>
            <w:vAlign w:val="center"/>
          </w:tcPr>
          <w:p w14:paraId="03B2EE8F">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S6</w:t>
            </w:r>
          </w:p>
        </w:tc>
        <w:tc>
          <w:tcPr>
            <w:tcW w:w="759" w:type="dxa"/>
            <w:tcBorders>
              <w:top w:val="single" w:color="auto" w:sz="12" w:space="0"/>
              <w:left w:val="nil"/>
              <w:bottom w:val="single" w:color="auto" w:sz="8" w:space="0"/>
              <w:right w:val="nil"/>
            </w:tcBorders>
            <w:shd w:val="clear" w:color="auto" w:fill="auto"/>
            <w:vAlign w:val="center"/>
          </w:tcPr>
          <w:p w14:paraId="0988823D">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S7</w:t>
            </w:r>
          </w:p>
        </w:tc>
        <w:tc>
          <w:tcPr>
            <w:tcW w:w="788" w:type="dxa"/>
            <w:tcBorders>
              <w:top w:val="single" w:color="auto" w:sz="12" w:space="0"/>
              <w:left w:val="nil"/>
              <w:bottom w:val="single" w:color="auto" w:sz="8" w:space="0"/>
              <w:right w:val="nil"/>
            </w:tcBorders>
            <w:shd w:val="clear" w:color="auto" w:fill="auto"/>
            <w:vAlign w:val="center"/>
          </w:tcPr>
          <w:p w14:paraId="14930865">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S8</w:t>
            </w:r>
          </w:p>
        </w:tc>
        <w:tc>
          <w:tcPr>
            <w:tcW w:w="759" w:type="dxa"/>
            <w:tcBorders>
              <w:top w:val="single" w:color="auto" w:sz="12" w:space="0"/>
              <w:left w:val="nil"/>
              <w:bottom w:val="single" w:color="auto" w:sz="8" w:space="0"/>
              <w:right w:val="nil"/>
            </w:tcBorders>
            <w:shd w:val="clear" w:color="auto" w:fill="auto"/>
            <w:vAlign w:val="center"/>
          </w:tcPr>
          <w:p w14:paraId="6841EDDC">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S9</w:t>
            </w:r>
          </w:p>
        </w:tc>
        <w:tc>
          <w:tcPr>
            <w:tcW w:w="760" w:type="dxa"/>
            <w:tcBorders>
              <w:top w:val="single" w:color="auto" w:sz="12" w:space="0"/>
              <w:left w:val="nil"/>
              <w:bottom w:val="single" w:color="auto" w:sz="8" w:space="0"/>
              <w:right w:val="nil"/>
            </w:tcBorders>
            <w:shd w:val="clear" w:color="auto" w:fill="auto"/>
            <w:vAlign w:val="center"/>
          </w:tcPr>
          <w:p w14:paraId="77EE9424">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S10</w:t>
            </w:r>
          </w:p>
        </w:tc>
        <w:tc>
          <w:tcPr>
            <w:tcW w:w="897" w:type="dxa"/>
            <w:tcBorders>
              <w:top w:val="single" w:color="auto" w:sz="12" w:space="0"/>
              <w:left w:val="nil"/>
              <w:bottom w:val="single" w:color="auto" w:sz="8" w:space="0"/>
              <w:right w:val="nil"/>
            </w:tcBorders>
            <w:shd w:val="clear" w:color="auto" w:fill="auto"/>
            <w:vAlign w:val="center"/>
          </w:tcPr>
          <w:p w14:paraId="7650FA29">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control map</w:t>
            </w:r>
          </w:p>
        </w:tc>
      </w:tr>
      <w:tr w14:paraId="620763F9">
        <w:tblPrEx>
          <w:tblCellMar>
            <w:top w:w="0" w:type="dxa"/>
            <w:left w:w="108" w:type="dxa"/>
            <w:bottom w:w="0" w:type="dxa"/>
            <w:right w:w="108" w:type="dxa"/>
          </w:tblCellMar>
        </w:tblPrEx>
        <w:trPr>
          <w:trHeight w:val="249" w:hRule="atLeast"/>
          <w:jc w:val="center"/>
        </w:trPr>
        <w:tc>
          <w:tcPr>
            <w:tcW w:w="896" w:type="dxa"/>
            <w:tcBorders>
              <w:top w:val="nil"/>
              <w:left w:val="nil"/>
              <w:bottom w:val="nil"/>
              <w:right w:val="nil"/>
            </w:tcBorders>
            <w:shd w:val="clear" w:color="auto" w:fill="auto"/>
            <w:vAlign w:val="center"/>
          </w:tcPr>
          <w:p w14:paraId="0BD45205">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S1</w:t>
            </w:r>
          </w:p>
        </w:tc>
        <w:tc>
          <w:tcPr>
            <w:tcW w:w="815" w:type="dxa"/>
            <w:tcBorders>
              <w:top w:val="nil"/>
              <w:left w:val="nil"/>
              <w:bottom w:val="nil"/>
              <w:right w:val="nil"/>
            </w:tcBorders>
            <w:shd w:val="clear" w:color="auto" w:fill="auto"/>
            <w:vAlign w:val="center"/>
          </w:tcPr>
          <w:p w14:paraId="675C5D71">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759" w:type="dxa"/>
            <w:tcBorders>
              <w:top w:val="nil"/>
              <w:left w:val="nil"/>
              <w:bottom w:val="nil"/>
              <w:right w:val="nil"/>
            </w:tcBorders>
            <w:shd w:val="clear" w:color="auto" w:fill="auto"/>
            <w:vAlign w:val="center"/>
          </w:tcPr>
          <w:p w14:paraId="53C1F006">
            <w:pPr>
              <w:spacing w:line="360" w:lineRule="auto"/>
              <w:jc w:val="right"/>
              <w:rPr>
                <w:rFonts w:hint="default" w:ascii="Times New Roman" w:hAnsi="Times New Roman" w:cs="Times New Roman"/>
                <w:color w:val="000000"/>
                <w:sz w:val="24"/>
                <w:szCs w:val="24"/>
              </w:rPr>
            </w:pPr>
          </w:p>
        </w:tc>
        <w:tc>
          <w:tcPr>
            <w:tcW w:w="759" w:type="dxa"/>
            <w:tcBorders>
              <w:top w:val="nil"/>
              <w:left w:val="nil"/>
              <w:bottom w:val="nil"/>
              <w:right w:val="nil"/>
            </w:tcBorders>
            <w:shd w:val="clear" w:color="auto" w:fill="auto"/>
            <w:vAlign w:val="center"/>
          </w:tcPr>
          <w:p w14:paraId="5E6A0516">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153335A9">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28CBE088">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5EB35F1C">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5F66308A">
            <w:pPr>
              <w:spacing w:line="360" w:lineRule="auto"/>
              <w:jc w:val="right"/>
              <w:rPr>
                <w:rFonts w:hint="default" w:ascii="Times New Roman" w:hAnsi="Times New Roman" w:eastAsia="Times New Roman" w:cs="Times New Roman"/>
                <w:sz w:val="24"/>
                <w:szCs w:val="24"/>
              </w:rPr>
            </w:pPr>
          </w:p>
        </w:tc>
        <w:tc>
          <w:tcPr>
            <w:tcW w:w="788" w:type="dxa"/>
            <w:tcBorders>
              <w:top w:val="nil"/>
              <w:left w:val="nil"/>
              <w:bottom w:val="nil"/>
              <w:right w:val="nil"/>
            </w:tcBorders>
            <w:shd w:val="clear" w:color="auto" w:fill="auto"/>
            <w:vAlign w:val="center"/>
          </w:tcPr>
          <w:p w14:paraId="777F93F4">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79E7FBB1">
            <w:pPr>
              <w:spacing w:line="360" w:lineRule="auto"/>
              <w:jc w:val="right"/>
              <w:rPr>
                <w:rFonts w:hint="default" w:ascii="Times New Roman" w:hAnsi="Times New Roman" w:eastAsia="Times New Roman" w:cs="Times New Roman"/>
                <w:sz w:val="24"/>
                <w:szCs w:val="24"/>
              </w:rPr>
            </w:pPr>
          </w:p>
        </w:tc>
        <w:tc>
          <w:tcPr>
            <w:tcW w:w="760" w:type="dxa"/>
            <w:tcBorders>
              <w:top w:val="nil"/>
              <w:left w:val="nil"/>
              <w:bottom w:val="nil"/>
              <w:right w:val="nil"/>
            </w:tcBorders>
            <w:shd w:val="clear" w:color="auto" w:fill="auto"/>
            <w:vAlign w:val="center"/>
          </w:tcPr>
          <w:p w14:paraId="7689CFF5">
            <w:pPr>
              <w:spacing w:line="360" w:lineRule="auto"/>
              <w:jc w:val="right"/>
              <w:rPr>
                <w:rFonts w:hint="default" w:ascii="Times New Roman" w:hAnsi="Times New Roman" w:eastAsia="Times New Roman" w:cs="Times New Roman"/>
                <w:sz w:val="24"/>
                <w:szCs w:val="24"/>
              </w:rPr>
            </w:pPr>
          </w:p>
        </w:tc>
        <w:tc>
          <w:tcPr>
            <w:tcW w:w="897" w:type="dxa"/>
            <w:tcBorders>
              <w:top w:val="nil"/>
              <w:left w:val="nil"/>
              <w:bottom w:val="nil"/>
              <w:right w:val="nil"/>
            </w:tcBorders>
            <w:shd w:val="clear" w:color="auto" w:fill="auto"/>
            <w:vAlign w:val="center"/>
          </w:tcPr>
          <w:p w14:paraId="05579204">
            <w:pPr>
              <w:spacing w:line="360" w:lineRule="auto"/>
              <w:jc w:val="center"/>
              <w:rPr>
                <w:rFonts w:hint="default" w:ascii="Times New Roman" w:hAnsi="Times New Roman" w:eastAsia="Times New Roman" w:cs="Times New Roman"/>
                <w:sz w:val="24"/>
                <w:szCs w:val="24"/>
              </w:rPr>
            </w:pPr>
          </w:p>
        </w:tc>
      </w:tr>
      <w:tr w14:paraId="1E3B853B">
        <w:tblPrEx>
          <w:tblCellMar>
            <w:top w:w="0" w:type="dxa"/>
            <w:left w:w="108" w:type="dxa"/>
            <w:bottom w:w="0" w:type="dxa"/>
            <w:right w:w="108" w:type="dxa"/>
          </w:tblCellMar>
        </w:tblPrEx>
        <w:trPr>
          <w:trHeight w:val="249" w:hRule="atLeast"/>
          <w:jc w:val="center"/>
        </w:trPr>
        <w:tc>
          <w:tcPr>
            <w:tcW w:w="896" w:type="dxa"/>
            <w:tcBorders>
              <w:top w:val="nil"/>
              <w:left w:val="nil"/>
              <w:bottom w:val="nil"/>
              <w:right w:val="nil"/>
            </w:tcBorders>
            <w:shd w:val="clear" w:color="auto" w:fill="auto"/>
            <w:vAlign w:val="center"/>
          </w:tcPr>
          <w:p w14:paraId="7C2FB986">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S2</w:t>
            </w:r>
          </w:p>
        </w:tc>
        <w:tc>
          <w:tcPr>
            <w:tcW w:w="815" w:type="dxa"/>
            <w:tcBorders>
              <w:top w:val="nil"/>
              <w:left w:val="nil"/>
              <w:bottom w:val="nil"/>
              <w:right w:val="nil"/>
            </w:tcBorders>
            <w:shd w:val="clear" w:color="auto" w:fill="auto"/>
            <w:vAlign w:val="center"/>
          </w:tcPr>
          <w:p w14:paraId="2F74F025">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0.982</w:t>
            </w:r>
          </w:p>
        </w:tc>
        <w:tc>
          <w:tcPr>
            <w:tcW w:w="759" w:type="dxa"/>
            <w:tcBorders>
              <w:top w:val="nil"/>
              <w:left w:val="nil"/>
              <w:bottom w:val="nil"/>
              <w:right w:val="nil"/>
            </w:tcBorders>
            <w:shd w:val="clear" w:color="auto" w:fill="auto"/>
            <w:vAlign w:val="center"/>
          </w:tcPr>
          <w:p w14:paraId="692C7C0D">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759" w:type="dxa"/>
            <w:tcBorders>
              <w:top w:val="nil"/>
              <w:left w:val="nil"/>
              <w:bottom w:val="nil"/>
              <w:right w:val="nil"/>
            </w:tcBorders>
            <w:shd w:val="clear" w:color="auto" w:fill="auto"/>
            <w:vAlign w:val="center"/>
          </w:tcPr>
          <w:p w14:paraId="39BD6DB3">
            <w:pPr>
              <w:spacing w:line="360" w:lineRule="auto"/>
              <w:jc w:val="right"/>
              <w:rPr>
                <w:rFonts w:hint="default" w:ascii="Times New Roman" w:hAnsi="Times New Roman" w:cs="Times New Roman"/>
                <w:color w:val="000000"/>
                <w:sz w:val="24"/>
                <w:szCs w:val="24"/>
              </w:rPr>
            </w:pPr>
          </w:p>
        </w:tc>
        <w:tc>
          <w:tcPr>
            <w:tcW w:w="759" w:type="dxa"/>
            <w:tcBorders>
              <w:top w:val="nil"/>
              <w:left w:val="nil"/>
              <w:bottom w:val="nil"/>
              <w:right w:val="nil"/>
            </w:tcBorders>
            <w:shd w:val="clear" w:color="auto" w:fill="auto"/>
            <w:vAlign w:val="center"/>
          </w:tcPr>
          <w:p w14:paraId="3CFDD7B1">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53B1F656">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5525F66B">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676AD84C">
            <w:pPr>
              <w:spacing w:line="360" w:lineRule="auto"/>
              <w:jc w:val="right"/>
              <w:rPr>
                <w:rFonts w:hint="default" w:ascii="Times New Roman" w:hAnsi="Times New Roman" w:eastAsia="Times New Roman" w:cs="Times New Roman"/>
                <w:sz w:val="24"/>
                <w:szCs w:val="24"/>
              </w:rPr>
            </w:pPr>
          </w:p>
        </w:tc>
        <w:tc>
          <w:tcPr>
            <w:tcW w:w="788" w:type="dxa"/>
            <w:tcBorders>
              <w:top w:val="nil"/>
              <w:left w:val="nil"/>
              <w:bottom w:val="nil"/>
              <w:right w:val="nil"/>
            </w:tcBorders>
            <w:shd w:val="clear" w:color="auto" w:fill="auto"/>
            <w:vAlign w:val="center"/>
          </w:tcPr>
          <w:p w14:paraId="07F0C054">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53C8B3ED">
            <w:pPr>
              <w:spacing w:line="360" w:lineRule="auto"/>
              <w:jc w:val="right"/>
              <w:rPr>
                <w:rFonts w:hint="default" w:ascii="Times New Roman" w:hAnsi="Times New Roman" w:eastAsia="Times New Roman" w:cs="Times New Roman"/>
                <w:sz w:val="24"/>
                <w:szCs w:val="24"/>
              </w:rPr>
            </w:pPr>
          </w:p>
        </w:tc>
        <w:tc>
          <w:tcPr>
            <w:tcW w:w="760" w:type="dxa"/>
            <w:tcBorders>
              <w:top w:val="nil"/>
              <w:left w:val="nil"/>
              <w:bottom w:val="nil"/>
              <w:right w:val="nil"/>
            </w:tcBorders>
            <w:shd w:val="clear" w:color="auto" w:fill="auto"/>
            <w:vAlign w:val="center"/>
          </w:tcPr>
          <w:p w14:paraId="72D1602D">
            <w:pPr>
              <w:spacing w:line="360" w:lineRule="auto"/>
              <w:jc w:val="right"/>
              <w:rPr>
                <w:rFonts w:hint="default" w:ascii="Times New Roman" w:hAnsi="Times New Roman" w:eastAsia="Times New Roman" w:cs="Times New Roman"/>
                <w:sz w:val="24"/>
                <w:szCs w:val="24"/>
              </w:rPr>
            </w:pPr>
          </w:p>
        </w:tc>
        <w:tc>
          <w:tcPr>
            <w:tcW w:w="897" w:type="dxa"/>
            <w:tcBorders>
              <w:top w:val="nil"/>
              <w:left w:val="nil"/>
              <w:bottom w:val="nil"/>
              <w:right w:val="nil"/>
            </w:tcBorders>
            <w:shd w:val="clear" w:color="auto" w:fill="auto"/>
            <w:vAlign w:val="center"/>
          </w:tcPr>
          <w:p w14:paraId="7A40D201">
            <w:pPr>
              <w:spacing w:line="360" w:lineRule="auto"/>
              <w:jc w:val="center"/>
              <w:rPr>
                <w:rFonts w:hint="default" w:ascii="Times New Roman" w:hAnsi="Times New Roman" w:eastAsia="Times New Roman" w:cs="Times New Roman"/>
                <w:sz w:val="24"/>
                <w:szCs w:val="24"/>
              </w:rPr>
            </w:pPr>
          </w:p>
        </w:tc>
      </w:tr>
      <w:tr w14:paraId="0CE88134">
        <w:tblPrEx>
          <w:tblCellMar>
            <w:top w:w="0" w:type="dxa"/>
            <w:left w:w="108" w:type="dxa"/>
            <w:bottom w:w="0" w:type="dxa"/>
            <w:right w:w="108" w:type="dxa"/>
          </w:tblCellMar>
        </w:tblPrEx>
        <w:trPr>
          <w:trHeight w:val="249" w:hRule="atLeast"/>
          <w:jc w:val="center"/>
        </w:trPr>
        <w:tc>
          <w:tcPr>
            <w:tcW w:w="896" w:type="dxa"/>
            <w:tcBorders>
              <w:top w:val="nil"/>
              <w:left w:val="nil"/>
              <w:bottom w:val="nil"/>
              <w:right w:val="nil"/>
            </w:tcBorders>
            <w:shd w:val="clear" w:color="auto" w:fill="auto"/>
            <w:vAlign w:val="center"/>
          </w:tcPr>
          <w:p w14:paraId="61E989CD">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S3</w:t>
            </w:r>
          </w:p>
        </w:tc>
        <w:tc>
          <w:tcPr>
            <w:tcW w:w="815" w:type="dxa"/>
            <w:tcBorders>
              <w:top w:val="nil"/>
              <w:left w:val="nil"/>
              <w:bottom w:val="nil"/>
              <w:right w:val="nil"/>
            </w:tcBorders>
            <w:shd w:val="clear" w:color="auto" w:fill="auto"/>
            <w:vAlign w:val="center"/>
          </w:tcPr>
          <w:p w14:paraId="2A1B3093">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0.989</w:t>
            </w:r>
          </w:p>
        </w:tc>
        <w:tc>
          <w:tcPr>
            <w:tcW w:w="759" w:type="dxa"/>
            <w:tcBorders>
              <w:top w:val="nil"/>
              <w:left w:val="nil"/>
              <w:bottom w:val="nil"/>
              <w:right w:val="nil"/>
            </w:tcBorders>
            <w:shd w:val="clear" w:color="auto" w:fill="auto"/>
            <w:vAlign w:val="center"/>
          </w:tcPr>
          <w:p w14:paraId="6222E856">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0.993</w:t>
            </w:r>
          </w:p>
        </w:tc>
        <w:tc>
          <w:tcPr>
            <w:tcW w:w="759" w:type="dxa"/>
            <w:tcBorders>
              <w:top w:val="nil"/>
              <w:left w:val="nil"/>
              <w:bottom w:val="nil"/>
              <w:right w:val="nil"/>
            </w:tcBorders>
            <w:shd w:val="clear" w:color="auto" w:fill="auto"/>
            <w:vAlign w:val="center"/>
          </w:tcPr>
          <w:p w14:paraId="7BE8E911">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759" w:type="dxa"/>
            <w:tcBorders>
              <w:top w:val="nil"/>
              <w:left w:val="nil"/>
              <w:bottom w:val="nil"/>
              <w:right w:val="nil"/>
            </w:tcBorders>
            <w:shd w:val="clear" w:color="auto" w:fill="auto"/>
            <w:vAlign w:val="center"/>
          </w:tcPr>
          <w:p w14:paraId="7A5D487A">
            <w:pPr>
              <w:spacing w:line="360" w:lineRule="auto"/>
              <w:jc w:val="right"/>
              <w:rPr>
                <w:rFonts w:hint="default" w:ascii="Times New Roman" w:hAnsi="Times New Roman" w:cs="Times New Roman"/>
                <w:color w:val="000000"/>
                <w:sz w:val="24"/>
                <w:szCs w:val="24"/>
              </w:rPr>
            </w:pPr>
          </w:p>
        </w:tc>
        <w:tc>
          <w:tcPr>
            <w:tcW w:w="759" w:type="dxa"/>
            <w:tcBorders>
              <w:top w:val="nil"/>
              <w:left w:val="nil"/>
              <w:bottom w:val="nil"/>
              <w:right w:val="nil"/>
            </w:tcBorders>
            <w:shd w:val="clear" w:color="auto" w:fill="auto"/>
            <w:vAlign w:val="center"/>
          </w:tcPr>
          <w:p w14:paraId="15BEF8E5">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2AF7EB3C">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098A02A5">
            <w:pPr>
              <w:spacing w:line="360" w:lineRule="auto"/>
              <w:jc w:val="right"/>
              <w:rPr>
                <w:rFonts w:hint="default" w:ascii="Times New Roman" w:hAnsi="Times New Roman" w:eastAsia="Times New Roman" w:cs="Times New Roman"/>
                <w:sz w:val="24"/>
                <w:szCs w:val="24"/>
              </w:rPr>
            </w:pPr>
          </w:p>
        </w:tc>
        <w:tc>
          <w:tcPr>
            <w:tcW w:w="788" w:type="dxa"/>
            <w:tcBorders>
              <w:top w:val="nil"/>
              <w:left w:val="nil"/>
              <w:bottom w:val="nil"/>
              <w:right w:val="nil"/>
            </w:tcBorders>
            <w:shd w:val="clear" w:color="auto" w:fill="auto"/>
            <w:vAlign w:val="center"/>
          </w:tcPr>
          <w:p w14:paraId="383A8102">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551C5DA0">
            <w:pPr>
              <w:spacing w:line="360" w:lineRule="auto"/>
              <w:jc w:val="right"/>
              <w:rPr>
                <w:rFonts w:hint="default" w:ascii="Times New Roman" w:hAnsi="Times New Roman" w:eastAsia="Times New Roman" w:cs="Times New Roman"/>
                <w:sz w:val="24"/>
                <w:szCs w:val="24"/>
              </w:rPr>
            </w:pPr>
          </w:p>
        </w:tc>
        <w:tc>
          <w:tcPr>
            <w:tcW w:w="760" w:type="dxa"/>
            <w:tcBorders>
              <w:top w:val="nil"/>
              <w:left w:val="nil"/>
              <w:bottom w:val="nil"/>
              <w:right w:val="nil"/>
            </w:tcBorders>
            <w:shd w:val="clear" w:color="auto" w:fill="auto"/>
            <w:vAlign w:val="center"/>
          </w:tcPr>
          <w:p w14:paraId="491EFDC1">
            <w:pPr>
              <w:spacing w:line="360" w:lineRule="auto"/>
              <w:jc w:val="right"/>
              <w:rPr>
                <w:rFonts w:hint="default" w:ascii="Times New Roman" w:hAnsi="Times New Roman" w:eastAsia="Times New Roman" w:cs="Times New Roman"/>
                <w:sz w:val="24"/>
                <w:szCs w:val="24"/>
              </w:rPr>
            </w:pPr>
          </w:p>
        </w:tc>
        <w:tc>
          <w:tcPr>
            <w:tcW w:w="897" w:type="dxa"/>
            <w:tcBorders>
              <w:top w:val="nil"/>
              <w:left w:val="nil"/>
              <w:bottom w:val="nil"/>
              <w:right w:val="nil"/>
            </w:tcBorders>
            <w:shd w:val="clear" w:color="auto" w:fill="auto"/>
            <w:vAlign w:val="center"/>
          </w:tcPr>
          <w:p w14:paraId="78E9803C">
            <w:pPr>
              <w:spacing w:line="360" w:lineRule="auto"/>
              <w:jc w:val="center"/>
              <w:rPr>
                <w:rFonts w:hint="default" w:ascii="Times New Roman" w:hAnsi="Times New Roman" w:eastAsia="Times New Roman" w:cs="Times New Roman"/>
                <w:sz w:val="24"/>
                <w:szCs w:val="24"/>
              </w:rPr>
            </w:pPr>
          </w:p>
        </w:tc>
      </w:tr>
      <w:tr w14:paraId="15232A55">
        <w:tblPrEx>
          <w:tblCellMar>
            <w:top w:w="0" w:type="dxa"/>
            <w:left w:w="108" w:type="dxa"/>
            <w:bottom w:w="0" w:type="dxa"/>
            <w:right w:w="108" w:type="dxa"/>
          </w:tblCellMar>
        </w:tblPrEx>
        <w:trPr>
          <w:trHeight w:val="249" w:hRule="atLeast"/>
          <w:jc w:val="center"/>
        </w:trPr>
        <w:tc>
          <w:tcPr>
            <w:tcW w:w="896" w:type="dxa"/>
            <w:tcBorders>
              <w:top w:val="nil"/>
              <w:left w:val="nil"/>
              <w:bottom w:val="nil"/>
              <w:right w:val="nil"/>
            </w:tcBorders>
            <w:shd w:val="clear" w:color="auto" w:fill="auto"/>
            <w:vAlign w:val="center"/>
          </w:tcPr>
          <w:p w14:paraId="55B3AC96">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S4</w:t>
            </w:r>
          </w:p>
        </w:tc>
        <w:tc>
          <w:tcPr>
            <w:tcW w:w="815" w:type="dxa"/>
            <w:tcBorders>
              <w:top w:val="nil"/>
              <w:left w:val="nil"/>
              <w:bottom w:val="nil"/>
              <w:right w:val="nil"/>
            </w:tcBorders>
            <w:shd w:val="clear" w:color="auto" w:fill="auto"/>
            <w:vAlign w:val="center"/>
          </w:tcPr>
          <w:p w14:paraId="182AE443">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0.971</w:t>
            </w:r>
          </w:p>
        </w:tc>
        <w:tc>
          <w:tcPr>
            <w:tcW w:w="759" w:type="dxa"/>
            <w:tcBorders>
              <w:top w:val="nil"/>
              <w:left w:val="nil"/>
              <w:bottom w:val="nil"/>
              <w:right w:val="nil"/>
            </w:tcBorders>
            <w:shd w:val="clear" w:color="auto" w:fill="auto"/>
            <w:vAlign w:val="center"/>
          </w:tcPr>
          <w:p w14:paraId="3365A93F">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0.993</w:t>
            </w:r>
          </w:p>
        </w:tc>
        <w:tc>
          <w:tcPr>
            <w:tcW w:w="759" w:type="dxa"/>
            <w:tcBorders>
              <w:top w:val="nil"/>
              <w:left w:val="nil"/>
              <w:bottom w:val="nil"/>
              <w:right w:val="nil"/>
            </w:tcBorders>
            <w:shd w:val="clear" w:color="auto" w:fill="auto"/>
            <w:vAlign w:val="center"/>
          </w:tcPr>
          <w:p w14:paraId="6B457939">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0.994</w:t>
            </w:r>
          </w:p>
        </w:tc>
        <w:tc>
          <w:tcPr>
            <w:tcW w:w="759" w:type="dxa"/>
            <w:tcBorders>
              <w:top w:val="nil"/>
              <w:left w:val="nil"/>
              <w:bottom w:val="nil"/>
              <w:right w:val="nil"/>
            </w:tcBorders>
            <w:shd w:val="clear" w:color="auto" w:fill="auto"/>
            <w:vAlign w:val="center"/>
          </w:tcPr>
          <w:p w14:paraId="46B5D79A">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759" w:type="dxa"/>
            <w:tcBorders>
              <w:top w:val="nil"/>
              <w:left w:val="nil"/>
              <w:bottom w:val="nil"/>
              <w:right w:val="nil"/>
            </w:tcBorders>
            <w:shd w:val="clear" w:color="auto" w:fill="auto"/>
            <w:vAlign w:val="center"/>
          </w:tcPr>
          <w:p w14:paraId="2B0C1B63">
            <w:pPr>
              <w:spacing w:line="360" w:lineRule="auto"/>
              <w:jc w:val="right"/>
              <w:rPr>
                <w:rFonts w:hint="default" w:ascii="Times New Roman" w:hAnsi="Times New Roman" w:cs="Times New Roman"/>
                <w:color w:val="000000"/>
                <w:sz w:val="24"/>
                <w:szCs w:val="24"/>
              </w:rPr>
            </w:pPr>
          </w:p>
        </w:tc>
        <w:tc>
          <w:tcPr>
            <w:tcW w:w="759" w:type="dxa"/>
            <w:tcBorders>
              <w:top w:val="nil"/>
              <w:left w:val="nil"/>
              <w:bottom w:val="nil"/>
              <w:right w:val="nil"/>
            </w:tcBorders>
            <w:shd w:val="clear" w:color="auto" w:fill="auto"/>
            <w:vAlign w:val="center"/>
          </w:tcPr>
          <w:p w14:paraId="71E6ECB1">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594A51D4">
            <w:pPr>
              <w:spacing w:line="360" w:lineRule="auto"/>
              <w:jc w:val="right"/>
              <w:rPr>
                <w:rFonts w:hint="default" w:ascii="Times New Roman" w:hAnsi="Times New Roman" w:eastAsia="Times New Roman" w:cs="Times New Roman"/>
                <w:sz w:val="24"/>
                <w:szCs w:val="24"/>
              </w:rPr>
            </w:pPr>
          </w:p>
        </w:tc>
        <w:tc>
          <w:tcPr>
            <w:tcW w:w="788" w:type="dxa"/>
            <w:tcBorders>
              <w:top w:val="nil"/>
              <w:left w:val="nil"/>
              <w:bottom w:val="nil"/>
              <w:right w:val="nil"/>
            </w:tcBorders>
            <w:shd w:val="clear" w:color="auto" w:fill="auto"/>
            <w:vAlign w:val="center"/>
          </w:tcPr>
          <w:p w14:paraId="163A9C14">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65C1B6C6">
            <w:pPr>
              <w:spacing w:line="360" w:lineRule="auto"/>
              <w:jc w:val="right"/>
              <w:rPr>
                <w:rFonts w:hint="default" w:ascii="Times New Roman" w:hAnsi="Times New Roman" w:eastAsia="Times New Roman" w:cs="Times New Roman"/>
                <w:sz w:val="24"/>
                <w:szCs w:val="24"/>
              </w:rPr>
            </w:pPr>
          </w:p>
        </w:tc>
        <w:tc>
          <w:tcPr>
            <w:tcW w:w="760" w:type="dxa"/>
            <w:tcBorders>
              <w:top w:val="nil"/>
              <w:left w:val="nil"/>
              <w:bottom w:val="nil"/>
              <w:right w:val="nil"/>
            </w:tcBorders>
            <w:shd w:val="clear" w:color="auto" w:fill="auto"/>
            <w:vAlign w:val="center"/>
          </w:tcPr>
          <w:p w14:paraId="19A35804">
            <w:pPr>
              <w:spacing w:line="360" w:lineRule="auto"/>
              <w:jc w:val="right"/>
              <w:rPr>
                <w:rFonts w:hint="default" w:ascii="Times New Roman" w:hAnsi="Times New Roman" w:eastAsia="Times New Roman" w:cs="Times New Roman"/>
                <w:sz w:val="24"/>
                <w:szCs w:val="24"/>
              </w:rPr>
            </w:pPr>
          </w:p>
        </w:tc>
        <w:tc>
          <w:tcPr>
            <w:tcW w:w="897" w:type="dxa"/>
            <w:tcBorders>
              <w:top w:val="nil"/>
              <w:left w:val="nil"/>
              <w:bottom w:val="nil"/>
              <w:right w:val="nil"/>
            </w:tcBorders>
            <w:shd w:val="clear" w:color="auto" w:fill="auto"/>
            <w:vAlign w:val="center"/>
          </w:tcPr>
          <w:p w14:paraId="606EC271">
            <w:pPr>
              <w:spacing w:line="360" w:lineRule="auto"/>
              <w:jc w:val="center"/>
              <w:rPr>
                <w:rFonts w:hint="default" w:ascii="Times New Roman" w:hAnsi="Times New Roman" w:eastAsia="Times New Roman" w:cs="Times New Roman"/>
                <w:sz w:val="24"/>
                <w:szCs w:val="24"/>
              </w:rPr>
            </w:pPr>
          </w:p>
        </w:tc>
      </w:tr>
      <w:tr w14:paraId="4A9E102B">
        <w:tblPrEx>
          <w:tblCellMar>
            <w:top w:w="0" w:type="dxa"/>
            <w:left w:w="108" w:type="dxa"/>
            <w:bottom w:w="0" w:type="dxa"/>
            <w:right w:w="108" w:type="dxa"/>
          </w:tblCellMar>
        </w:tblPrEx>
        <w:trPr>
          <w:trHeight w:val="249" w:hRule="atLeast"/>
          <w:jc w:val="center"/>
        </w:trPr>
        <w:tc>
          <w:tcPr>
            <w:tcW w:w="896" w:type="dxa"/>
            <w:tcBorders>
              <w:top w:val="nil"/>
              <w:left w:val="nil"/>
              <w:bottom w:val="nil"/>
              <w:right w:val="nil"/>
            </w:tcBorders>
            <w:shd w:val="clear" w:color="auto" w:fill="auto"/>
            <w:vAlign w:val="center"/>
          </w:tcPr>
          <w:p w14:paraId="48068ED2">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S5</w:t>
            </w:r>
          </w:p>
        </w:tc>
        <w:tc>
          <w:tcPr>
            <w:tcW w:w="815" w:type="dxa"/>
            <w:tcBorders>
              <w:top w:val="nil"/>
              <w:left w:val="nil"/>
              <w:bottom w:val="nil"/>
              <w:right w:val="nil"/>
            </w:tcBorders>
            <w:shd w:val="clear" w:color="auto" w:fill="auto"/>
            <w:vAlign w:val="center"/>
          </w:tcPr>
          <w:p w14:paraId="7EB541E2">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0.984</w:t>
            </w:r>
          </w:p>
        </w:tc>
        <w:tc>
          <w:tcPr>
            <w:tcW w:w="759" w:type="dxa"/>
            <w:tcBorders>
              <w:top w:val="nil"/>
              <w:left w:val="nil"/>
              <w:bottom w:val="nil"/>
              <w:right w:val="nil"/>
            </w:tcBorders>
            <w:shd w:val="clear" w:color="auto" w:fill="auto"/>
            <w:vAlign w:val="center"/>
          </w:tcPr>
          <w:p w14:paraId="62BEC646">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0.998</w:t>
            </w:r>
          </w:p>
        </w:tc>
        <w:tc>
          <w:tcPr>
            <w:tcW w:w="759" w:type="dxa"/>
            <w:tcBorders>
              <w:top w:val="nil"/>
              <w:left w:val="nil"/>
              <w:bottom w:val="nil"/>
              <w:right w:val="nil"/>
            </w:tcBorders>
            <w:shd w:val="clear" w:color="auto" w:fill="auto"/>
            <w:vAlign w:val="center"/>
          </w:tcPr>
          <w:p w14:paraId="6E4C302B">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0.997</w:t>
            </w:r>
          </w:p>
        </w:tc>
        <w:tc>
          <w:tcPr>
            <w:tcW w:w="759" w:type="dxa"/>
            <w:tcBorders>
              <w:top w:val="nil"/>
              <w:left w:val="nil"/>
              <w:bottom w:val="nil"/>
              <w:right w:val="nil"/>
            </w:tcBorders>
            <w:shd w:val="clear" w:color="auto" w:fill="auto"/>
            <w:vAlign w:val="center"/>
          </w:tcPr>
          <w:p w14:paraId="0B4012BE">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0.997</w:t>
            </w:r>
          </w:p>
        </w:tc>
        <w:tc>
          <w:tcPr>
            <w:tcW w:w="759" w:type="dxa"/>
            <w:tcBorders>
              <w:top w:val="nil"/>
              <w:left w:val="nil"/>
              <w:bottom w:val="nil"/>
              <w:right w:val="nil"/>
            </w:tcBorders>
            <w:shd w:val="clear" w:color="auto" w:fill="auto"/>
            <w:vAlign w:val="center"/>
          </w:tcPr>
          <w:p w14:paraId="694CBE59">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759" w:type="dxa"/>
            <w:tcBorders>
              <w:top w:val="nil"/>
              <w:left w:val="nil"/>
              <w:bottom w:val="nil"/>
              <w:right w:val="nil"/>
            </w:tcBorders>
            <w:shd w:val="clear" w:color="auto" w:fill="auto"/>
            <w:vAlign w:val="center"/>
          </w:tcPr>
          <w:p w14:paraId="2B83A9BF">
            <w:pPr>
              <w:spacing w:line="360" w:lineRule="auto"/>
              <w:jc w:val="right"/>
              <w:rPr>
                <w:rFonts w:hint="default" w:ascii="Times New Roman" w:hAnsi="Times New Roman" w:cs="Times New Roman"/>
                <w:color w:val="000000"/>
                <w:sz w:val="24"/>
                <w:szCs w:val="24"/>
              </w:rPr>
            </w:pPr>
          </w:p>
        </w:tc>
        <w:tc>
          <w:tcPr>
            <w:tcW w:w="759" w:type="dxa"/>
            <w:tcBorders>
              <w:top w:val="nil"/>
              <w:left w:val="nil"/>
              <w:bottom w:val="nil"/>
              <w:right w:val="nil"/>
            </w:tcBorders>
            <w:shd w:val="clear" w:color="auto" w:fill="auto"/>
            <w:vAlign w:val="center"/>
          </w:tcPr>
          <w:p w14:paraId="7FDE5BAC">
            <w:pPr>
              <w:spacing w:line="360" w:lineRule="auto"/>
              <w:jc w:val="right"/>
              <w:rPr>
                <w:rFonts w:hint="default" w:ascii="Times New Roman" w:hAnsi="Times New Roman" w:eastAsia="Times New Roman" w:cs="Times New Roman"/>
                <w:sz w:val="24"/>
                <w:szCs w:val="24"/>
              </w:rPr>
            </w:pPr>
          </w:p>
        </w:tc>
        <w:tc>
          <w:tcPr>
            <w:tcW w:w="788" w:type="dxa"/>
            <w:tcBorders>
              <w:top w:val="nil"/>
              <w:left w:val="nil"/>
              <w:bottom w:val="nil"/>
              <w:right w:val="nil"/>
            </w:tcBorders>
            <w:shd w:val="clear" w:color="auto" w:fill="auto"/>
            <w:vAlign w:val="center"/>
          </w:tcPr>
          <w:p w14:paraId="7094E5E0">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17B8B37C">
            <w:pPr>
              <w:spacing w:line="360" w:lineRule="auto"/>
              <w:jc w:val="right"/>
              <w:rPr>
                <w:rFonts w:hint="default" w:ascii="Times New Roman" w:hAnsi="Times New Roman" w:eastAsia="Times New Roman" w:cs="Times New Roman"/>
                <w:sz w:val="24"/>
                <w:szCs w:val="24"/>
              </w:rPr>
            </w:pPr>
          </w:p>
        </w:tc>
        <w:tc>
          <w:tcPr>
            <w:tcW w:w="760" w:type="dxa"/>
            <w:tcBorders>
              <w:top w:val="nil"/>
              <w:left w:val="nil"/>
              <w:bottom w:val="nil"/>
              <w:right w:val="nil"/>
            </w:tcBorders>
            <w:shd w:val="clear" w:color="auto" w:fill="auto"/>
            <w:vAlign w:val="center"/>
          </w:tcPr>
          <w:p w14:paraId="4AD598CC">
            <w:pPr>
              <w:spacing w:line="360" w:lineRule="auto"/>
              <w:jc w:val="right"/>
              <w:rPr>
                <w:rFonts w:hint="default" w:ascii="Times New Roman" w:hAnsi="Times New Roman" w:eastAsia="Times New Roman" w:cs="Times New Roman"/>
                <w:sz w:val="24"/>
                <w:szCs w:val="24"/>
              </w:rPr>
            </w:pPr>
          </w:p>
        </w:tc>
        <w:tc>
          <w:tcPr>
            <w:tcW w:w="897" w:type="dxa"/>
            <w:tcBorders>
              <w:top w:val="nil"/>
              <w:left w:val="nil"/>
              <w:bottom w:val="nil"/>
              <w:right w:val="nil"/>
            </w:tcBorders>
            <w:shd w:val="clear" w:color="auto" w:fill="auto"/>
            <w:vAlign w:val="center"/>
          </w:tcPr>
          <w:p w14:paraId="5AA5E664">
            <w:pPr>
              <w:spacing w:line="360" w:lineRule="auto"/>
              <w:jc w:val="center"/>
              <w:rPr>
                <w:rFonts w:hint="default" w:ascii="Times New Roman" w:hAnsi="Times New Roman" w:eastAsia="Times New Roman" w:cs="Times New Roman"/>
                <w:sz w:val="24"/>
                <w:szCs w:val="24"/>
              </w:rPr>
            </w:pPr>
          </w:p>
        </w:tc>
      </w:tr>
      <w:tr w14:paraId="62B10272">
        <w:tblPrEx>
          <w:tblCellMar>
            <w:top w:w="0" w:type="dxa"/>
            <w:left w:w="108" w:type="dxa"/>
            <w:bottom w:w="0" w:type="dxa"/>
            <w:right w:w="108" w:type="dxa"/>
          </w:tblCellMar>
        </w:tblPrEx>
        <w:trPr>
          <w:trHeight w:val="249" w:hRule="atLeast"/>
          <w:jc w:val="center"/>
        </w:trPr>
        <w:tc>
          <w:tcPr>
            <w:tcW w:w="896" w:type="dxa"/>
            <w:tcBorders>
              <w:top w:val="nil"/>
              <w:left w:val="nil"/>
              <w:bottom w:val="nil"/>
              <w:right w:val="nil"/>
            </w:tcBorders>
            <w:shd w:val="clear" w:color="auto" w:fill="auto"/>
            <w:vAlign w:val="center"/>
          </w:tcPr>
          <w:p w14:paraId="699D5DEA">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S6</w:t>
            </w:r>
          </w:p>
        </w:tc>
        <w:tc>
          <w:tcPr>
            <w:tcW w:w="815" w:type="dxa"/>
            <w:tcBorders>
              <w:top w:val="nil"/>
              <w:left w:val="nil"/>
              <w:bottom w:val="nil"/>
              <w:right w:val="nil"/>
            </w:tcBorders>
            <w:shd w:val="clear" w:color="auto" w:fill="auto"/>
            <w:vAlign w:val="center"/>
          </w:tcPr>
          <w:p w14:paraId="7FD4558C">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0.986</w:t>
            </w:r>
          </w:p>
        </w:tc>
        <w:tc>
          <w:tcPr>
            <w:tcW w:w="759" w:type="dxa"/>
            <w:tcBorders>
              <w:top w:val="nil"/>
              <w:left w:val="nil"/>
              <w:bottom w:val="nil"/>
              <w:right w:val="nil"/>
            </w:tcBorders>
            <w:shd w:val="clear" w:color="auto" w:fill="auto"/>
            <w:vAlign w:val="center"/>
          </w:tcPr>
          <w:p w14:paraId="5542EF81">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0.998</w:t>
            </w:r>
          </w:p>
        </w:tc>
        <w:tc>
          <w:tcPr>
            <w:tcW w:w="759" w:type="dxa"/>
            <w:tcBorders>
              <w:top w:val="nil"/>
              <w:left w:val="nil"/>
              <w:bottom w:val="nil"/>
              <w:right w:val="nil"/>
            </w:tcBorders>
            <w:shd w:val="clear" w:color="auto" w:fill="auto"/>
            <w:vAlign w:val="center"/>
          </w:tcPr>
          <w:p w14:paraId="448BBE91">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0.997</w:t>
            </w:r>
          </w:p>
        </w:tc>
        <w:tc>
          <w:tcPr>
            <w:tcW w:w="759" w:type="dxa"/>
            <w:tcBorders>
              <w:top w:val="nil"/>
              <w:left w:val="nil"/>
              <w:bottom w:val="nil"/>
              <w:right w:val="nil"/>
            </w:tcBorders>
            <w:shd w:val="clear" w:color="auto" w:fill="auto"/>
            <w:vAlign w:val="center"/>
          </w:tcPr>
          <w:p w14:paraId="7383D270">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0.994</w:t>
            </w:r>
          </w:p>
        </w:tc>
        <w:tc>
          <w:tcPr>
            <w:tcW w:w="759" w:type="dxa"/>
            <w:tcBorders>
              <w:top w:val="nil"/>
              <w:left w:val="nil"/>
              <w:bottom w:val="nil"/>
              <w:right w:val="nil"/>
            </w:tcBorders>
            <w:shd w:val="clear" w:color="auto" w:fill="auto"/>
            <w:vAlign w:val="center"/>
          </w:tcPr>
          <w:p w14:paraId="44A30B71">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59" w:type="dxa"/>
            <w:tcBorders>
              <w:top w:val="nil"/>
              <w:left w:val="nil"/>
              <w:bottom w:val="nil"/>
              <w:right w:val="nil"/>
            </w:tcBorders>
            <w:shd w:val="clear" w:color="auto" w:fill="auto"/>
            <w:vAlign w:val="center"/>
          </w:tcPr>
          <w:p w14:paraId="66674B25">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759" w:type="dxa"/>
            <w:tcBorders>
              <w:top w:val="nil"/>
              <w:left w:val="nil"/>
              <w:bottom w:val="nil"/>
              <w:right w:val="nil"/>
            </w:tcBorders>
            <w:shd w:val="clear" w:color="auto" w:fill="auto"/>
            <w:vAlign w:val="center"/>
          </w:tcPr>
          <w:p w14:paraId="2DBEBC3A">
            <w:pPr>
              <w:spacing w:line="360" w:lineRule="auto"/>
              <w:jc w:val="right"/>
              <w:rPr>
                <w:rFonts w:hint="default" w:ascii="Times New Roman" w:hAnsi="Times New Roman" w:cs="Times New Roman"/>
                <w:color w:val="000000"/>
                <w:sz w:val="24"/>
                <w:szCs w:val="24"/>
              </w:rPr>
            </w:pPr>
          </w:p>
        </w:tc>
        <w:tc>
          <w:tcPr>
            <w:tcW w:w="788" w:type="dxa"/>
            <w:tcBorders>
              <w:top w:val="nil"/>
              <w:left w:val="nil"/>
              <w:bottom w:val="nil"/>
              <w:right w:val="nil"/>
            </w:tcBorders>
            <w:shd w:val="clear" w:color="auto" w:fill="auto"/>
            <w:vAlign w:val="center"/>
          </w:tcPr>
          <w:p w14:paraId="21771CE9">
            <w:pPr>
              <w:spacing w:line="360" w:lineRule="auto"/>
              <w:jc w:val="right"/>
              <w:rPr>
                <w:rFonts w:hint="default" w:ascii="Times New Roman" w:hAnsi="Times New Roman" w:eastAsia="Times New Roman" w:cs="Times New Roman"/>
                <w:sz w:val="24"/>
                <w:szCs w:val="24"/>
              </w:rPr>
            </w:pPr>
          </w:p>
        </w:tc>
        <w:tc>
          <w:tcPr>
            <w:tcW w:w="759" w:type="dxa"/>
            <w:tcBorders>
              <w:top w:val="nil"/>
              <w:left w:val="nil"/>
              <w:bottom w:val="nil"/>
              <w:right w:val="nil"/>
            </w:tcBorders>
            <w:shd w:val="clear" w:color="auto" w:fill="auto"/>
            <w:vAlign w:val="center"/>
          </w:tcPr>
          <w:p w14:paraId="12250E1C">
            <w:pPr>
              <w:spacing w:line="360" w:lineRule="auto"/>
              <w:jc w:val="right"/>
              <w:rPr>
                <w:rFonts w:hint="default" w:ascii="Times New Roman" w:hAnsi="Times New Roman" w:eastAsia="Times New Roman" w:cs="Times New Roman"/>
                <w:sz w:val="24"/>
                <w:szCs w:val="24"/>
              </w:rPr>
            </w:pPr>
          </w:p>
        </w:tc>
        <w:tc>
          <w:tcPr>
            <w:tcW w:w="760" w:type="dxa"/>
            <w:tcBorders>
              <w:top w:val="nil"/>
              <w:left w:val="nil"/>
              <w:bottom w:val="nil"/>
              <w:right w:val="nil"/>
            </w:tcBorders>
            <w:shd w:val="clear" w:color="auto" w:fill="auto"/>
            <w:vAlign w:val="center"/>
          </w:tcPr>
          <w:p w14:paraId="74E9E62E">
            <w:pPr>
              <w:spacing w:line="360" w:lineRule="auto"/>
              <w:jc w:val="right"/>
              <w:rPr>
                <w:rFonts w:hint="default" w:ascii="Times New Roman" w:hAnsi="Times New Roman" w:eastAsia="Times New Roman" w:cs="Times New Roman"/>
                <w:sz w:val="24"/>
                <w:szCs w:val="24"/>
              </w:rPr>
            </w:pPr>
          </w:p>
        </w:tc>
        <w:tc>
          <w:tcPr>
            <w:tcW w:w="897" w:type="dxa"/>
            <w:tcBorders>
              <w:top w:val="nil"/>
              <w:left w:val="nil"/>
              <w:bottom w:val="nil"/>
              <w:right w:val="nil"/>
            </w:tcBorders>
            <w:shd w:val="clear" w:color="auto" w:fill="auto"/>
            <w:vAlign w:val="center"/>
          </w:tcPr>
          <w:p w14:paraId="2B06E9E5">
            <w:pPr>
              <w:spacing w:line="360" w:lineRule="auto"/>
              <w:jc w:val="center"/>
              <w:rPr>
                <w:rFonts w:hint="default" w:ascii="Times New Roman" w:hAnsi="Times New Roman" w:eastAsia="Times New Roman" w:cs="Times New Roman"/>
                <w:sz w:val="24"/>
                <w:szCs w:val="24"/>
              </w:rPr>
            </w:pPr>
          </w:p>
        </w:tc>
      </w:tr>
      <w:tr w14:paraId="04A21A17">
        <w:tblPrEx>
          <w:tblCellMar>
            <w:top w:w="0" w:type="dxa"/>
            <w:left w:w="108" w:type="dxa"/>
            <w:bottom w:w="0" w:type="dxa"/>
            <w:right w:w="108" w:type="dxa"/>
          </w:tblCellMar>
        </w:tblPrEx>
        <w:trPr>
          <w:trHeight w:val="249" w:hRule="atLeast"/>
          <w:jc w:val="center"/>
        </w:trPr>
        <w:tc>
          <w:tcPr>
            <w:tcW w:w="896" w:type="dxa"/>
            <w:tcBorders>
              <w:top w:val="nil"/>
              <w:left w:val="nil"/>
              <w:bottom w:val="nil"/>
              <w:right w:val="nil"/>
            </w:tcBorders>
            <w:shd w:val="clear" w:color="auto" w:fill="auto"/>
            <w:vAlign w:val="center"/>
          </w:tcPr>
          <w:p w14:paraId="553DEA93">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S7</w:t>
            </w:r>
          </w:p>
        </w:tc>
        <w:tc>
          <w:tcPr>
            <w:tcW w:w="815" w:type="dxa"/>
            <w:tcBorders>
              <w:top w:val="nil"/>
              <w:left w:val="nil"/>
              <w:bottom w:val="nil"/>
              <w:right w:val="nil"/>
            </w:tcBorders>
            <w:shd w:val="clear" w:color="auto" w:fill="auto"/>
            <w:vAlign w:val="center"/>
          </w:tcPr>
          <w:p w14:paraId="4147B333">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0.985</w:t>
            </w:r>
          </w:p>
        </w:tc>
        <w:tc>
          <w:tcPr>
            <w:tcW w:w="759" w:type="dxa"/>
            <w:tcBorders>
              <w:top w:val="nil"/>
              <w:left w:val="nil"/>
              <w:bottom w:val="nil"/>
              <w:right w:val="nil"/>
            </w:tcBorders>
            <w:shd w:val="clear" w:color="auto" w:fill="auto"/>
            <w:vAlign w:val="center"/>
          </w:tcPr>
          <w:p w14:paraId="48532F3F">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0.998</w:t>
            </w:r>
          </w:p>
        </w:tc>
        <w:tc>
          <w:tcPr>
            <w:tcW w:w="759" w:type="dxa"/>
            <w:tcBorders>
              <w:top w:val="nil"/>
              <w:left w:val="nil"/>
              <w:bottom w:val="nil"/>
              <w:right w:val="nil"/>
            </w:tcBorders>
            <w:shd w:val="clear" w:color="auto" w:fill="auto"/>
            <w:vAlign w:val="center"/>
          </w:tcPr>
          <w:p w14:paraId="00986DC8">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0.996</w:t>
            </w:r>
          </w:p>
        </w:tc>
        <w:tc>
          <w:tcPr>
            <w:tcW w:w="759" w:type="dxa"/>
            <w:tcBorders>
              <w:top w:val="nil"/>
              <w:left w:val="nil"/>
              <w:bottom w:val="nil"/>
              <w:right w:val="nil"/>
            </w:tcBorders>
            <w:shd w:val="clear" w:color="auto" w:fill="auto"/>
            <w:vAlign w:val="center"/>
          </w:tcPr>
          <w:p w14:paraId="32F130E6">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0.993</w:t>
            </w:r>
          </w:p>
        </w:tc>
        <w:tc>
          <w:tcPr>
            <w:tcW w:w="759" w:type="dxa"/>
            <w:tcBorders>
              <w:top w:val="nil"/>
              <w:left w:val="nil"/>
              <w:bottom w:val="nil"/>
              <w:right w:val="nil"/>
            </w:tcBorders>
            <w:shd w:val="clear" w:color="auto" w:fill="auto"/>
            <w:vAlign w:val="center"/>
          </w:tcPr>
          <w:p w14:paraId="4D7B2419">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0.998</w:t>
            </w:r>
          </w:p>
        </w:tc>
        <w:tc>
          <w:tcPr>
            <w:tcW w:w="759" w:type="dxa"/>
            <w:tcBorders>
              <w:top w:val="nil"/>
              <w:left w:val="nil"/>
              <w:bottom w:val="nil"/>
              <w:right w:val="nil"/>
            </w:tcBorders>
            <w:shd w:val="clear" w:color="auto" w:fill="auto"/>
            <w:vAlign w:val="center"/>
          </w:tcPr>
          <w:p w14:paraId="19432A7B">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59" w:type="dxa"/>
            <w:tcBorders>
              <w:top w:val="nil"/>
              <w:left w:val="nil"/>
              <w:bottom w:val="nil"/>
              <w:right w:val="nil"/>
            </w:tcBorders>
            <w:shd w:val="clear" w:color="auto" w:fill="auto"/>
            <w:vAlign w:val="center"/>
          </w:tcPr>
          <w:p w14:paraId="1B1420E8">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788" w:type="dxa"/>
            <w:tcBorders>
              <w:top w:val="nil"/>
              <w:left w:val="nil"/>
              <w:bottom w:val="nil"/>
              <w:right w:val="nil"/>
            </w:tcBorders>
            <w:shd w:val="clear" w:color="auto" w:fill="auto"/>
            <w:vAlign w:val="center"/>
          </w:tcPr>
          <w:p w14:paraId="420EE7C9">
            <w:pPr>
              <w:spacing w:line="360" w:lineRule="auto"/>
              <w:jc w:val="center"/>
              <w:rPr>
                <w:rFonts w:hint="default" w:ascii="Times New Roman" w:hAnsi="Times New Roman" w:cs="Times New Roman"/>
                <w:color w:val="000000"/>
                <w:sz w:val="24"/>
                <w:szCs w:val="24"/>
              </w:rPr>
            </w:pPr>
          </w:p>
        </w:tc>
        <w:tc>
          <w:tcPr>
            <w:tcW w:w="759" w:type="dxa"/>
            <w:tcBorders>
              <w:top w:val="nil"/>
              <w:left w:val="nil"/>
              <w:bottom w:val="nil"/>
              <w:right w:val="nil"/>
            </w:tcBorders>
            <w:shd w:val="clear" w:color="auto" w:fill="auto"/>
            <w:vAlign w:val="center"/>
          </w:tcPr>
          <w:p w14:paraId="6785BB5A">
            <w:pPr>
              <w:spacing w:line="360" w:lineRule="auto"/>
              <w:jc w:val="right"/>
              <w:rPr>
                <w:rFonts w:hint="default" w:ascii="Times New Roman" w:hAnsi="Times New Roman" w:eastAsia="Times New Roman" w:cs="Times New Roman"/>
                <w:sz w:val="24"/>
                <w:szCs w:val="24"/>
              </w:rPr>
            </w:pPr>
          </w:p>
        </w:tc>
        <w:tc>
          <w:tcPr>
            <w:tcW w:w="760" w:type="dxa"/>
            <w:tcBorders>
              <w:top w:val="nil"/>
              <w:left w:val="nil"/>
              <w:bottom w:val="nil"/>
              <w:right w:val="nil"/>
            </w:tcBorders>
            <w:shd w:val="clear" w:color="auto" w:fill="auto"/>
            <w:vAlign w:val="center"/>
          </w:tcPr>
          <w:p w14:paraId="5823544F">
            <w:pPr>
              <w:spacing w:line="360" w:lineRule="auto"/>
              <w:jc w:val="right"/>
              <w:rPr>
                <w:rFonts w:hint="default" w:ascii="Times New Roman" w:hAnsi="Times New Roman" w:eastAsia="Times New Roman" w:cs="Times New Roman"/>
                <w:sz w:val="24"/>
                <w:szCs w:val="24"/>
              </w:rPr>
            </w:pPr>
          </w:p>
        </w:tc>
        <w:tc>
          <w:tcPr>
            <w:tcW w:w="897" w:type="dxa"/>
            <w:tcBorders>
              <w:top w:val="nil"/>
              <w:left w:val="nil"/>
              <w:bottom w:val="nil"/>
              <w:right w:val="nil"/>
            </w:tcBorders>
            <w:shd w:val="clear" w:color="auto" w:fill="auto"/>
            <w:vAlign w:val="center"/>
          </w:tcPr>
          <w:p w14:paraId="665ADBE4">
            <w:pPr>
              <w:spacing w:line="360" w:lineRule="auto"/>
              <w:jc w:val="center"/>
              <w:rPr>
                <w:rFonts w:hint="default" w:ascii="Times New Roman" w:hAnsi="Times New Roman" w:eastAsia="Times New Roman" w:cs="Times New Roman"/>
                <w:sz w:val="24"/>
                <w:szCs w:val="24"/>
              </w:rPr>
            </w:pPr>
          </w:p>
        </w:tc>
      </w:tr>
      <w:tr w14:paraId="16C8767F">
        <w:tblPrEx>
          <w:tblCellMar>
            <w:top w:w="0" w:type="dxa"/>
            <w:left w:w="108" w:type="dxa"/>
            <w:bottom w:w="0" w:type="dxa"/>
            <w:right w:w="108" w:type="dxa"/>
          </w:tblCellMar>
        </w:tblPrEx>
        <w:trPr>
          <w:trHeight w:val="249" w:hRule="atLeast"/>
          <w:jc w:val="center"/>
        </w:trPr>
        <w:tc>
          <w:tcPr>
            <w:tcW w:w="896" w:type="dxa"/>
            <w:tcBorders>
              <w:top w:val="nil"/>
              <w:left w:val="nil"/>
              <w:bottom w:val="nil"/>
              <w:right w:val="nil"/>
            </w:tcBorders>
            <w:shd w:val="clear" w:color="auto" w:fill="auto"/>
            <w:vAlign w:val="center"/>
          </w:tcPr>
          <w:p w14:paraId="52698EF2">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S8</w:t>
            </w:r>
          </w:p>
        </w:tc>
        <w:tc>
          <w:tcPr>
            <w:tcW w:w="815" w:type="dxa"/>
            <w:tcBorders>
              <w:top w:val="nil"/>
              <w:left w:val="nil"/>
              <w:bottom w:val="nil"/>
              <w:right w:val="nil"/>
            </w:tcBorders>
            <w:shd w:val="clear" w:color="auto" w:fill="auto"/>
            <w:vAlign w:val="center"/>
          </w:tcPr>
          <w:p w14:paraId="04291EA4">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59" w:type="dxa"/>
            <w:tcBorders>
              <w:top w:val="nil"/>
              <w:left w:val="nil"/>
              <w:bottom w:val="nil"/>
              <w:right w:val="nil"/>
            </w:tcBorders>
            <w:shd w:val="clear" w:color="auto" w:fill="auto"/>
            <w:vAlign w:val="center"/>
          </w:tcPr>
          <w:p w14:paraId="1BBA0961">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0.997</w:t>
            </w:r>
          </w:p>
        </w:tc>
        <w:tc>
          <w:tcPr>
            <w:tcW w:w="759" w:type="dxa"/>
            <w:tcBorders>
              <w:top w:val="nil"/>
              <w:left w:val="nil"/>
              <w:bottom w:val="nil"/>
              <w:right w:val="nil"/>
            </w:tcBorders>
            <w:shd w:val="clear" w:color="auto" w:fill="auto"/>
            <w:vAlign w:val="center"/>
          </w:tcPr>
          <w:p w14:paraId="2AE0565F">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0.997</w:t>
            </w:r>
          </w:p>
        </w:tc>
        <w:tc>
          <w:tcPr>
            <w:tcW w:w="759" w:type="dxa"/>
            <w:tcBorders>
              <w:top w:val="nil"/>
              <w:left w:val="nil"/>
              <w:bottom w:val="nil"/>
              <w:right w:val="nil"/>
            </w:tcBorders>
            <w:shd w:val="clear" w:color="auto" w:fill="auto"/>
            <w:vAlign w:val="center"/>
          </w:tcPr>
          <w:p w14:paraId="6AF8DBB2">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0.991</w:t>
            </w:r>
          </w:p>
        </w:tc>
        <w:tc>
          <w:tcPr>
            <w:tcW w:w="759" w:type="dxa"/>
            <w:tcBorders>
              <w:top w:val="nil"/>
              <w:left w:val="nil"/>
              <w:bottom w:val="nil"/>
              <w:right w:val="nil"/>
            </w:tcBorders>
            <w:shd w:val="clear" w:color="auto" w:fill="auto"/>
            <w:vAlign w:val="center"/>
          </w:tcPr>
          <w:p w14:paraId="3F474A0F">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0.998</w:t>
            </w:r>
          </w:p>
        </w:tc>
        <w:tc>
          <w:tcPr>
            <w:tcW w:w="759" w:type="dxa"/>
            <w:tcBorders>
              <w:top w:val="nil"/>
              <w:left w:val="nil"/>
              <w:bottom w:val="nil"/>
              <w:right w:val="nil"/>
            </w:tcBorders>
            <w:shd w:val="clear" w:color="auto" w:fill="auto"/>
            <w:vAlign w:val="center"/>
          </w:tcPr>
          <w:p w14:paraId="1C896065">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59" w:type="dxa"/>
            <w:tcBorders>
              <w:top w:val="nil"/>
              <w:left w:val="nil"/>
              <w:bottom w:val="nil"/>
              <w:right w:val="nil"/>
            </w:tcBorders>
            <w:shd w:val="clear" w:color="auto" w:fill="auto"/>
            <w:vAlign w:val="center"/>
          </w:tcPr>
          <w:p w14:paraId="6857AD14">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788" w:type="dxa"/>
            <w:tcBorders>
              <w:top w:val="nil"/>
              <w:left w:val="nil"/>
              <w:bottom w:val="nil"/>
              <w:right w:val="nil"/>
            </w:tcBorders>
            <w:shd w:val="clear" w:color="auto" w:fill="auto"/>
            <w:vAlign w:val="center"/>
          </w:tcPr>
          <w:p w14:paraId="12A211E8">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759" w:type="dxa"/>
            <w:tcBorders>
              <w:top w:val="nil"/>
              <w:left w:val="nil"/>
              <w:bottom w:val="nil"/>
              <w:right w:val="nil"/>
            </w:tcBorders>
            <w:shd w:val="clear" w:color="auto" w:fill="auto"/>
            <w:vAlign w:val="center"/>
          </w:tcPr>
          <w:p w14:paraId="1B03F867">
            <w:pPr>
              <w:spacing w:line="360" w:lineRule="auto"/>
              <w:jc w:val="right"/>
              <w:rPr>
                <w:rFonts w:hint="default" w:ascii="Times New Roman" w:hAnsi="Times New Roman" w:cs="Times New Roman"/>
                <w:color w:val="000000"/>
                <w:sz w:val="24"/>
                <w:szCs w:val="24"/>
              </w:rPr>
            </w:pPr>
          </w:p>
        </w:tc>
        <w:tc>
          <w:tcPr>
            <w:tcW w:w="760" w:type="dxa"/>
            <w:tcBorders>
              <w:top w:val="nil"/>
              <w:left w:val="nil"/>
              <w:bottom w:val="nil"/>
              <w:right w:val="nil"/>
            </w:tcBorders>
            <w:shd w:val="clear" w:color="auto" w:fill="auto"/>
            <w:vAlign w:val="center"/>
          </w:tcPr>
          <w:p w14:paraId="52A9FB4F">
            <w:pPr>
              <w:spacing w:line="360" w:lineRule="auto"/>
              <w:jc w:val="right"/>
              <w:rPr>
                <w:rFonts w:hint="default" w:ascii="Times New Roman" w:hAnsi="Times New Roman" w:eastAsia="Times New Roman" w:cs="Times New Roman"/>
                <w:sz w:val="24"/>
                <w:szCs w:val="24"/>
              </w:rPr>
            </w:pPr>
          </w:p>
        </w:tc>
        <w:tc>
          <w:tcPr>
            <w:tcW w:w="897" w:type="dxa"/>
            <w:tcBorders>
              <w:top w:val="nil"/>
              <w:left w:val="nil"/>
              <w:bottom w:val="nil"/>
              <w:right w:val="nil"/>
            </w:tcBorders>
            <w:shd w:val="clear" w:color="auto" w:fill="auto"/>
            <w:vAlign w:val="center"/>
          </w:tcPr>
          <w:p w14:paraId="5235FD45">
            <w:pPr>
              <w:spacing w:line="360" w:lineRule="auto"/>
              <w:jc w:val="center"/>
              <w:rPr>
                <w:rFonts w:hint="default" w:ascii="Times New Roman" w:hAnsi="Times New Roman" w:eastAsia="Times New Roman" w:cs="Times New Roman"/>
                <w:sz w:val="24"/>
                <w:szCs w:val="24"/>
              </w:rPr>
            </w:pPr>
          </w:p>
        </w:tc>
      </w:tr>
      <w:tr w14:paraId="2F0E0C67">
        <w:tblPrEx>
          <w:tblCellMar>
            <w:top w:w="0" w:type="dxa"/>
            <w:left w:w="108" w:type="dxa"/>
            <w:bottom w:w="0" w:type="dxa"/>
            <w:right w:w="108" w:type="dxa"/>
          </w:tblCellMar>
        </w:tblPrEx>
        <w:trPr>
          <w:trHeight w:val="249" w:hRule="atLeast"/>
          <w:jc w:val="center"/>
        </w:trPr>
        <w:tc>
          <w:tcPr>
            <w:tcW w:w="896" w:type="dxa"/>
            <w:tcBorders>
              <w:top w:val="nil"/>
              <w:left w:val="nil"/>
              <w:bottom w:val="nil"/>
              <w:right w:val="nil"/>
            </w:tcBorders>
            <w:shd w:val="clear" w:color="auto" w:fill="auto"/>
            <w:vAlign w:val="center"/>
          </w:tcPr>
          <w:p w14:paraId="4C76B04F">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S9</w:t>
            </w:r>
          </w:p>
        </w:tc>
        <w:tc>
          <w:tcPr>
            <w:tcW w:w="815" w:type="dxa"/>
            <w:tcBorders>
              <w:top w:val="nil"/>
              <w:left w:val="nil"/>
              <w:bottom w:val="nil"/>
              <w:right w:val="nil"/>
            </w:tcBorders>
            <w:shd w:val="clear" w:color="auto" w:fill="auto"/>
            <w:vAlign w:val="center"/>
          </w:tcPr>
          <w:p w14:paraId="465348BF">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0.983</w:t>
            </w:r>
          </w:p>
        </w:tc>
        <w:tc>
          <w:tcPr>
            <w:tcW w:w="759" w:type="dxa"/>
            <w:tcBorders>
              <w:top w:val="nil"/>
              <w:left w:val="nil"/>
              <w:bottom w:val="nil"/>
              <w:right w:val="nil"/>
            </w:tcBorders>
            <w:shd w:val="clear" w:color="auto" w:fill="auto"/>
            <w:vAlign w:val="center"/>
          </w:tcPr>
          <w:p w14:paraId="44F4F013">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0.994</w:t>
            </w:r>
          </w:p>
        </w:tc>
        <w:tc>
          <w:tcPr>
            <w:tcW w:w="759" w:type="dxa"/>
            <w:tcBorders>
              <w:top w:val="nil"/>
              <w:left w:val="nil"/>
              <w:bottom w:val="nil"/>
              <w:right w:val="nil"/>
            </w:tcBorders>
            <w:shd w:val="clear" w:color="auto" w:fill="auto"/>
            <w:vAlign w:val="center"/>
          </w:tcPr>
          <w:p w14:paraId="3F1CCA45">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59" w:type="dxa"/>
            <w:tcBorders>
              <w:top w:val="nil"/>
              <w:left w:val="nil"/>
              <w:bottom w:val="nil"/>
              <w:right w:val="nil"/>
            </w:tcBorders>
            <w:shd w:val="clear" w:color="auto" w:fill="auto"/>
            <w:vAlign w:val="center"/>
          </w:tcPr>
          <w:p w14:paraId="423B3665">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0.997</w:t>
            </w:r>
          </w:p>
        </w:tc>
        <w:tc>
          <w:tcPr>
            <w:tcW w:w="759" w:type="dxa"/>
            <w:tcBorders>
              <w:top w:val="nil"/>
              <w:left w:val="nil"/>
              <w:bottom w:val="nil"/>
              <w:right w:val="nil"/>
            </w:tcBorders>
            <w:shd w:val="clear" w:color="auto" w:fill="auto"/>
            <w:vAlign w:val="center"/>
          </w:tcPr>
          <w:p w14:paraId="6C0BFCAE">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0.998</w:t>
            </w:r>
          </w:p>
        </w:tc>
        <w:tc>
          <w:tcPr>
            <w:tcW w:w="759" w:type="dxa"/>
            <w:tcBorders>
              <w:top w:val="nil"/>
              <w:left w:val="nil"/>
              <w:bottom w:val="nil"/>
              <w:right w:val="nil"/>
            </w:tcBorders>
            <w:shd w:val="clear" w:color="auto" w:fill="auto"/>
            <w:vAlign w:val="center"/>
          </w:tcPr>
          <w:p w14:paraId="16C99F1A">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0.997</w:t>
            </w:r>
          </w:p>
        </w:tc>
        <w:tc>
          <w:tcPr>
            <w:tcW w:w="759" w:type="dxa"/>
            <w:tcBorders>
              <w:top w:val="nil"/>
              <w:left w:val="nil"/>
              <w:bottom w:val="nil"/>
              <w:right w:val="nil"/>
            </w:tcBorders>
            <w:shd w:val="clear" w:color="auto" w:fill="auto"/>
            <w:vAlign w:val="center"/>
          </w:tcPr>
          <w:p w14:paraId="1AC42D79">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0.996</w:t>
            </w:r>
          </w:p>
        </w:tc>
        <w:tc>
          <w:tcPr>
            <w:tcW w:w="788" w:type="dxa"/>
            <w:tcBorders>
              <w:top w:val="nil"/>
              <w:left w:val="nil"/>
              <w:bottom w:val="nil"/>
              <w:right w:val="nil"/>
            </w:tcBorders>
            <w:shd w:val="clear" w:color="auto" w:fill="auto"/>
            <w:vAlign w:val="center"/>
          </w:tcPr>
          <w:p w14:paraId="169447A8">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0.996</w:t>
            </w:r>
          </w:p>
        </w:tc>
        <w:tc>
          <w:tcPr>
            <w:tcW w:w="759" w:type="dxa"/>
            <w:tcBorders>
              <w:top w:val="nil"/>
              <w:left w:val="nil"/>
              <w:bottom w:val="nil"/>
              <w:right w:val="nil"/>
            </w:tcBorders>
            <w:shd w:val="clear" w:color="auto" w:fill="auto"/>
            <w:vAlign w:val="center"/>
          </w:tcPr>
          <w:p w14:paraId="142B707C">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760" w:type="dxa"/>
            <w:tcBorders>
              <w:top w:val="nil"/>
              <w:left w:val="nil"/>
              <w:bottom w:val="nil"/>
              <w:right w:val="nil"/>
            </w:tcBorders>
            <w:shd w:val="clear" w:color="auto" w:fill="auto"/>
            <w:vAlign w:val="center"/>
          </w:tcPr>
          <w:p w14:paraId="6CBC8E78">
            <w:pPr>
              <w:spacing w:line="360" w:lineRule="auto"/>
              <w:jc w:val="right"/>
              <w:rPr>
                <w:rFonts w:hint="default" w:ascii="Times New Roman" w:hAnsi="Times New Roman" w:cs="Times New Roman"/>
                <w:color w:val="000000"/>
                <w:sz w:val="24"/>
                <w:szCs w:val="24"/>
              </w:rPr>
            </w:pPr>
          </w:p>
        </w:tc>
        <w:tc>
          <w:tcPr>
            <w:tcW w:w="897" w:type="dxa"/>
            <w:tcBorders>
              <w:top w:val="nil"/>
              <w:left w:val="nil"/>
              <w:bottom w:val="nil"/>
              <w:right w:val="nil"/>
            </w:tcBorders>
            <w:shd w:val="clear" w:color="auto" w:fill="auto"/>
            <w:vAlign w:val="center"/>
          </w:tcPr>
          <w:p w14:paraId="6DFB53D2">
            <w:pPr>
              <w:spacing w:line="360" w:lineRule="auto"/>
              <w:jc w:val="center"/>
              <w:rPr>
                <w:rFonts w:hint="default" w:ascii="Times New Roman" w:hAnsi="Times New Roman" w:eastAsia="Times New Roman" w:cs="Times New Roman"/>
                <w:sz w:val="24"/>
                <w:szCs w:val="24"/>
              </w:rPr>
            </w:pPr>
          </w:p>
        </w:tc>
      </w:tr>
      <w:tr w14:paraId="2622CA63">
        <w:tblPrEx>
          <w:tblCellMar>
            <w:top w:w="0" w:type="dxa"/>
            <w:left w:w="108" w:type="dxa"/>
            <w:bottom w:w="0" w:type="dxa"/>
            <w:right w:w="108" w:type="dxa"/>
          </w:tblCellMar>
        </w:tblPrEx>
        <w:trPr>
          <w:trHeight w:val="249" w:hRule="atLeast"/>
          <w:jc w:val="center"/>
        </w:trPr>
        <w:tc>
          <w:tcPr>
            <w:tcW w:w="896" w:type="dxa"/>
            <w:tcBorders>
              <w:top w:val="nil"/>
              <w:left w:val="nil"/>
              <w:bottom w:val="nil"/>
              <w:right w:val="nil"/>
            </w:tcBorders>
            <w:shd w:val="clear" w:color="auto" w:fill="auto"/>
            <w:vAlign w:val="center"/>
          </w:tcPr>
          <w:p w14:paraId="2F068696">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S10</w:t>
            </w:r>
          </w:p>
        </w:tc>
        <w:tc>
          <w:tcPr>
            <w:tcW w:w="815" w:type="dxa"/>
            <w:tcBorders>
              <w:top w:val="nil"/>
              <w:left w:val="nil"/>
              <w:bottom w:val="nil"/>
              <w:right w:val="nil"/>
            </w:tcBorders>
            <w:shd w:val="clear" w:color="auto" w:fill="auto"/>
            <w:vAlign w:val="center"/>
          </w:tcPr>
          <w:p w14:paraId="495ED950">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0.992</w:t>
            </w:r>
          </w:p>
        </w:tc>
        <w:tc>
          <w:tcPr>
            <w:tcW w:w="759" w:type="dxa"/>
            <w:tcBorders>
              <w:top w:val="nil"/>
              <w:left w:val="nil"/>
              <w:bottom w:val="nil"/>
              <w:right w:val="nil"/>
            </w:tcBorders>
            <w:shd w:val="clear" w:color="auto" w:fill="auto"/>
            <w:vAlign w:val="center"/>
          </w:tcPr>
          <w:p w14:paraId="32DFCB40">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0.992</w:t>
            </w:r>
          </w:p>
        </w:tc>
        <w:tc>
          <w:tcPr>
            <w:tcW w:w="759" w:type="dxa"/>
            <w:tcBorders>
              <w:top w:val="nil"/>
              <w:left w:val="nil"/>
              <w:bottom w:val="nil"/>
              <w:right w:val="nil"/>
            </w:tcBorders>
            <w:shd w:val="clear" w:color="auto" w:fill="auto"/>
            <w:vAlign w:val="center"/>
          </w:tcPr>
          <w:p w14:paraId="07E2F223">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59" w:type="dxa"/>
            <w:tcBorders>
              <w:top w:val="nil"/>
              <w:left w:val="nil"/>
              <w:bottom w:val="nil"/>
              <w:right w:val="nil"/>
            </w:tcBorders>
            <w:shd w:val="clear" w:color="auto" w:fill="auto"/>
            <w:vAlign w:val="center"/>
          </w:tcPr>
          <w:p w14:paraId="7D43220A">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0.992</w:t>
            </w:r>
          </w:p>
        </w:tc>
        <w:tc>
          <w:tcPr>
            <w:tcW w:w="759" w:type="dxa"/>
            <w:tcBorders>
              <w:top w:val="nil"/>
              <w:left w:val="nil"/>
              <w:bottom w:val="nil"/>
              <w:right w:val="nil"/>
            </w:tcBorders>
            <w:shd w:val="clear" w:color="auto" w:fill="auto"/>
            <w:vAlign w:val="center"/>
          </w:tcPr>
          <w:p w14:paraId="716B4F61">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0.996</w:t>
            </w:r>
          </w:p>
        </w:tc>
        <w:tc>
          <w:tcPr>
            <w:tcW w:w="759" w:type="dxa"/>
            <w:tcBorders>
              <w:top w:val="nil"/>
              <w:left w:val="nil"/>
              <w:bottom w:val="nil"/>
              <w:right w:val="nil"/>
            </w:tcBorders>
            <w:shd w:val="clear" w:color="auto" w:fill="auto"/>
            <w:vAlign w:val="center"/>
          </w:tcPr>
          <w:p w14:paraId="61E03550">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0.996</w:t>
            </w:r>
          </w:p>
        </w:tc>
        <w:tc>
          <w:tcPr>
            <w:tcW w:w="759" w:type="dxa"/>
            <w:tcBorders>
              <w:top w:val="nil"/>
              <w:left w:val="nil"/>
              <w:bottom w:val="nil"/>
              <w:right w:val="nil"/>
            </w:tcBorders>
            <w:shd w:val="clear" w:color="auto" w:fill="auto"/>
            <w:vAlign w:val="center"/>
          </w:tcPr>
          <w:p w14:paraId="0C22A07E">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0.996</w:t>
            </w:r>
          </w:p>
        </w:tc>
        <w:tc>
          <w:tcPr>
            <w:tcW w:w="788" w:type="dxa"/>
            <w:tcBorders>
              <w:top w:val="nil"/>
              <w:left w:val="nil"/>
              <w:bottom w:val="nil"/>
              <w:right w:val="nil"/>
            </w:tcBorders>
            <w:shd w:val="clear" w:color="auto" w:fill="auto"/>
            <w:vAlign w:val="center"/>
          </w:tcPr>
          <w:p w14:paraId="2621D15B">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0.997</w:t>
            </w:r>
          </w:p>
        </w:tc>
        <w:tc>
          <w:tcPr>
            <w:tcW w:w="759" w:type="dxa"/>
            <w:tcBorders>
              <w:top w:val="nil"/>
              <w:left w:val="nil"/>
              <w:bottom w:val="nil"/>
              <w:right w:val="nil"/>
            </w:tcBorders>
            <w:shd w:val="clear" w:color="auto" w:fill="auto"/>
            <w:vAlign w:val="center"/>
          </w:tcPr>
          <w:p w14:paraId="3CA630DA">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0.997</w:t>
            </w:r>
          </w:p>
        </w:tc>
        <w:tc>
          <w:tcPr>
            <w:tcW w:w="760" w:type="dxa"/>
            <w:tcBorders>
              <w:top w:val="nil"/>
              <w:left w:val="nil"/>
              <w:bottom w:val="nil"/>
              <w:right w:val="nil"/>
            </w:tcBorders>
            <w:shd w:val="clear" w:color="auto" w:fill="auto"/>
            <w:vAlign w:val="center"/>
          </w:tcPr>
          <w:p w14:paraId="1D8430A9">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897" w:type="dxa"/>
            <w:tcBorders>
              <w:top w:val="nil"/>
              <w:left w:val="nil"/>
              <w:bottom w:val="nil"/>
              <w:right w:val="nil"/>
            </w:tcBorders>
            <w:shd w:val="clear" w:color="auto" w:fill="auto"/>
            <w:vAlign w:val="center"/>
          </w:tcPr>
          <w:p w14:paraId="2E626AB3">
            <w:pPr>
              <w:spacing w:line="360" w:lineRule="auto"/>
              <w:jc w:val="center"/>
              <w:rPr>
                <w:rFonts w:hint="default" w:ascii="Times New Roman" w:hAnsi="Times New Roman" w:cs="Times New Roman"/>
                <w:color w:val="000000"/>
                <w:sz w:val="24"/>
                <w:szCs w:val="24"/>
              </w:rPr>
            </w:pPr>
          </w:p>
        </w:tc>
      </w:tr>
      <w:tr w14:paraId="2FFB6BD3">
        <w:tblPrEx>
          <w:tblCellMar>
            <w:top w:w="0" w:type="dxa"/>
            <w:left w:w="108" w:type="dxa"/>
            <w:bottom w:w="0" w:type="dxa"/>
            <w:right w:w="108" w:type="dxa"/>
          </w:tblCellMar>
        </w:tblPrEx>
        <w:trPr>
          <w:trHeight w:val="1068" w:hRule="atLeast"/>
          <w:jc w:val="center"/>
        </w:trPr>
        <w:tc>
          <w:tcPr>
            <w:tcW w:w="896" w:type="dxa"/>
            <w:tcBorders>
              <w:top w:val="nil"/>
              <w:left w:val="nil"/>
              <w:bottom w:val="single" w:color="auto" w:sz="12" w:space="0"/>
              <w:right w:val="nil"/>
            </w:tcBorders>
            <w:shd w:val="clear" w:color="auto" w:fill="auto"/>
            <w:vAlign w:val="center"/>
          </w:tcPr>
          <w:p w14:paraId="290D0A4B">
            <w:pPr>
              <w:spacing w:line="360" w:lineRule="auto"/>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control map</w:t>
            </w:r>
          </w:p>
        </w:tc>
        <w:tc>
          <w:tcPr>
            <w:tcW w:w="815" w:type="dxa"/>
            <w:tcBorders>
              <w:top w:val="nil"/>
              <w:left w:val="nil"/>
              <w:bottom w:val="single" w:color="auto" w:sz="12" w:space="0"/>
              <w:right w:val="nil"/>
            </w:tcBorders>
            <w:shd w:val="clear" w:color="auto" w:fill="auto"/>
            <w:vAlign w:val="center"/>
          </w:tcPr>
          <w:p w14:paraId="6D12A1AB">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59" w:type="dxa"/>
            <w:tcBorders>
              <w:top w:val="nil"/>
              <w:left w:val="nil"/>
              <w:bottom w:val="single" w:color="auto" w:sz="12" w:space="0"/>
              <w:right w:val="nil"/>
            </w:tcBorders>
            <w:shd w:val="clear" w:color="auto" w:fill="auto"/>
            <w:vAlign w:val="center"/>
          </w:tcPr>
          <w:p w14:paraId="5A917E7A">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0.997</w:t>
            </w:r>
          </w:p>
        </w:tc>
        <w:tc>
          <w:tcPr>
            <w:tcW w:w="759" w:type="dxa"/>
            <w:tcBorders>
              <w:top w:val="nil"/>
              <w:left w:val="nil"/>
              <w:bottom w:val="single" w:color="auto" w:sz="12" w:space="0"/>
              <w:right w:val="nil"/>
            </w:tcBorders>
            <w:shd w:val="clear" w:color="auto" w:fill="auto"/>
            <w:vAlign w:val="center"/>
          </w:tcPr>
          <w:p w14:paraId="7B3A02F7">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59" w:type="dxa"/>
            <w:tcBorders>
              <w:top w:val="nil"/>
              <w:left w:val="nil"/>
              <w:bottom w:val="single" w:color="auto" w:sz="12" w:space="0"/>
              <w:right w:val="nil"/>
            </w:tcBorders>
            <w:shd w:val="clear" w:color="auto" w:fill="auto"/>
            <w:vAlign w:val="center"/>
          </w:tcPr>
          <w:p w14:paraId="6CDDBD9B">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0.994</w:t>
            </w:r>
          </w:p>
        </w:tc>
        <w:tc>
          <w:tcPr>
            <w:tcW w:w="759" w:type="dxa"/>
            <w:tcBorders>
              <w:top w:val="nil"/>
              <w:left w:val="nil"/>
              <w:bottom w:val="single" w:color="auto" w:sz="12" w:space="0"/>
              <w:right w:val="nil"/>
            </w:tcBorders>
            <w:shd w:val="clear" w:color="auto" w:fill="auto"/>
            <w:vAlign w:val="center"/>
          </w:tcPr>
          <w:p w14:paraId="76607214">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59" w:type="dxa"/>
            <w:tcBorders>
              <w:top w:val="nil"/>
              <w:left w:val="nil"/>
              <w:bottom w:val="single" w:color="auto" w:sz="12" w:space="0"/>
              <w:right w:val="nil"/>
            </w:tcBorders>
            <w:shd w:val="clear" w:color="auto" w:fill="auto"/>
            <w:vAlign w:val="center"/>
          </w:tcPr>
          <w:p w14:paraId="4200ECDD">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59" w:type="dxa"/>
            <w:tcBorders>
              <w:top w:val="nil"/>
              <w:left w:val="nil"/>
              <w:bottom w:val="single" w:color="auto" w:sz="12" w:space="0"/>
              <w:right w:val="nil"/>
            </w:tcBorders>
            <w:shd w:val="clear" w:color="auto" w:fill="auto"/>
            <w:vAlign w:val="center"/>
          </w:tcPr>
          <w:p w14:paraId="4CB7D972">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88" w:type="dxa"/>
            <w:tcBorders>
              <w:top w:val="nil"/>
              <w:left w:val="nil"/>
              <w:bottom w:val="single" w:color="auto" w:sz="12" w:space="0"/>
              <w:right w:val="nil"/>
            </w:tcBorders>
            <w:shd w:val="clear" w:color="auto" w:fill="auto"/>
            <w:vAlign w:val="center"/>
          </w:tcPr>
          <w:p w14:paraId="425DED75">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759" w:type="dxa"/>
            <w:tcBorders>
              <w:top w:val="nil"/>
              <w:left w:val="nil"/>
              <w:bottom w:val="single" w:color="auto" w:sz="12" w:space="0"/>
              <w:right w:val="nil"/>
            </w:tcBorders>
            <w:shd w:val="clear" w:color="auto" w:fill="auto"/>
            <w:vAlign w:val="center"/>
          </w:tcPr>
          <w:p w14:paraId="4129584F">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0.998</w:t>
            </w:r>
          </w:p>
        </w:tc>
        <w:tc>
          <w:tcPr>
            <w:tcW w:w="760" w:type="dxa"/>
            <w:tcBorders>
              <w:top w:val="nil"/>
              <w:left w:val="nil"/>
              <w:bottom w:val="single" w:color="auto" w:sz="12" w:space="0"/>
              <w:right w:val="nil"/>
            </w:tcBorders>
            <w:shd w:val="clear" w:color="auto" w:fill="auto"/>
            <w:vAlign w:val="center"/>
          </w:tcPr>
          <w:p w14:paraId="221447E9">
            <w:pPr>
              <w:spacing w:line="360" w:lineRule="auto"/>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w:t>
            </w:r>
          </w:p>
        </w:tc>
        <w:tc>
          <w:tcPr>
            <w:tcW w:w="897" w:type="dxa"/>
            <w:tcBorders>
              <w:top w:val="nil"/>
              <w:left w:val="nil"/>
              <w:bottom w:val="single" w:color="auto" w:sz="12" w:space="0"/>
              <w:right w:val="nil"/>
            </w:tcBorders>
            <w:shd w:val="clear" w:color="auto" w:fill="auto"/>
            <w:vAlign w:val="center"/>
          </w:tcPr>
          <w:p w14:paraId="2ACAA4DF">
            <w:pPr>
              <w:spacing w:line="360" w:lineRule="auto"/>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r>
    </w:tbl>
    <w:p w14:paraId="532458A1">
      <w:pPr>
        <w:pStyle w:val="11"/>
        <w:spacing w:line="360" w:lineRule="auto"/>
        <w:ind w:left="0"/>
        <w:jc w:val="both"/>
        <w:rPr>
          <w:rFonts w:hint="default" w:ascii="Times New Roman" w:hAnsi="Times New Roman" w:eastAsia="黑体" w:cs="Times New Roman"/>
          <w:color w:val="000000" w:themeColor="text1"/>
          <w:sz w:val="24"/>
          <w:szCs w:val="24"/>
          <w14:textFill>
            <w14:solidFill>
              <w14:schemeClr w14:val="tx1"/>
            </w14:solidFill>
          </w14:textFill>
        </w:rPr>
      </w:pPr>
    </w:p>
    <w:p w14:paraId="1D02F053">
      <w:pPr>
        <w:pStyle w:val="12"/>
        <w:tabs>
          <w:tab w:val="left" w:pos="2552"/>
          <w:tab w:val="left" w:pos="2694"/>
          <w:tab w:val="left" w:pos="7088"/>
        </w:tabs>
        <w:spacing w:line="360" w:lineRule="auto"/>
        <w:ind w:firstLine="0" w:firstLineChars="0"/>
        <w:jc w:val="center"/>
        <w:rPr>
          <w:rFonts w:hint="default" w:ascii="Times New Roman" w:hAnsi="Times New Roman" w:eastAsia="黑体" w:cs="Times New Roman"/>
          <w:color w:val="000000" w:themeColor="text1"/>
          <w:sz w:val="24"/>
          <w:szCs w:val="24"/>
          <w14:textFill>
            <w14:solidFill>
              <w14:schemeClr w14:val="tx1"/>
            </w14:solidFill>
          </w14:textFill>
        </w:rPr>
      </w:pPr>
      <w:r>
        <w:drawing>
          <wp:inline distT="0" distB="0" distL="114300" distR="114300">
            <wp:extent cx="4881245" cy="4713605"/>
            <wp:effectExtent l="0" t="0" r="14605" b="1079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4881245" cy="4713605"/>
                    </a:xfrm>
                    <a:prstGeom prst="rect">
                      <a:avLst/>
                    </a:prstGeom>
                    <a:noFill/>
                    <a:ln>
                      <a:noFill/>
                    </a:ln>
                  </pic:spPr>
                </pic:pic>
              </a:graphicData>
            </a:graphic>
          </wp:inline>
        </w:drawing>
      </w:r>
    </w:p>
    <w:p w14:paraId="43060CAB">
      <w:pPr>
        <w:pStyle w:val="12"/>
        <w:spacing w:line="360" w:lineRule="auto"/>
        <w:ind w:firstLine="200" w:firstLineChars="83"/>
        <w:jc w:val="center"/>
        <w:rPr>
          <w:rFonts w:hint="default" w:ascii="Times New Roman" w:hAnsi="Times New Roman" w:cs="Times New Roman"/>
          <w:color w:val="000000" w:themeColor="text1"/>
          <w:sz w:val="24"/>
          <w:szCs w:val="24"/>
          <w14:textFill>
            <w14:solidFill>
              <w14:schemeClr w14:val="tx1"/>
            </w14:solidFill>
          </w14:textFill>
        </w:rPr>
      </w:pPr>
      <w:bookmarkStart w:id="4" w:name="_Hlk43222371"/>
      <w:r>
        <w:rPr>
          <w:rFonts w:hint="default" w:ascii="Times New Roman" w:hAnsi="Times New Roman" w:cs="Times New Roman"/>
          <w:b/>
          <w:bCs/>
          <w:color w:val="000000" w:themeColor="text1"/>
          <w:sz w:val="24"/>
          <w:szCs w:val="24"/>
          <w14:textFill>
            <w14:solidFill>
              <w14:schemeClr w14:val="tx1"/>
            </w14:solidFill>
          </w14:textFill>
        </w:rPr>
        <w:t>Fig</w:t>
      </w:r>
      <w:r>
        <w:rPr>
          <w:rFonts w:hint="eastAsia" w:cs="Times New Roman"/>
          <w:b/>
          <w:bCs/>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szCs w:val="24"/>
          <w14:textFill>
            <w14:solidFill>
              <w14:schemeClr w14:val="tx1"/>
            </w14:solidFill>
          </w14:textFill>
        </w:rPr>
        <w:t>S1</w:t>
      </w:r>
      <w:r>
        <w:rPr>
          <w:rFonts w:hint="eastAsia" w:cs="Times New Roman"/>
          <w:b/>
          <w:bCs/>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w:t>
      </w:r>
      <w:bookmarkEnd w:id="4"/>
      <w:r>
        <w:rPr>
          <w:rFonts w:hint="default" w:ascii="Times New Roman" w:hAnsi="Times New Roman" w:cs="Times New Roman"/>
          <w:color w:val="000000" w:themeColor="text1"/>
          <w:sz w:val="24"/>
          <w:szCs w:val="24"/>
          <w14:textFill>
            <w14:solidFill>
              <w14:schemeClr w14:val="tx1"/>
            </w14:solidFill>
          </w14:textFill>
        </w:rPr>
        <w:t>HPLC chromatograms and fingerprints</w:t>
      </w:r>
      <w:r>
        <w:rPr>
          <w:rFonts w:hint="eastAsia"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 Mixed reference standards: 1. Naringin, 2. Hesperidin, 3. Neohesperidin, 4. Naringenin, 5. Hesperetin, 6. Nobiletin;</w:t>
      </w:r>
    </w:p>
    <w:p w14:paraId="61EAA43F">
      <w:pPr>
        <w:pStyle w:val="12"/>
        <w:spacing w:line="360" w:lineRule="auto"/>
        <w:ind w:firstLine="199" w:firstLineChars="83"/>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(B) HPLC fingerprint of FA sample.</w:t>
      </w:r>
    </w:p>
    <w:p w14:paraId="63E920F9">
      <w:pPr>
        <w:pStyle w:val="12"/>
        <w:spacing w:line="360" w:lineRule="auto"/>
        <w:ind w:left="0" w:leftChars="0" w:firstLine="0" w:firstLineChars="0"/>
        <w:jc w:val="both"/>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drawing>
          <wp:inline distT="0" distB="0" distL="114300" distR="114300">
            <wp:extent cx="5271135" cy="3091180"/>
            <wp:effectExtent l="0" t="0" r="5715" b="1397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5"/>
                    <a:stretch>
                      <a:fillRect/>
                    </a:stretch>
                  </pic:blipFill>
                  <pic:spPr>
                    <a:xfrm>
                      <a:off x="0" y="0"/>
                      <a:ext cx="5271135" cy="3091180"/>
                    </a:xfrm>
                    <a:prstGeom prst="rect">
                      <a:avLst/>
                    </a:prstGeom>
                    <a:noFill/>
                    <a:ln>
                      <a:noFill/>
                    </a:ln>
                  </pic:spPr>
                </pic:pic>
              </a:graphicData>
            </a:graphic>
          </wp:inline>
        </w:drawing>
      </w:r>
    </w:p>
    <w:p w14:paraId="57694032">
      <w:pPr>
        <w:pStyle w:val="12"/>
        <w:spacing w:line="360" w:lineRule="auto"/>
        <w:ind w:firstLine="200" w:firstLineChars="83"/>
        <w:jc w:val="center"/>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Fig</w:t>
      </w:r>
      <w:r>
        <w:rPr>
          <w:rFonts w:hint="eastAsia" w:cs="Times New Roman"/>
          <w:b/>
          <w:bCs/>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szCs w:val="24"/>
          <w14:textFill>
            <w14:solidFill>
              <w14:schemeClr w14:val="tx1"/>
            </w14:solidFill>
          </w14:textFill>
        </w:rPr>
        <w:t>S</w:t>
      </w:r>
      <w:r>
        <w:rPr>
          <w:rFonts w:hint="eastAsia" w:cs="Times New Roman"/>
          <w:b/>
          <w:bCs/>
          <w:color w:val="000000" w:themeColor="text1"/>
          <w:sz w:val="24"/>
          <w:szCs w:val="24"/>
          <w:lang w:val="en-US" w:eastAsia="zh-CN"/>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 xml:space="preserve"> Molecular docking of positive‑control inhibitors against target proteins.</w:t>
      </w:r>
      <w:r>
        <w:rPr>
          <w:rFonts w:hint="eastAsia"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Four well‑characterized known inhibitors (Zileuton for ALOX5, IKK‑16 for CHUK, Idelalisib for PIK3CG, PF‑06447475 for LRRK2) were docked to their corresponding target proteins with identical docking parameters.</w:t>
      </w:r>
    </w:p>
    <w:p w14:paraId="45222272">
      <w:pPr>
        <w:spacing w:line="360" w:lineRule="auto"/>
        <w:rPr>
          <w:rFonts w:hint="default" w:ascii="Times New Roman" w:hAnsi="Times New Roman" w:cs="Times New Roman"/>
          <w:b/>
          <w:bCs/>
          <w:color w:val="auto"/>
          <w:sz w:val="24"/>
          <w:szCs w:val="24"/>
          <w:lang w:val="en-US" w:eastAsia="zh-CN"/>
        </w:rPr>
      </w:pPr>
      <w:r>
        <w:rPr>
          <w:rFonts w:hint="default" w:ascii="Times New Roman" w:hAnsi="Times New Roman" w:cs="Times New Roman"/>
          <w:sz w:val="24"/>
          <w:szCs w:val="24"/>
        </w:rPr>
        <w:drawing>
          <wp:inline distT="0" distB="0" distL="114300" distR="114300">
            <wp:extent cx="5126990" cy="3923665"/>
            <wp:effectExtent l="0" t="0" r="165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126990" cy="3923665"/>
                    </a:xfrm>
                    <a:prstGeom prst="rect">
                      <a:avLst/>
                    </a:prstGeom>
                    <a:noFill/>
                    <a:ln>
                      <a:noFill/>
                    </a:ln>
                  </pic:spPr>
                </pic:pic>
              </a:graphicData>
            </a:graphic>
          </wp:inline>
        </w:drawing>
      </w:r>
    </w:p>
    <w:p w14:paraId="3B8365A9">
      <w:pPr>
        <w:spacing w:line="360" w:lineRule="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bCs/>
          <w:color w:val="auto"/>
          <w:sz w:val="24"/>
          <w:szCs w:val="24"/>
          <w:lang w:val="en-US" w:eastAsia="zh-CN"/>
        </w:rPr>
        <w:t>Fig</w:t>
      </w:r>
      <w:r>
        <w:rPr>
          <w:rFonts w:hint="eastAsia"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eastAsia="zh-CN"/>
        </w:rPr>
        <w:t>S</w:t>
      </w:r>
      <w:r>
        <w:rPr>
          <w:rFonts w:hint="eastAsia" w:ascii="Times New Roman" w:hAnsi="Times New Roman" w:cs="Times New Roman"/>
          <w:b/>
          <w:bCs/>
          <w:color w:val="auto"/>
          <w:sz w:val="24"/>
          <w:szCs w:val="24"/>
          <w:lang w:val="en-US" w:eastAsia="zh-CN"/>
        </w:rPr>
        <w:t>3</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 xml:space="preserve">Single-cell dataset analysis of major depressive disorder (MDD). (A). The distribution of nFeature_RNA and nCount_RNA across different samples, indicating good data quality within reasonable ranges. (B). Scatter plot showing high variable genes. The top 2,000 genes with the highest variation in gene expression were marked in red. (C). Batch effect was eliminated after standardization in the MDD and control groups. There were no significant differences between the samples. (D). Jackstraw permutation test plot. (E). Scree plot of the top 30 principal components (PCs). (F). Expression levels of marker genes in different cell clusters. (G). Violin plot showing the expression trends of ALOX5, PIK3CG, and CHUK across six cell types. </w:t>
      </w:r>
      <w:r>
        <w:rPr>
          <w:rFonts w:hint="default" w:ascii="Times New Roman" w:hAnsi="Times New Roman" w:cs="Times New Roman"/>
          <w:color w:val="auto"/>
          <w:sz w:val="24"/>
          <w:szCs w:val="24"/>
          <w:lang w:val="en-US" w:eastAsia="zh-CN"/>
        </w:rPr>
        <w:t>“ns” indicates p ≥ 0.05. *p &lt; 0.05.</w:t>
      </w:r>
    </w:p>
    <w:p w14:paraId="1F552EE2">
      <w:pPr>
        <w:spacing w:line="360" w:lineRule="auto"/>
        <w:rPr>
          <w:rFonts w:hint="default" w:ascii="Times New Roman" w:hAnsi="Times New Roman" w:cs="Times New Roman"/>
          <w:sz w:val="24"/>
          <w:szCs w:val="24"/>
        </w:rPr>
      </w:pPr>
    </w:p>
    <w:p w14:paraId="08176FCB">
      <w:pPr>
        <w:spacing w:line="360" w:lineRule="auto"/>
        <w:rPr>
          <w:rFonts w:hint="default" w:ascii="Times New Roman" w:hAnsi="Times New Roman" w:cs="Times New Roman"/>
          <w:b/>
          <w:sz w:val="24"/>
          <w:szCs w:val="24"/>
        </w:rPr>
      </w:pPr>
      <w:r>
        <w:rPr>
          <w:rFonts w:hint="default" w:ascii="Times New Roman" w:hAnsi="Times New Roman" w:cs="Times New Roman"/>
          <w:b/>
          <w:sz w:val="24"/>
          <w:szCs w:val="24"/>
        </w:rPr>
        <w:t>References</w:t>
      </w:r>
    </w:p>
    <w:p w14:paraId="00012271">
      <w:pPr>
        <w:pStyle w:val="15"/>
        <w:bidi w:val="0"/>
        <w:ind w:left="0" w:firstLine="0"/>
        <w:rPr>
          <w:rFonts w:hint="default" w:ascii="Times New Roman" w:hAnsi="Times New Roman" w:eastAsia="等线" w:cs="Times New Roman"/>
          <w:kern w:val="2"/>
          <w:sz w:val="20"/>
          <w:szCs w:val="22"/>
          <w:lang w:val="en-US" w:eastAsia="zh-CN" w:bidi="ar-SA"/>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ADDIN EN.REFLIST </w:instrText>
      </w:r>
      <w:r>
        <w:rPr>
          <w:rFonts w:hint="default" w:ascii="Times New Roman" w:hAnsi="Times New Roman" w:cs="Times New Roman"/>
          <w:sz w:val="24"/>
          <w:szCs w:val="24"/>
        </w:rPr>
        <w:fldChar w:fldCharType="separate"/>
      </w:r>
      <w:r>
        <w:rPr>
          <w:rFonts w:hint="default" w:ascii="Times New Roman" w:hAnsi="Times New Roman" w:eastAsia="等线" w:cs="Times New Roman"/>
          <w:kern w:val="2"/>
          <w:sz w:val="20"/>
          <w:szCs w:val="22"/>
          <w:lang w:val="en-US" w:eastAsia="zh-CN" w:bidi="ar-SA"/>
        </w:rPr>
        <w:t>1.</w:t>
      </w:r>
      <w:r>
        <w:rPr>
          <w:rFonts w:hint="default" w:ascii="Times New Roman" w:hAnsi="Times New Roman" w:eastAsia="等线" w:cs="Times New Roman"/>
          <w:kern w:val="2"/>
          <w:sz w:val="20"/>
          <w:szCs w:val="22"/>
          <w:lang w:val="en-US" w:eastAsia="zh-CN" w:bidi="ar-SA"/>
        </w:rPr>
        <w:tab/>
      </w:r>
      <w:r>
        <w:rPr>
          <w:rFonts w:hint="default" w:ascii="Times New Roman" w:hAnsi="Times New Roman" w:eastAsia="等线" w:cs="Times New Roman"/>
          <w:kern w:val="2"/>
          <w:sz w:val="20"/>
          <w:szCs w:val="22"/>
          <w:lang w:val="en-US" w:eastAsia="zh-CN" w:bidi="ar-SA"/>
        </w:rPr>
        <w:t xml:space="preserve">H. Wang, P. Zhong, J. Liang, M. Zhou, K. Chen and Q. Xia. Correlation analysis between HPLC fingerprint and small intestinal propelling of processed Fructus aurantii Chinese Traditional </w:t>
      </w:r>
      <w:bookmarkStart w:id="5" w:name="_GoBack"/>
      <w:bookmarkEnd w:id="5"/>
      <w:r>
        <w:rPr>
          <w:rFonts w:hint="default" w:ascii="Times New Roman" w:hAnsi="Times New Roman" w:eastAsia="等线" w:cs="Times New Roman"/>
          <w:kern w:val="2"/>
          <w:sz w:val="20"/>
          <w:szCs w:val="22"/>
          <w:lang w:val="en-US" w:eastAsia="zh-CN" w:bidi="ar-SA"/>
        </w:rPr>
        <w:t>Patent Medicine.</w:t>
      </w:r>
      <w:r>
        <w:rPr>
          <w:rFonts w:hint="default" w:ascii="Times New Roman" w:hAnsi="Times New Roman" w:eastAsia="等线" w:cs="Times New Roman"/>
          <w:i/>
          <w:kern w:val="2"/>
          <w:sz w:val="20"/>
          <w:szCs w:val="22"/>
          <w:lang w:val="en-US" w:eastAsia="zh-CN" w:bidi="ar-SA"/>
        </w:rPr>
        <w:t xml:space="preserve"> </w:t>
      </w:r>
      <w:r>
        <w:rPr>
          <w:rFonts w:hint="default" w:ascii="Times New Roman" w:hAnsi="Times New Roman" w:eastAsia="等线" w:cs="Times New Roman"/>
          <w:kern w:val="2"/>
          <w:sz w:val="20"/>
          <w:szCs w:val="22"/>
          <w:lang w:val="en-US" w:eastAsia="zh-CN" w:bidi="ar-SA"/>
        </w:rPr>
        <w:t>2021;43(3):5.</w:t>
      </w:r>
    </w:p>
    <w:p w14:paraId="6FA9B6E4">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Complement Med Th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D6EDD"/>
    <w:rsid w:val="000225F1"/>
    <w:rsid w:val="00133C83"/>
    <w:rsid w:val="00180D32"/>
    <w:rsid w:val="002204FB"/>
    <w:rsid w:val="002A1993"/>
    <w:rsid w:val="002D189D"/>
    <w:rsid w:val="002E1A48"/>
    <w:rsid w:val="00305607"/>
    <w:rsid w:val="003340A2"/>
    <w:rsid w:val="003F544A"/>
    <w:rsid w:val="004E133A"/>
    <w:rsid w:val="00530AB7"/>
    <w:rsid w:val="00557867"/>
    <w:rsid w:val="00567831"/>
    <w:rsid w:val="005B0D3E"/>
    <w:rsid w:val="005D6EDD"/>
    <w:rsid w:val="006328AD"/>
    <w:rsid w:val="006501CF"/>
    <w:rsid w:val="00735A4C"/>
    <w:rsid w:val="007754DA"/>
    <w:rsid w:val="007B2C7B"/>
    <w:rsid w:val="008031FD"/>
    <w:rsid w:val="008213B8"/>
    <w:rsid w:val="008E0F00"/>
    <w:rsid w:val="00900BFB"/>
    <w:rsid w:val="00912BC5"/>
    <w:rsid w:val="00951049"/>
    <w:rsid w:val="00976FA7"/>
    <w:rsid w:val="009E0803"/>
    <w:rsid w:val="00A40353"/>
    <w:rsid w:val="00B63A1F"/>
    <w:rsid w:val="00B85CDF"/>
    <w:rsid w:val="00C272E5"/>
    <w:rsid w:val="00C458C5"/>
    <w:rsid w:val="00CB5A09"/>
    <w:rsid w:val="00CF4190"/>
    <w:rsid w:val="00D3625A"/>
    <w:rsid w:val="00D50F9E"/>
    <w:rsid w:val="00DB4F5D"/>
    <w:rsid w:val="00E159C4"/>
    <w:rsid w:val="00E615E0"/>
    <w:rsid w:val="00E85F06"/>
    <w:rsid w:val="00EB16E5"/>
    <w:rsid w:val="00F93C67"/>
    <w:rsid w:val="00FD27A3"/>
    <w:rsid w:val="04F96FF0"/>
    <w:rsid w:val="07665395"/>
    <w:rsid w:val="07BF5FC3"/>
    <w:rsid w:val="08DF199B"/>
    <w:rsid w:val="10217337"/>
    <w:rsid w:val="11992D4A"/>
    <w:rsid w:val="126D6927"/>
    <w:rsid w:val="12DD1CFF"/>
    <w:rsid w:val="17A8528C"/>
    <w:rsid w:val="19BC1D54"/>
    <w:rsid w:val="1D3C491F"/>
    <w:rsid w:val="1D85546D"/>
    <w:rsid w:val="1EE3323C"/>
    <w:rsid w:val="1FFB5506"/>
    <w:rsid w:val="20DB1F45"/>
    <w:rsid w:val="24800BEA"/>
    <w:rsid w:val="283F090E"/>
    <w:rsid w:val="2A7D74CC"/>
    <w:rsid w:val="2ADF6ED0"/>
    <w:rsid w:val="33CA5530"/>
    <w:rsid w:val="3E6248C3"/>
    <w:rsid w:val="3E90381A"/>
    <w:rsid w:val="403D352D"/>
    <w:rsid w:val="413606A8"/>
    <w:rsid w:val="43DD305D"/>
    <w:rsid w:val="48CF3723"/>
    <w:rsid w:val="50416722"/>
    <w:rsid w:val="53DC50DF"/>
    <w:rsid w:val="542645AC"/>
    <w:rsid w:val="592D1F39"/>
    <w:rsid w:val="5EFD415C"/>
    <w:rsid w:val="61BF394A"/>
    <w:rsid w:val="6BB34520"/>
    <w:rsid w:val="7E5D1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Lines="0" w:beforeAutospacing="0" w:afterLines="0" w:afterAutospacing="0" w:line="360" w:lineRule="auto"/>
      <w:outlineLvl w:val="0"/>
    </w:pPr>
    <w:rPr>
      <w:rFonts w:ascii="Times New Roman" w:hAnsi="Times New Roman"/>
      <w:b/>
      <w:kern w:val="44"/>
      <w:sz w:val="2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paragraph" w:styleId="11">
    <w:name w:val="List Paragraph"/>
    <w:basedOn w:val="1"/>
    <w:qFormat/>
    <w:uiPriority w:val="99"/>
    <w:pPr>
      <w:ind w:left="720"/>
      <w:contextualSpacing/>
    </w:pPr>
  </w:style>
  <w:style w:type="paragraph" w:customStyle="1" w:styleId="12">
    <w:name w:val="正文q"/>
    <w:qFormat/>
    <w:uiPriority w:val="0"/>
    <w:pPr>
      <w:snapToGrid w:val="0"/>
      <w:spacing w:line="300" w:lineRule="auto"/>
      <w:ind w:firstLine="200" w:firstLineChars="200"/>
      <w:jc w:val="both"/>
    </w:pPr>
    <w:rPr>
      <w:rFonts w:ascii="Times New Roman" w:hAnsi="Times New Roman" w:eastAsia="宋体" w:cs="Times New Roman"/>
      <w:kern w:val="0"/>
      <w:sz w:val="24"/>
      <w:szCs w:val="24"/>
      <w:lang w:val="en-US" w:eastAsia="zh-CN" w:bidi="ar-SA"/>
    </w:rPr>
  </w:style>
  <w:style w:type="paragraph" w:customStyle="1" w:styleId="13">
    <w:name w:val="EndNote Bibliography Title"/>
    <w:basedOn w:val="1"/>
    <w:link w:val="14"/>
    <w:qFormat/>
    <w:uiPriority w:val="0"/>
    <w:pPr>
      <w:jc w:val="center"/>
    </w:pPr>
    <w:rPr>
      <w:rFonts w:hint="eastAsia" w:ascii="等线" w:hAnsi="等线" w:eastAsia="等线" w:cs="等线"/>
      <w:sz w:val="20"/>
    </w:rPr>
  </w:style>
  <w:style w:type="character" w:customStyle="1" w:styleId="14">
    <w:name w:val="EndNote Bibliography Title 字符"/>
    <w:basedOn w:val="7"/>
    <w:link w:val="13"/>
    <w:qFormat/>
    <w:uiPriority w:val="0"/>
    <w:rPr>
      <w:rFonts w:hint="eastAsia" w:ascii="等线" w:hAnsi="等线" w:eastAsia="等线" w:cs="等线"/>
      <w:sz w:val="20"/>
    </w:rPr>
  </w:style>
  <w:style w:type="paragraph" w:customStyle="1" w:styleId="15">
    <w:name w:val="EndNote Bibliography"/>
    <w:basedOn w:val="1"/>
    <w:link w:val="16"/>
    <w:qFormat/>
    <w:uiPriority w:val="0"/>
    <w:rPr>
      <w:rFonts w:hint="eastAsia" w:ascii="等线" w:hAnsi="等线" w:eastAsia="等线" w:cs="等线"/>
      <w:sz w:val="20"/>
    </w:rPr>
  </w:style>
  <w:style w:type="character" w:customStyle="1" w:styleId="16">
    <w:name w:val="EndNote Bibliography 字符"/>
    <w:basedOn w:val="7"/>
    <w:link w:val="15"/>
    <w:qFormat/>
    <w:uiPriority w:val="0"/>
    <w:rPr>
      <w:rFonts w:hint="eastAsia" w:ascii="等线" w:hAnsi="等线" w:eastAsia="等线" w:cs="等线"/>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1009</Words>
  <Characters>5443</Characters>
  <Lines>59</Lines>
  <Paragraphs>16</Paragraphs>
  <TotalTime>10</TotalTime>
  <ScaleCrop>false</ScaleCrop>
  <LinksUpToDate>false</LinksUpToDate>
  <CharactersWithSpaces>6322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2022-05-23T07:23:00Z</dcterms:created>
  <dc:creator>heng</dc:creator>
  <cp:lastModifiedBy>12</cp:lastModifiedBy>
  <dcterms:modified xsi:type="dcterms:W3CDTF">2026-08-05T02:20:06Z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eyJoZGlkIjoiNzI5OThjNzU0MGZmYzBhZTQxMTY0YjY1YjkzZDdmMTQiLCJ1c2VySWQiOiIxODU5MzM2NTEwIn0=</vt:lpwstr>
  </property>
  <property fmtid="{D5CDD505-2E9C-101B-9397-08002B2CF9AE}" pid="3" name="KSOProductBuildVer">
    <vt:lpwstr>2052-12.1.0.26895</vt:lpwstr>
  </property>
  <property fmtid="{D5CDD505-2E9C-101B-9397-08002B2CF9AE}" pid="4" name="ICV">
    <vt:lpwstr>0184BE89D9B046079A54A1269BFD64F1_13</vt:lpwstr>
  </property>
</Properties>
</file>