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C82BD6">
      <w:pPr>
        <w:spacing w:line="360" w:lineRule="auto"/>
        <w:ind w:left="360" w:hanging="360"/>
        <w:rPr>
          <w:rFonts w:ascii="Times New Roman" w:hAnsi="Times New Roman" w:eastAsia="宋体" w:cs="Times New Roman"/>
          <w:b/>
          <w:bCs/>
          <w:color w:val="000000" w:themeColor="text1"/>
          <w:sz w:val="24"/>
          <w:szCs w:val="24"/>
          <w14:textFill>
            <w14:solidFill>
              <w14:schemeClr w14:val="tx1"/>
            </w14:solidFill>
          </w14:textFill>
        </w:rPr>
      </w:pPr>
      <w:bookmarkStart w:id="0" w:name="_GoBack"/>
      <w:bookmarkEnd w:id="0"/>
      <w:r>
        <w:rPr>
          <w:rFonts w:ascii="Times New Roman" w:hAnsi="Times New Roman" w:eastAsia="宋体" w:cs="Times New Roman"/>
          <w:b/>
          <w:bCs/>
          <w:color w:val="000000" w:themeColor="text1"/>
          <w:sz w:val="24"/>
          <w:szCs w:val="24"/>
          <w14:textFill>
            <w14:solidFill>
              <w14:schemeClr w14:val="tx1"/>
            </w14:solidFill>
          </w14:textFill>
        </w:rPr>
        <w:t>Supplementary material of methods</w:t>
      </w:r>
    </w:p>
    <w:p w14:paraId="34905E49">
      <w:pPr>
        <w:spacing w:line="360" w:lineRule="auto"/>
        <w:ind w:left="360" w:hanging="360"/>
        <w:rPr>
          <w:rFonts w:hint="eastAsia" w:ascii="Times New Roman" w:hAnsi="Times New Roman" w:eastAsia="宋体" w:cs="Times New Roman"/>
          <w:b/>
          <w:bCs/>
          <w:color w:val="000000" w:themeColor="text1"/>
          <w:sz w:val="22"/>
          <w:szCs w:val="22"/>
          <w14:textFill>
            <w14:solidFill>
              <w14:schemeClr w14:val="tx1"/>
            </w14:solidFill>
          </w14:textFill>
        </w:rPr>
      </w:pPr>
    </w:p>
    <w:p w14:paraId="1F05E96A">
      <w:pPr>
        <w:pStyle w:val="10"/>
        <w:numPr>
          <w:ilvl w:val="0"/>
          <w:numId w:val="1"/>
        </w:numPr>
        <w:spacing w:line="360" w:lineRule="auto"/>
        <w:ind w:left="460" w:leftChars="0" w:hanging="440"/>
        <w:rPr>
          <w:rFonts w:hint="default" w:ascii="Times New Roman Bold" w:hAnsi="Times New Roman Bold" w:cs="Times New Roman Bold"/>
          <w:b/>
          <w:bCs/>
          <w:color w:val="000000" w:themeColor="text1"/>
          <w:sz w:val="22"/>
          <w:szCs w:val="22"/>
          <w14:textFill>
            <w14:solidFill>
              <w14:schemeClr w14:val="tx1"/>
            </w14:solidFill>
          </w14:textFill>
        </w:rPr>
      </w:pPr>
      <w:r>
        <w:rPr>
          <w:rFonts w:hint="default" w:ascii="Times New Roman Bold" w:hAnsi="Times New Roman Bold" w:cs="Times New Roman Bold"/>
          <w:b/>
          <w:bCs/>
          <w:i w:val="0"/>
          <w:iCs w:val="0"/>
          <w:color w:val="000000" w:themeColor="text1"/>
          <w:sz w:val="22"/>
          <w:szCs w:val="22"/>
          <w14:textFill>
            <w14:solidFill>
              <w14:schemeClr w14:val="tx1"/>
            </w14:solidFill>
          </w14:textFill>
        </w:rPr>
        <w:t xml:space="preserve"> Estrous cycle analysis and fertility assessment</w:t>
      </w:r>
    </w:p>
    <w:p w14:paraId="5CCF3251">
      <w:pPr>
        <w:pStyle w:val="10"/>
        <w:numPr>
          <w:ilvl w:val="0"/>
          <w:numId w:val="0"/>
        </w:numPr>
        <w:spacing w:line="360" w:lineRule="auto"/>
        <w:ind w:left="20" w:leftChars="0" w:firstLine="440" w:firstLineChars="200"/>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To assess the estrous cycle and fertility, vaginal smears were collected daily from mice between the or 10 consecutive days (covering two full cycles). Sampling was conducted regularly between 9:00 a.m. and 11:00 a.m., and the smears were examined under a light microscope (Olympus, Japan) to identify specific estrous phases. Other reproductive phenotype assessments included measuring the anogenital distance (AGD) at weaning and recording body weight weekly from 3 to 15 weeks of age.</w:t>
      </w:r>
    </w:p>
    <w:p w14:paraId="432CEB2E">
      <w:pPr>
        <w:spacing w:line="360" w:lineRule="auto"/>
        <w:ind w:firstLine="110" w:firstLineChars="50"/>
        <w:rPr>
          <w:rFonts w:ascii="Times New Roman" w:hAnsi="Times New Roman" w:cs="Times New Roman"/>
          <w:color w:val="000000" w:themeColor="text1"/>
          <w:sz w:val="22"/>
          <w:szCs w:val="22"/>
          <w14:textFill>
            <w14:solidFill>
              <w14:schemeClr w14:val="tx1"/>
            </w14:solidFill>
          </w14:textFill>
        </w:rPr>
      </w:pPr>
    </w:p>
    <w:p w14:paraId="10D83BE6">
      <w:pPr>
        <w:pStyle w:val="10"/>
        <w:numPr>
          <w:ilvl w:val="0"/>
          <w:numId w:val="1"/>
        </w:numPr>
        <w:spacing w:line="360" w:lineRule="auto"/>
        <w:ind w:left="460" w:leftChars="0" w:hanging="440"/>
        <w:rPr>
          <w:rFonts w:hint="default" w:ascii="Times New Roman Bold" w:hAnsi="Times New Roman Bold" w:cs="Times New Roman Bold"/>
          <w:b/>
          <w:bCs/>
          <w:color w:val="000000" w:themeColor="text1"/>
          <w:sz w:val="22"/>
          <w:szCs w:val="22"/>
          <w14:textFill>
            <w14:solidFill>
              <w14:schemeClr w14:val="tx1"/>
            </w14:solidFill>
          </w14:textFill>
        </w:rPr>
      </w:pPr>
      <w:r>
        <w:rPr>
          <w:rFonts w:hint="default" w:ascii="Times New Roman Bold" w:hAnsi="Times New Roman Bold" w:cs="Times New Roman Bold"/>
          <w:b/>
          <w:bCs/>
          <w:color w:val="000000" w:themeColor="text1"/>
          <w:sz w:val="22"/>
          <w:szCs w:val="22"/>
          <w14:textFill>
            <w14:solidFill>
              <w14:schemeClr w14:val="tx1"/>
            </w14:solidFill>
          </w14:textFill>
        </w:rPr>
        <w:t>Biochemical assessment of serum hormone levels</w:t>
      </w:r>
    </w:p>
    <w:p w14:paraId="6D843AB3">
      <w:pPr>
        <w:spacing w:line="360" w:lineRule="auto"/>
        <w:ind w:firstLine="440" w:firstLineChars="200"/>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Serum testosterone</w:t>
      </w:r>
      <w:r>
        <w:rPr>
          <w:rFonts w:hint="eastAsia" w:ascii="Times New Roman" w:hAnsi="Times New Roman" w:cs="Times New Roman"/>
          <w:color w:val="000000" w:themeColor="text1"/>
          <w:sz w:val="22"/>
          <w:szCs w:val="22"/>
          <w14:textFill>
            <w14:solidFill>
              <w14:schemeClr w14:val="tx1"/>
            </w14:solidFill>
          </w14:textFill>
        </w:rPr>
        <w:t xml:space="preserve"> and insulin</w:t>
      </w:r>
      <w:r>
        <w:rPr>
          <w:rFonts w:ascii="Times New Roman" w:hAnsi="Times New Roman" w:cs="Times New Roman"/>
          <w:color w:val="000000" w:themeColor="text1"/>
          <w:sz w:val="22"/>
          <w:szCs w:val="22"/>
          <w14:textFill>
            <w14:solidFill>
              <w14:schemeClr w14:val="tx1"/>
            </w14:solidFill>
          </w14:textFill>
        </w:rPr>
        <w:t xml:space="preserve"> levels in F</w:t>
      </w:r>
      <w:r>
        <w:rPr>
          <w:rFonts w:hint="eastAsia" w:ascii="Times New Roman" w:hAnsi="Times New Roman" w:cs="Times New Roman"/>
          <w:color w:val="000000" w:themeColor="text1"/>
          <w:sz w:val="22"/>
          <w:szCs w:val="22"/>
          <w14:textFill>
            <w14:solidFill>
              <w14:schemeClr w14:val="tx1"/>
            </w14:solidFill>
          </w14:textFill>
        </w:rPr>
        <w:t>0</w:t>
      </w:r>
      <w:r>
        <w:rPr>
          <w:rFonts w:hint="eastAsia" w:ascii="Times New Roman" w:hAnsi="Times New Roman" w:cs="Times New Roman"/>
          <w:color w:val="000000" w:themeColor="text1"/>
          <w:sz w:val="22"/>
          <w:szCs w:val="22"/>
          <w:lang w:eastAsia="zh-CN"/>
          <w14:textFill>
            <w14:solidFill>
              <w14:schemeClr w14:val="tx1"/>
            </w14:solidFill>
          </w14:textFill>
        </w:rPr>
        <w:t>-</w:t>
      </w:r>
      <w:r>
        <w:rPr>
          <w:rFonts w:ascii="Times New Roman" w:hAnsi="Times New Roman" w:cs="Times New Roman"/>
          <w:color w:val="000000" w:themeColor="text1"/>
          <w:sz w:val="22"/>
          <w:szCs w:val="22"/>
          <w14:textFill>
            <w14:solidFill>
              <w14:schemeClr w14:val="tx1"/>
            </w14:solidFill>
          </w14:textFill>
        </w:rPr>
        <w:t>F</w:t>
      </w:r>
      <w:r>
        <w:rPr>
          <w:rFonts w:hint="eastAsia" w:ascii="Times New Roman" w:hAnsi="Times New Roman" w:cs="Times New Roman"/>
          <w:color w:val="000000" w:themeColor="text1"/>
          <w:sz w:val="22"/>
          <w:szCs w:val="22"/>
          <w14:textFill>
            <w14:solidFill>
              <w14:schemeClr w14:val="tx1"/>
            </w14:solidFill>
          </w14:textFill>
        </w:rPr>
        <w:t>2</w:t>
      </w:r>
      <w:r>
        <w:rPr>
          <w:rFonts w:ascii="Times New Roman" w:hAnsi="Times New Roman" w:cs="Times New Roman"/>
          <w:color w:val="000000" w:themeColor="text1"/>
          <w:sz w:val="22"/>
          <w:szCs w:val="22"/>
          <w14:textFill>
            <w14:solidFill>
              <w14:schemeClr w14:val="tx1"/>
            </w14:solidFill>
          </w14:textFill>
        </w:rPr>
        <w:t xml:space="preserve"> mice were analyzed using an ELISA kit (</w:t>
      </w:r>
      <w:r>
        <w:rPr>
          <w:rFonts w:hint="eastAsia" w:ascii="Times New Roman" w:hAnsi="Times New Roman" w:cs="Times New Roman"/>
          <w:color w:val="000000" w:themeColor="text1"/>
          <w:sz w:val="22"/>
          <w:szCs w:val="22"/>
          <w14:textFill>
            <w14:solidFill>
              <w14:schemeClr w14:val="tx1"/>
            </w14:solidFill>
          </w14:textFill>
        </w:rPr>
        <w:t xml:space="preserve">EM1850 and EM0260, </w:t>
      </w:r>
      <w:r>
        <w:rPr>
          <w:rFonts w:ascii="Times New Roman" w:hAnsi="Times New Roman" w:cs="Times New Roman"/>
          <w:color w:val="000000" w:themeColor="text1"/>
          <w:sz w:val="22"/>
          <w:szCs w:val="22"/>
          <w14:textFill>
            <w14:solidFill>
              <w14:schemeClr w14:val="tx1"/>
            </w14:solidFill>
          </w14:textFill>
        </w:rPr>
        <w:t xml:space="preserve">FineTest, China). </w:t>
      </w:r>
      <w:r>
        <w:rPr>
          <w:rFonts w:hint="eastAsia" w:ascii="Times New Roman" w:hAnsi="Times New Roman" w:cs="Times New Roman"/>
          <w:color w:val="000000" w:themeColor="text1"/>
          <w:sz w:val="22"/>
          <w:szCs w:val="22"/>
          <w14:textFill>
            <w14:solidFill>
              <w14:schemeClr w14:val="tx1"/>
            </w14:solidFill>
          </w14:textFill>
        </w:rPr>
        <w:t xml:space="preserve">For F0 generation mice, additional serum hormone analyses were performed: Anti-Müllerian hormone (AMH), follicle-stimulating hormone (FSH), and luteinizing hormone (LH) levels were measured via ELISA kits (CSB-E13156m, Cusabio, China; EM1035, </w:t>
      </w:r>
      <w:r>
        <w:rPr>
          <w:rFonts w:ascii="Times New Roman" w:hAnsi="Times New Roman" w:cs="Times New Roman"/>
          <w:color w:val="000000" w:themeColor="text1"/>
          <w:sz w:val="22"/>
          <w:szCs w:val="22"/>
          <w14:textFill>
            <w14:solidFill>
              <w14:schemeClr w14:val="tx1"/>
            </w14:solidFill>
          </w14:textFill>
        </w:rPr>
        <w:t>FineTest, China</w:t>
      </w:r>
      <w:r>
        <w:rPr>
          <w:rFonts w:hint="eastAsia" w:ascii="Times New Roman" w:hAnsi="Times New Roman" w:cs="Times New Roman"/>
          <w:color w:val="000000" w:themeColor="text1"/>
          <w:sz w:val="22"/>
          <w:szCs w:val="22"/>
          <w14:textFill>
            <w14:solidFill>
              <w14:schemeClr w14:val="tx1"/>
            </w14:solidFill>
          </w14:textFill>
        </w:rPr>
        <w:t>; JM-03105M2, JingMei, China), and the LH/FSH ratio was calculated for comparative analysis.</w:t>
      </w:r>
    </w:p>
    <w:p w14:paraId="3E6EF246">
      <w:pPr>
        <w:spacing w:line="360" w:lineRule="auto"/>
        <w:ind w:firstLine="110" w:firstLineChars="50"/>
        <w:rPr>
          <w:rFonts w:ascii="Times New Roman" w:hAnsi="Times New Roman" w:cs="Times New Roman"/>
          <w:color w:val="000000" w:themeColor="text1"/>
          <w:sz w:val="22"/>
          <w:szCs w:val="22"/>
          <w14:textFill>
            <w14:solidFill>
              <w14:schemeClr w14:val="tx1"/>
            </w14:solidFill>
          </w14:textFill>
        </w:rPr>
      </w:pPr>
    </w:p>
    <w:p w14:paraId="0559478B">
      <w:pPr>
        <w:pStyle w:val="10"/>
        <w:numPr>
          <w:ilvl w:val="0"/>
          <w:numId w:val="1"/>
        </w:numPr>
        <w:spacing w:line="360" w:lineRule="auto"/>
        <w:ind w:left="460" w:leftChars="0" w:hanging="440"/>
        <w:rPr>
          <w:rFonts w:hint="default" w:ascii="Times New Roman Bold" w:hAnsi="Times New Roman Bold" w:cs="Times New Roman Bold"/>
          <w:b/>
          <w:bCs/>
          <w:color w:val="000000" w:themeColor="text1"/>
          <w:sz w:val="22"/>
          <w:szCs w:val="22"/>
          <w14:textFill>
            <w14:solidFill>
              <w14:schemeClr w14:val="tx1"/>
            </w14:solidFill>
          </w14:textFill>
        </w:rPr>
      </w:pPr>
      <w:r>
        <w:rPr>
          <w:rFonts w:hint="default" w:ascii="Times New Roman Bold" w:hAnsi="Times New Roman Bold" w:cs="Times New Roman Bold"/>
          <w:b/>
          <w:bCs/>
          <w:color w:val="000000" w:themeColor="text1"/>
          <w:sz w:val="22"/>
          <w:szCs w:val="22"/>
          <w14:textFill>
            <w14:solidFill>
              <w14:schemeClr w14:val="tx1"/>
            </w14:solidFill>
          </w14:textFill>
        </w:rPr>
        <w:t>Oral glucose tolerance test (OGTT)</w:t>
      </w:r>
    </w:p>
    <w:p w14:paraId="39704E86">
      <w:pPr>
        <w:spacing w:line="360" w:lineRule="auto"/>
        <w:ind w:firstLine="440" w:firstLineChars="200"/>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Before sacrificing, mice underwent a 12-hour fasting period before the OGTT. Fasting blood glucose levels were measured at 0 minutes using a blood glucometer (Accu-Check Active, Roche, Germany). Following this, mice received an oral administration of D-glucose at a dosage of 2 g/kg body weight. Blood glucose levels were then monitored at 0, 15-, 30-, 60-, 90-, and 120-minutes post-administration.</w:t>
      </w:r>
    </w:p>
    <w:p w14:paraId="131F5726">
      <w:pPr>
        <w:spacing w:line="360" w:lineRule="auto"/>
        <w:rPr>
          <w:rFonts w:ascii="Times New Roman" w:hAnsi="Times New Roman" w:cs="Times New Roman"/>
          <w:color w:val="000000" w:themeColor="text1"/>
          <w:sz w:val="22"/>
          <w:szCs w:val="22"/>
          <w14:textFill>
            <w14:solidFill>
              <w14:schemeClr w14:val="tx1"/>
            </w14:solidFill>
          </w14:textFill>
        </w:rPr>
      </w:pPr>
    </w:p>
    <w:p w14:paraId="56DFAAF2">
      <w:pPr>
        <w:pStyle w:val="10"/>
        <w:numPr>
          <w:ilvl w:val="0"/>
          <w:numId w:val="1"/>
        </w:numPr>
        <w:spacing w:line="360" w:lineRule="auto"/>
        <w:ind w:left="460" w:leftChars="0" w:hanging="440"/>
        <w:rPr>
          <w:rFonts w:hint="default" w:ascii="Times New Roman Bold" w:hAnsi="Times New Roman Bold" w:cs="Times New Roman Bold"/>
          <w:b/>
          <w:bCs/>
          <w:color w:val="000000" w:themeColor="text1"/>
          <w:sz w:val="22"/>
          <w:szCs w:val="22"/>
          <w14:textFill>
            <w14:solidFill>
              <w14:schemeClr w14:val="tx1"/>
            </w14:solidFill>
          </w14:textFill>
        </w:rPr>
      </w:pPr>
      <w:r>
        <w:rPr>
          <w:rFonts w:hint="eastAsia" w:ascii="Times New Roman Bold" w:hAnsi="Times New Roman Bold" w:cs="Times New Roman Bold"/>
          <w:b/>
          <w:bCs/>
          <w:color w:val="000000" w:themeColor="text1"/>
          <w:sz w:val="22"/>
          <w:szCs w:val="22"/>
          <w:lang w:val="en-US" w:eastAsia="zh-CN"/>
          <w14:textFill>
            <w14:solidFill>
              <w14:schemeClr w14:val="tx1"/>
            </w14:solidFill>
          </w14:textFill>
        </w:rPr>
        <w:t xml:space="preserve">Insulin </w:t>
      </w:r>
      <w:r>
        <w:rPr>
          <w:rFonts w:hint="default" w:ascii="Times New Roman Bold" w:hAnsi="Times New Roman Bold" w:eastAsia="宋体" w:cs="Times New Roman Bold"/>
          <w:b/>
          <w:bCs/>
          <w:color w:val="000000" w:themeColor="text1"/>
          <w:sz w:val="22"/>
          <w:szCs w:val="22"/>
          <w14:textFill>
            <w14:solidFill>
              <w14:schemeClr w14:val="tx1"/>
            </w14:solidFill>
          </w14:textFill>
        </w:rPr>
        <w:t xml:space="preserve">resistance </w:t>
      </w:r>
      <w:r>
        <w:rPr>
          <w:rFonts w:hint="eastAsia" w:ascii="Times New Roman Bold" w:hAnsi="Times New Roman Bold" w:eastAsia="宋体" w:cs="Times New Roman Bold"/>
          <w:b/>
          <w:bCs/>
          <w:color w:val="000000" w:themeColor="text1"/>
          <w:sz w:val="22"/>
          <w:szCs w:val="22"/>
          <w:lang w:val="en-US" w:eastAsia="zh-CN"/>
          <w14:textFill>
            <w14:solidFill>
              <w14:schemeClr w14:val="tx1"/>
            </w14:solidFill>
          </w14:textFill>
        </w:rPr>
        <w:t xml:space="preserve">test </w:t>
      </w:r>
      <w:r>
        <w:rPr>
          <w:rFonts w:hint="default" w:ascii="Times New Roman Bold" w:hAnsi="Times New Roman Bold" w:eastAsia="宋体" w:cs="Times New Roman Bold"/>
          <w:b/>
          <w:bCs/>
          <w:color w:val="000000" w:themeColor="text1"/>
          <w:sz w:val="22"/>
          <w:szCs w:val="22"/>
          <w14:textFill>
            <w14:solidFill>
              <w14:schemeClr w14:val="tx1"/>
            </w14:solidFill>
          </w14:textFill>
        </w:rPr>
        <w:t>(HOMA-IR)</w:t>
      </w:r>
    </w:p>
    <w:p w14:paraId="184C4260">
      <w:pPr>
        <w:spacing w:line="360" w:lineRule="auto"/>
        <w:ind w:firstLine="110" w:firstLineChars="50"/>
        <w:rPr>
          <w:rFonts w:hint="default" w:ascii="Times New Roman Regular" w:hAnsi="Times New Roman Regular" w:cs="Times New Roman Regular"/>
          <w:color w:val="000000" w:themeColor="text1"/>
          <w:sz w:val="22"/>
          <w:szCs w:val="22"/>
          <w14:textFill>
            <w14:solidFill>
              <w14:schemeClr w14:val="tx1"/>
            </w14:solidFill>
          </w14:textFill>
        </w:rPr>
      </w:pPr>
      <w:r>
        <w:rPr>
          <w:rFonts w:hint="eastAsia" w:ascii="Times New Roman" w:hAnsi="Times New Roman" w:cs="Times New Roman"/>
          <w:color w:val="000000" w:themeColor="text1"/>
          <w:sz w:val="22"/>
          <w:szCs w:val="22"/>
          <w14:textFill>
            <w14:solidFill>
              <w14:schemeClr w14:val="tx1"/>
            </w14:solidFill>
          </w14:textFill>
        </w:rPr>
        <w:t xml:space="preserve">Insulin resistance was estimated using the </w:t>
      </w:r>
      <w:r>
        <w:rPr>
          <w:rFonts w:hint="eastAsia" w:ascii="Times New Roman" w:hAnsi="Times New Roman" w:cs="Times New Roman"/>
          <w:color w:val="000000" w:themeColor="text1"/>
          <w:sz w:val="22"/>
          <w:szCs w:val="22"/>
          <w:lang w:val="en-US" w:eastAsia="zh-CN"/>
          <w14:textFill>
            <w14:solidFill>
              <w14:schemeClr w14:val="tx1"/>
            </w14:solidFill>
          </w14:textFill>
        </w:rPr>
        <w:t>H</w:t>
      </w:r>
      <w:r>
        <w:rPr>
          <w:rFonts w:hint="eastAsia" w:ascii="Times New Roman" w:hAnsi="Times New Roman" w:cs="Times New Roman"/>
          <w:color w:val="000000" w:themeColor="text1"/>
          <w:sz w:val="22"/>
          <w:szCs w:val="22"/>
          <w14:textFill>
            <w14:solidFill>
              <w14:schemeClr w14:val="tx1"/>
            </w14:solidFill>
          </w14:textFill>
        </w:rPr>
        <w:t xml:space="preserve">omeostasis </w:t>
      </w:r>
      <w:r>
        <w:rPr>
          <w:rFonts w:hint="eastAsia" w:ascii="Times New Roman" w:hAnsi="Times New Roman" w:cs="Times New Roman"/>
          <w:color w:val="000000" w:themeColor="text1"/>
          <w:sz w:val="22"/>
          <w:szCs w:val="22"/>
          <w:lang w:val="en-US" w:eastAsia="zh-CN"/>
          <w14:textFill>
            <w14:solidFill>
              <w14:schemeClr w14:val="tx1"/>
            </w14:solidFill>
          </w14:textFill>
        </w:rPr>
        <w:t>M</w:t>
      </w:r>
      <w:r>
        <w:rPr>
          <w:rFonts w:hint="eastAsia" w:ascii="Times New Roman" w:hAnsi="Times New Roman" w:cs="Times New Roman"/>
          <w:color w:val="000000" w:themeColor="text1"/>
          <w:sz w:val="22"/>
          <w:szCs w:val="22"/>
          <w14:textFill>
            <w14:solidFill>
              <w14:schemeClr w14:val="tx1"/>
            </w14:solidFill>
          </w14:textFill>
        </w:rPr>
        <w:t xml:space="preserve">odel </w:t>
      </w:r>
      <w:r>
        <w:rPr>
          <w:rFonts w:hint="eastAsia" w:ascii="Times New Roman" w:hAnsi="Times New Roman" w:cs="Times New Roman"/>
          <w:color w:val="000000" w:themeColor="text1"/>
          <w:sz w:val="22"/>
          <w:szCs w:val="22"/>
          <w:lang w:val="en-US" w:eastAsia="zh-CN"/>
          <w14:textFill>
            <w14:solidFill>
              <w14:schemeClr w14:val="tx1"/>
            </w14:solidFill>
          </w14:textFill>
        </w:rPr>
        <w:t>A</w:t>
      </w:r>
      <w:r>
        <w:rPr>
          <w:rFonts w:hint="eastAsia" w:ascii="Times New Roman" w:hAnsi="Times New Roman" w:cs="Times New Roman"/>
          <w:color w:val="000000" w:themeColor="text1"/>
          <w:sz w:val="22"/>
          <w:szCs w:val="22"/>
          <w14:textFill>
            <w14:solidFill>
              <w14:schemeClr w14:val="tx1"/>
            </w14:solidFill>
          </w14:textFill>
        </w:rPr>
        <w:t xml:space="preserve">ssessment </w:t>
      </w:r>
      <w:r>
        <w:rPr>
          <w:rFonts w:hint="eastAsia" w:ascii="Times New Roman" w:hAnsi="Times New Roman" w:cs="Times New Roman"/>
          <w:color w:val="000000" w:themeColor="text1"/>
          <w:sz w:val="22"/>
          <w:szCs w:val="22"/>
          <w:lang w:val="en-US" w:eastAsia="zh-CN"/>
          <w14:textFill>
            <w14:solidFill>
              <w14:schemeClr w14:val="tx1"/>
            </w14:solidFill>
          </w14:textFill>
        </w:rPr>
        <w:t>for I</w:t>
      </w:r>
      <w:r>
        <w:rPr>
          <w:rFonts w:hint="eastAsia" w:ascii="Times New Roman" w:hAnsi="Times New Roman" w:cs="Times New Roman"/>
          <w:color w:val="000000" w:themeColor="text1"/>
          <w:sz w:val="22"/>
          <w:szCs w:val="22"/>
          <w14:textFill>
            <w14:solidFill>
              <w14:schemeClr w14:val="tx1"/>
            </w14:solidFill>
          </w14:textFill>
        </w:rPr>
        <w:t xml:space="preserve">nsulin </w:t>
      </w:r>
      <w:r>
        <w:rPr>
          <w:rFonts w:hint="eastAsia" w:ascii="Times New Roman" w:hAnsi="Times New Roman" w:cs="Times New Roman"/>
          <w:color w:val="000000" w:themeColor="text1"/>
          <w:sz w:val="22"/>
          <w:szCs w:val="22"/>
          <w:lang w:val="en-US" w:eastAsia="zh-CN"/>
          <w14:textFill>
            <w14:solidFill>
              <w14:schemeClr w14:val="tx1"/>
            </w14:solidFill>
          </w14:textFill>
        </w:rPr>
        <w:t>R</w:t>
      </w:r>
      <w:r>
        <w:rPr>
          <w:rFonts w:hint="eastAsia" w:ascii="Times New Roman" w:hAnsi="Times New Roman" w:cs="Times New Roman"/>
          <w:color w:val="000000" w:themeColor="text1"/>
          <w:sz w:val="22"/>
          <w:szCs w:val="22"/>
          <w14:textFill>
            <w14:solidFill>
              <w14:schemeClr w14:val="tx1"/>
            </w14:solidFill>
          </w14:textFill>
        </w:rPr>
        <w:t xml:space="preserve">esistance (HOMA-IR). At the end of the experimental period, male offspring mice were fasted overnight with free access to water. Fasting blood glucose was measured from tail-vein blood using a glucometer. Blood samples were then collected, and serum was separated by centrifugation and stored at </w:t>
      </w:r>
      <w:r>
        <w:rPr>
          <w:rFonts w:hint="eastAsia" w:ascii="Times New Roman" w:hAnsi="Times New Roman" w:cs="Times New Roman"/>
          <w:color w:val="000000" w:themeColor="text1"/>
          <w:sz w:val="22"/>
          <w:szCs w:val="22"/>
          <w:lang w:val="en-US" w:eastAsia="zh-CN"/>
          <w14:textFill>
            <w14:solidFill>
              <w14:schemeClr w14:val="tx1"/>
            </w14:solidFill>
          </w14:textFill>
        </w:rPr>
        <w:t>-</w:t>
      </w:r>
      <w:r>
        <w:rPr>
          <w:rFonts w:hint="eastAsia" w:ascii="Times New Roman" w:hAnsi="Times New Roman" w:cs="Times New Roman"/>
          <w:color w:val="000000" w:themeColor="text1"/>
          <w:sz w:val="22"/>
          <w:szCs w:val="22"/>
          <w14:textFill>
            <w14:solidFill>
              <w14:schemeClr w14:val="tx1"/>
            </w14:solidFill>
          </w14:textFill>
        </w:rPr>
        <w:t>80</w:t>
      </w:r>
      <w:r>
        <w:rPr>
          <w:rFonts w:hint="default" w:ascii="Times New Roman Regular" w:hAnsi="Times New Roman Regular" w:cs="Times New Roman Regular"/>
          <w:color w:val="000000" w:themeColor="text1"/>
          <w:sz w:val="22"/>
          <w:szCs w:val="22"/>
          <w14:textFill>
            <w14:solidFill>
              <w14:schemeClr w14:val="tx1"/>
            </w14:solidFill>
          </w14:textFill>
        </w:rPr>
        <w:t>°C</w:t>
      </w:r>
      <w:r>
        <w:rPr>
          <w:rFonts w:hint="eastAsia" w:ascii="Times New Roman" w:hAnsi="Times New Roman" w:cs="Times New Roman"/>
          <w:color w:val="000000" w:themeColor="text1"/>
          <w:sz w:val="22"/>
          <w:szCs w:val="22"/>
          <w14:textFill>
            <w14:solidFill>
              <w14:schemeClr w14:val="tx1"/>
            </w14:solidFill>
          </w14:textFill>
        </w:rPr>
        <w:t xml:space="preserve"> until analysis. Fasting serum insulin concentrations were determined using a mouse insulin ELISA kit according to the manufacturer</w:t>
      </w:r>
      <w:r>
        <w:rPr>
          <w:rFonts w:hint="default" w:ascii="Times New Roman" w:hAnsi="Times New Roman" w:cs="Times New Roman"/>
          <w:color w:val="000000" w:themeColor="text1"/>
          <w:sz w:val="22"/>
          <w:szCs w:val="22"/>
          <w:lang w:val="en-US" w:eastAsia="zh-CN"/>
          <w14:textFill>
            <w14:solidFill>
              <w14:schemeClr w14:val="tx1"/>
            </w14:solidFill>
          </w14:textFill>
        </w:rPr>
        <w:t>’</w:t>
      </w:r>
      <w:r>
        <w:rPr>
          <w:rFonts w:hint="eastAsia" w:ascii="Times New Roman" w:hAnsi="Times New Roman" w:cs="Times New Roman"/>
          <w:color w:val="000000" w:themeColor="text1"/>
          <w:sz w:val="22"/>
          <w:szCs w:val="22"/>
          <w14:textFill>
            <w14:solidFill>
              <w14:schemeClr w14:val="tx1"/>
            </w14:solidFill>
          </w14:textFill>
        </w:rPr>
        <w:t>s instructions</w:t>
      </w:r>
      <w:r>
        <w:rPr>
          <w:rFonts w:hint="eastAsia" w:ascii="Times New Roman" w:hAnsi="Times New Roman" w:cs="Times New Roman"/>
          <w:color w:val="000000" w:themeColor="text1"/>
          <w:sz w:val="22"/>
          <w:szCs w:val="22"/>
          <w:lang w:val="en-US" w:eastAsia="zh-CN"/>
          <w14:textFill>
            <w14:solidFill>
              <w14:schemeClr w14:val="tx1"/>
            </w14:solidFill>
          </w14:textFill>
        </w:rPr>
        <w:t xml:space="preserve"> (EM0260, </w:t>
      </w:r>
      <w:r>
        <w:rPr>
          <w:rFonts w:ascii="Times New Roman" w:hAnsi="Times New Roman" w:cs="Times New Roman"/>
          <w:color w:val="000000" w:themeColor="text1"/>
          <w:sz w:val="22"/>
          <w:szCs w:val="22"/>
          <w14:textFill>
            <w14:solidFill>
              <w14:schemeClr w14:val="tx1"/>
            </w14:solidFill>
          </w14:textFill>
        </w:rPr>
        <w:t>FineTest, China</w:t>
      </w:r>
      <w:r>
        <w:rPr>
          <w:rFonts w:hint="eastAsia" w:ascii="Times New Roman" w:hAnsi="Times New Roman" w:cs="Times New Roman"/>
          <w:color w:val="000000" w:themeColor="text1"/>
          <w:sz w:val="22"/>
          <w:szCs w:val="22"/>
          <w:lang w:val="en-US" w:eastAsia="zh-CN"/>
          <w14:textFill>
            <w14:solidFill>
              <w14:schemeClr w14:val="tx1"/>
            </w14:solidFill>
          </w14:textFill>
        </w:rPr>
        <w:t>)</w:t>
      </w:r>
      <w:r>
        <w:rPr>
          <w:rFonts w:hint="eastAsia" w:ascii="Times New Roman" w:hAnsi="Times New Roman" w:cs="Times New Roman"/>
          <w:color w:val="000000" w:themeColor="text1"/>
          <w:sz w:val="22"/>
          <w:szCs w:val="22"/>
          <w14:textFill>
            <w14:solidFill>
              <w14:schemeClr w14:val="tx1"/>
            </w14:solidFill>
          </w14:textFill>
        </w:rPr>
        <w:t>. H</w:t>
      </w:r>
      <w:r>
        <w:rPr>
          <w:rFonts w:hint="default" w:ascii="Times New Roman Regular" w:hAnsi="Times New Roman Regular" w:cs="Times New Roman Regular"/>
          <w:color w:val="000000" w:themeColor="text1"/>
          <w:sz w:val="22"/>
          <w:szCs w:val="22"/>
          <w14:textFill>
            <w14:solidFill>
              <w14:schemeClr w14:val="tx1"/>
            </w14:solidFill>
          </w14:textFill>
        </w:rPr>
        <w:t xml:space="preserve">OMA-IR was calculated using the following formula: </w:t>
      </w:r>
    </w:p>
    <w:p w14:paraId="3D0DF06C">
      <w:pPr>
        <w:spacing w:line="360" w:lineRule="auto"/>
        <w:ind w:firstLine="110" w:firstLineChars="50"/>
        <w:jc w:val="center"/>
        <w:rPr>
          <w:rFonts w:hint="default" w:ascii="Times New Roman Regular" w:hAnsi="Times New Roman Regular" w:cs="Times New Roman Regular"/>
          <w:color w:val="000000" w:themeColor="text1"/>
          <w:sz w:val="22"/>
          <w:szCs w:val="22"/>
          <w14:textFill>
            <w14:solidFill>
              <w14:schemeClr w14:val="tx1"/>
            </w14:solidFill>
          </w14:textFill>
        </w:rPr>
      </w:pPr>
      <w:r>
        <w:rPr>
          <w:rFonts w:hint="default" w:ascii="Times New Roman Regular" w:hAnsi="Times New Roman Regular" w:cs="Times New Roman Regular"/>
          <w:color w:val="000000" w:themeColor="text1"/>
          <w:sz w:val="22"/>
          <w:szCs w:val="22"/>
          <w14:textFill>
            <w14:solidFill>
              <w14:schemeClr w14:val="tx1"/>
            </w14:solidFill>
          </w14:textFill>
        </w:rPr>
        <w:t>HOMA-IR = fasting glucose (mmol/L) × fasting insulin (μIU/mL) / 22.5</w:t>
      </w:r>
    </w:p>
    <w:p w14:paraId="60E1D812">
      <w:pPr>
        <w:spacing w:line="360" w:lineRule="auto"/>
        <w:ind w:firstLine="110" w:firstLineChars="50"/>
        <w:rPr>
          <w:rFonts w:hint="eastAsia" w:ascii="Times New Roman" w:hAnsi="Times New Roman" w:cs="Times New Roman"/>
          <w:color w:val="000000" w:themeColor="text1"/>
          <w:sz w:val="22"/>
          <w:szCs w:val="22"/>
          <w14:textFill>
            <w14:solidFill>
              <w14:schemeClr w14:val="tx1"/>
            </w14:solidFill>
          </w14:textFill>
        </w:rPr>
      </w:pPr>
    </w:p>
    <w:p w14:paraId="6405F209">
      <w:pPr>
        <w:pStyle w:val="10"/>
        <w:numPr>
          <w:ilvl w:val="0"/>
          <w:numId w:val="1"/>
        </w:numPr>
        <w:spacing w:line="360" w:lineRule="auto"/>
        <w:ind w:left="460" w:leftChars="0" w:hanging="440"/>
        <w:rPr>
          <w:rFonts w:hint="default" w:ascii="Times New Roman Bold" w:hAnsi="Times New Roman Bold" w:cs="Times New Roman Bold"/>
          <w:b/>
          <w:bCs/>
          <w:color w:val="000000" w:themeColor="text1"/>
          <w:sz w:val="22"/>
          <w:szCs w:val="22"/>
          <w14:textFill>
            <w14:solidFill>
              <w14:schemeClr w14:val="tx1"/>
            </w14:solidFill>
          </w14:textFill>
        </w:rPr>
      </w:pPr>
      <w:r>
        <w:rPr>
          <w:rFonts w:hint="default" w:ascii="Times New Roman Bold" w:hAnsi="Times New Roman Bold" w:cs="Times New Roman Bold"/>
          <w:b/>
          <w:bCs/>
          <w:color w:val="000000" w:themeColor="text1"/>
          <w:sz w:val="22"/>
          <w:szCs w:val="22"/>
          <w14:textFill>
            <w14:solidFill>
              <w14:schemeClr w14:val="tx1"/>
            </w14:solidFill>
          </w14:textFill>
        </w:rPr>
        <w:t>Histological staining of the offspring’ tissues</w:t>
      </w:r>
    </w:p>
    <w:p w14:paraId="1CEDAA30">
      <w:pPr>
        <w:spacing w:line="360" w:lineRule="auto"/>
        <w:ind w:firstLine="220" w:firstLineChars="100"/>
        <w:rPr>
          <w:rFonts w:ascii="Times New Roman" w:hAnsi="Times New Roman"/>
          <w:color w:val="000000" w:themeColor="text1"/>
          <w:sz w:val="22"/>
          <w:szCs w:val="22"/>
          <w14:textFill>
            <w14:solidFill>
              <w14:schemeClr w14:val="tx1"/>
            </w14:solidFill>
          </w14:textFill>
        </w:rPr>
      </w:pPr>
      <w:r>
        <w:rPr>
          <w:rFonts w:ascii="Times New Roman" w:hAnsi="Times New Roman"/>
          <w:color w:val="000000" w:themeColor="text1"/>
          <w:sz w:val="22"/>
          <w:szCs w:val="22"/>
          <w14:textFill>
            <w14:solidFill>
              <w14:schemeClr w14:val="tx1"/>
            </w14:solidFill>
          </w14:textFill>
        </w:rPr>
        <w:t xml:space="preserve">Upon adult sacrifice, dissected tissues were either fixed in 4% paraformaldehyde or snap-frozen </w:t>
      </w:r>
      <w:r>
        <w:rPr>
          <w:rFonts w:hint="eastAsia" w:ascii="Times New Roman" w:hAnsi="Times New Roman"/>
          <w:color w:val="000000" w:themeColor="text1"/>
          <w:sz w:val="22"/>
          <w:szCs w:val="22"/>
          <w14:textFill>
            <w14:solidFill>
              <w14:schemeClr w14:val="tx1"/>
            </w14:solidFill>
          </w14:textFill>
        </w:rPr>
        <w:t xml:space="preserve">and stored at </w:t>
      </w:r>
      <w:r>
        <w:rPr>
          <w:rFonts w:hint="eastAsia" w:ascii="Times New Roman Regular" w:hAnsi="Times New Roman Regular" w:cs="Times New Roman Regular"/>
          <w:color w:val="000000" w:themeColor="text1"/>
          <w:sz w:val="22"/>
          <w:szCs w:val="22"/>
          <w:lang w:val="en-US" w:eastAsia="zh-CN"/>
          <w14:textFill>
            <w14:solidFill>
              <w14:schemeClr w14:val="tx1"/>
            </w14:solidFill>
          </w14:textFill>
        </w:rPr>
        <w:t>-</w:t>
      </w:r>
      <w:r>
        <w:rPr>
          <w:rFonts w:ascii="Times New Roman Regular" w:hAnsi="Times New Roman Regular" w:cs="Times New Roman Regular"/>
          <w:color w:val="000000" w:themeColor="text1"/>
          <w:sz w:val="22"/>
          <w:szCs w:val="22"/>
          <w14:textFill>
            <w14:solidFill>
              <w14:schemeClr w14:val="tx1"/>
            </w14:solidFill>
          </w14:textFill>
        </w:rPr>
        <w:t xml:space="preserve">80 °C </w:t>
      </w:r>
      <w:r>
        <w:rPr>
          <w:rFonts w:hint="eastAsia" w:ascii="Times New Roman" w:hAnsi="Times New Roman"/>
          <w:color w:val="000000" w:themeColor="text1"/>
          <w:sz w:val="22"/>
          <w:szCs w:val="22"/>
          <w14:textFill>
            <w14:solidFill>
              <w14:schemeClr w14:val="tx1"/>
            </w14:solidFill>
          </w14:textFill>
        </w:rPr>
        <w:t>until processing</w:t>
      </w:r>
      <w:r>
        <w:rPr>
          <w:rFonts w:ascii="Times New Roman" w:hAnsi="Times New Roman"/>
          <w:color w:val="000000" w:themeColor="text1"/>
          <w:sz w:val="22"/>
          <w:szCs w:val="22"/>
          <w14:textFill>
            <w14:solidFill>
              <w14:schemeClr w14:val="tx1"/>
            </w14:solidFill>
          </w14:textFill>
        </w:rPr>
        <w:t>for further analysis.</w:t>
      </w:r>
    </w:p>
    <w:p w14:paraId="480F5620">
      <w:pPr>
        <w:numPr>
          <w:ilvl w:val="1"/>
          <w:numId w:val="1"/>
        </w:numPr>
        <w:spacing w:line="360" w:lineRule="auto"/>
        <w:ind w:left="567" w:leftChars="0" w:hanging="567" w:firstLineChars="0"/>
        <w:rPr>
          <w:rFonts w:hint="default" w:ascii="Times New Roman Italic" w:hAnsi="Times New Roman Italic" w:eastAsia="宋体" w:cs="Times New Roman Italic"/>
          <w:i/>
          <w:iCs/>
          <w:color w:val="000000" w:themeColor="text1"/>
          <w:sz w:val="22"/>
          <w:szCs w:val="22"/>
          <w14:textFill>
            <w14:solidFill>
              <w14:schemeClr w14:val="tx1"/>
            </w14:solidFill>
          </w14:textFill>
        </w:rPr>
      </w:pPr>
      <w:r>
        <w:rPr>
          <w:rFonts w:hint="default" w:ascii="Times New Roman Italic" w:hAnsi="Times New Roman Italic" w:eastAsia="宋体" w:cs="Times New Roman Italic"/>
          <w:i/>
          <w:iCs/>
          <w:color w:val="000000" w:themeColor="text1"/>
          <w:sz w:val="22"/>
          <w:szCs w:val="22"/>
          <w14:textFill>
            <w14:solidFill>
              <w14:schemeClr w14:val="tx1"/>
            </w14:solidFill>
          </w14:textFill>
        </w:rPr>
        <w:t xml:space="preserve">H&amp;E staining </w:t>
      </w:r>
    </w:p>
    <w:p w14:paraId="69E03A90">
      <w:pPr>
        <w:spacing w:line="360" w:lineRule="auto"/>
        <w:ind w:firstLine="110" w:firstLineChars="50"/>
        <w:rPr>
          <w:rFonts w:ascii="Times New Roman" w:hAnsi="Times New Roman" w:cs="Times New Roman"/>
          <w:i/>
          <w:iCs/>
          <w:color w:val="000000" w:themeColor="text1"/>
          <w:sz w:val="22"/>
          <w:szCs w:val="22"/>
          <w14:textFill>
            <w14:solidFill>
              <w14:schemeClr w14:val="tx1"/>
            </w14:solidFill>
          </w14:textFill>
        </w:rPr>
      </w:pPr>
      <w:r>
        <w:rPr>
          <w:rFonts w:hint="eastAsia" w:ascii="Times New Roman" w:hAnsi="Times New Roman" w:cs="Times New Roman"/>
          <w:i w:val="0"/>
          <w:iCs w:val="0"/>
          <w:caps w:val="0"/>
          <w:color w:val="000000" w:themeColor="text1"/>
          <w:spacing w:val="0"/>
          <w:kern w:val="2"/>
          <w:sz w:val="22"/>
          <w:szCs w:val="22"/>
          <w:lang w:val="en-US" w:eastAsia="zh-CN" w:bidi="ar-SA"/>
          <w14:textFill>
            <w14:solidFill>
              <w14:schemeClr w14:val="tx1"/>
            </w14:solidFill>
          </w14:textFill>
        </w:rPr>
        <w:t>H</w:t>
      </w:r>
      <w:r>
        <w:rPr>
          <w:rFonts w:hint="eastAsia" w:ascii="Times New Roman" w:hAnsi="Times New Roman" w:cs="Times New Roman"/>
          <w:i w:val="0"/>
          <w:iCs w:val="0"/>
          <w:caps w:val="0"/>
          <w:color w:val="000000" w:themeColor="text1"/>
          <w:spacing w:val="0"/>
          <w:kern w:val="2"/>
          <w:sz w:val="22"/>
          <w:szCs w:val="22"/>
          <w:lang w:bidi="ar-SA"/>
          <w14:textFill>
            <w14:solidFill>
              <w14:schemeClr w14:val="tx1"/>
            </w14:solidFill>
          </w14:textFill>
        </w:rPr>
        <w:t>ematoxylin and eosin (H&amp;E)</w:t>
      </w:r>
      <w:r>
        <w:rPr>
          <w:rFonts w:ascii="Times New Roman" w:hAnsi="Times New Roman" w:cs="Times New Roman"/>
          <w:color w:val="000000" w:themeColor="text1"/>
          <w:sz w:val="22"/>
          <w:szCs w:val="22"/>
          <w14:textFill>
            <w14:solidFill>
              <w14:schemeClr w14:val="tx1"/>
            </w14:solidFill>
          </w14:textFill>
        </w:rPr>
        <w:t xml:space="preserve"> staining were used in all tissues as fundamental pathological technique. Paraffin blocks were sectioned into 4</w:t>
      </w:r>
      <w:r>
        <w:rPr>
          <w:rFonts w:hint="eastAsia" w:ascii="Times New Roman" w:hAnsi="Times New Roman" w:cs="Times New Roman"/>
          <w:color w:val="000000" w:themeColor="text1"/>
          <w:sz w:val="22"/>
          <w:szCs w:val="22"/>
          <w:lang w:eastAsia="zh-CN"/>
          <w14:textFill>
            <w14:solidFill>
              <w14:schemeClr w14:val="tx1"/>
            </w14:solidFill>
          </w14:textFill>
        </w:rPr>
        <w:t>-</w:t>
      </w:r>
      <w:r>
        <w:rPr>
          <w:rFonts w:ascii="Times New Roman" w:hAnsi="Times New Roman" w:cs="Times New Roman"/>
          <w:color w:val="000000" w:themeColor="text1"/>
          <w:sz w:val="22"/>
          <w:szCs w:val="22"/>
          <w14:textFill>
            <w14:solidFill>
              <w14:schemeClr w14:val="tx1"/>
            </w14:solidFill>
          </w14:textFill>
        </w:rPr>
        <w:t>5 μm slices (Thermo, USA.) and mounted on APES-coated slides. For staining, sections were deparaffinized (xylene, 2×10 min), rehydrated (graded ethanol, 5 min each) and rinsed. Stained with hematoxylin (5</w:t>
      </w:r>
      <w:r>
        <w:rPr>
          <w:rFonts w:hint="eastAsia" w:ascii="Times New Roman" w:hAnsi="Times New Roman" w:cs="Times New Roman"/>
          <w:color w:val="000000" w:themeColor="text1"/>
          <w:sz w:val="22"/>
          <w:szCs w:val="22"/>
          <w:lang w:eastAsia="zh-CN"/>
          <w14:textFill>
            <w14:solidFill>
              <w14:schemeClr w14:val="tx1"/>
            </w14:solidFill>
          </w14:textFill>
        </w:rPr>
        <w:t>-</w:t>
      </w:r>
      <w:r>
        <w:rPr>
          <w:rFonts w:ascii="Times New Roman" w:hAnsi="Times New Roman" w:cs="Times New Roman"/>
          <w:color w:val="000000" w:themeColor="text1"/>
          <w:sz w:val="22"/>
          <w:szCs w:val="22"/>
          <w14:textFill>
            <w14:solidFill>
              <w14:schemeClr w14:val="tx1"/>
            </w14:solidFill>
          </w14:textFill>
        </w:rPr>
        <w:t>10 mins), rinsed, differentiated with 1% acid alcohol if needed, then eosin (2</w:t>
      </w:r>
      <w:r>
        <w:rPr>
          <w:rFonts w:hint="eastAsia" w:ascii="Times New Roman" w:hAnsi="Times New Roman" w:cs="Times New Roman"/>
          <w:color w:val="000000" w:themeColor="text1"/>
          <w:sz w:val="22"/>
          <w:szCs w:val="22"/>
          <w:lang w:eastAsia="zh-CN"/>
          <w14:textFill>
            <w14:solidFill>
              <w14:schemeClr w14:val="tx1"/>
            </w14:solidFill>
          </w14:textFill>
        </w:rPr>
        <w:t>-</w:t>
      </w:r>
      <w:r>
        <w:rPr>
          <w:rFonts w:ascii="Times New Roman" w:hAnsi="Times New Roman" w:cs="Times New Roman"/>
          <w:color w:val="000000" w:themeColor="text1"/>
          <w:sz w:val="22"/>
          <w:szCs w:val="22"/>
          <w14:textFill>
            <w14:solidFill>
              <w14:schemeClr w14:val="tx1"/>
            </w14:solidFill>
          </w14:textFill>
        </w:rPr>
        <w:t>3 mins). After rinsing, dehydrated (graded ethanol), cleared (xylene, 2×10 mins) and mounted. Observed via light microscope (Olympus, Japan) and screened through dScan-200S (D-Path, China).</w:t>
      </w:r>
    </w:p>
    <w:p w14:paraId="47FB873A">
      <w:pPr>
        <w:numPr>
          <w:ilvl w:val="1"/>
          <w:numId w:val="1"/>
        </w:numPr>
        <w:spacing w:line="360" w:lineRule="auto"/>
        <w:ind w:left="567" w:leftChars="0" w:hanging="567" w:firstLineChars="0"/>
        <w:rPr>
          <w:rFonts w:hint="default" w:ascii="Times New Roman Italic" w:hAnsi="Times New Roman Italic" w:eastAsia="宋体" w:cs="Times New Roman Italic"/>
          <w:i/>
          <w:iCs/>
          <w:color w:val="000000" w:themeColor="text1"/>
          <w:sz w:val="22"/>
          <w:szCs w:val="22"/>
          <w14:textFill>
            <w14:solidFill>
              <w14:schemeClr w14:val="tx1"/>
            </w14:solidFill>
          </w14:textFill>
        </w:rPr>
      </w:pPr>
      <w:r>
        <w:rPr>
          <w:rFonts w:hint="default" w:ascii="Times New Roman Italic" w:hAnsi="Times New Roman Italic" w:eastAsia="宋体" w:cs="Times New Roman Italic"/>
          <w:i/>
          <w:iCs/>
          <w:color w:val="000000" w:themeColor="text1"/>
          <w:sz w:val="22"/>
          <w:szCs w:val="22"/>
          <w14:textFill>
            <w14:solidFill>
              <w14:schemeClr w14:val="tx1"/>
            </w14:solidFill>
          </w14:textFill>
        </w:rPr>
        <w:t>Immunofluorescence double staining for pancreatic islets</w:t>
      </w:r>
    </w:p>
    <w:p w14:paraId="1A84A0B6">
      <w:pPr>
        <w:spacing w:line="360" w:lineRule="auto"/>
        <w:ind w:firstLine="110" w:firstLineChars="50"/>
        <w:rPr>
          <w:rFonts w:hint="eastAsia"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 xml:space="preserve">Pancreatic tissues </w:t>
      </w:r>
      <w:r>
        <w:rPr>
          <w:rFonts w:hint="eastAsia" w:ascii="Times New Roman" w:hAnsi="Times New Roman" w:cs="Times New Roman"/>
          <w:color w:val="000000" w:themeColor="text1"/>
          <w:sz w:val="22"/>
          <w:szCs w:val="22"/>
          <w14:textFill>
            <w14:solidFill>
              <w14:schemeClr w14:val="tx1"/>
            </w14:solidFill>
          </w14:textFill>
        </w:rPr>
        <w:t>of</w:t>
      </w:r>
      <w:r>
        <w:rPr>
          <w:rFonts w:ascii="Times New Roman" w:hAnsi="Times New Roman" w:cs="Times New Roman"/>
          <w:color w:val="000000" w:themeColor="text1"/>
          <w:sz w:val="22"/>
          <w:szCs w:val="22"/>
          <w14:textFill>
            <w14:solidFill>
              <w14:schemeClr w14:val="tx1"/>
            </w14:solidFill>
          </w14:textFill>
        </w:rPr>
        <w:t xml:space="preserve"> mice were fixed in 4% paraformaldehyde, embedded in paraffin, and sectioned at 4 μm thickness. After antigen retrieval with citrate buffer (pH 6.0), sections were blocked with 5% BSA and incubated overnight at 4°C with primary antibodies: guinea pig anti-insulin (Proteintech, China) and rabbit anti-glucagon (Proteintech, China). Alexa Fluor 488-conjugated anti-guinea pig IgG and TRITC-conjugated anti-rabbit IgG were used as secondary antibodies. Nuclei were counterstained with DAPI.</w:t>
      </w:r>
      <w:r>
        <w:rPr>
          <w:rFonts w:hint="eastAsia" w:ascii="Times New Roman" w:hAnsi="Times New Roman" w:cs="Times New Roman"/>
          <w:color w:val="000000" w:themeColor="text1"/>
          <w:sz w:val="22"/>
          <w:szCs w:val="22"/>
          <w:lang w:val="en-US" w:eastAsia="zh-CN"/>
          <w14:textFill>
            <w14:solidFill>
              <w14:schemeClr w14:val="tx1"/>
            </w14:solidFill>
          </w14:textFill>
        </w:rPr>
        <w:t xml:space="preserve"> </w:t>
      </w:r>
      <w:r>
        <w:rPr>
          <w:rFonts w:hint="eastAsia" w:ascii="Times New Roman" w:hAnsi="Times New Roman" w:cs="Times New Roman"/>
          <w:color w:val="000000" w:themeColor="text1"/>
          <w:sz w:val="22"/>
          <w:szCs w:val="22"/>
          <w14:textFill>
            <w14:solidFill>
              <w14:schemeClr w14:val="tx1"/>
            </w14:solidFill>
          </w14:textFill>
        </w:rPr>
        <w:t>Fluorescence images were scanned using a fluorescence slide scanner (KFBIO, Ningbo, China) under identical scanning parameters for all groups</w:t>
      </w:r>
      <w:r>
        <w:rPr>
          <w:rFonts w:hint="eastAsia" w:ascii="Times New Roman" w:hAnsi="Times New Roman" w:cs="Times New Roman"/>
          <w:color w:val="000000" w:themeColor="text1"/>
          <w:sz w:val="22"/>
          <w:szCs w:val="22"/>
          <w:lang w:val="en-US" w:eastAsia="zh-CN"/>
          <w14:textFill>
            <w14:solidFill>
              <w14:schemeClr w14:val="tx1"/>
            </w14:solidFill>
          </w14:textFill>
        </w:rPr>
        <w:t xml:space="preserve">. Quantitative fluorescence analysis was performed using ImageJ software (v.1.54p). </w:t>
      </w:r>
      <w:r>
        <w:rPr>
          <w:rFonts w:hint="eastAsia" w:ascii="Times New Roman" w:hAnsi="Times New Roman" w:cs="Times New Roman"/>
          <w:color w:val="000000" w:themeColor="text1"/>
          <w:sz w:val="22"/>
          <w:szCs w:val="22"/>
          <w14:textFill>
            <w14:solidFill>
              <w14:schemeClr w14:val="tx1"/>
            </w14:solidFill>
          </w14:textFill>
        </w:rPr>
        <w:t>For each group, six representative pancreatic islets from non-overlapping fields were selected, and the analysis was conducted in a blinded manner</w:t>
      </w:r>
      <w:r>
        <w:rPr>
          <w:rFonts w:hint="eastAsia" w:ascii="Times New Roman" w:hAnsi="Times New Roman" w:cs="Times New Roman"/>
          <w:color w:val="000000" w:themeColor="text1"/>
          <w:sz w:val="22"/>
          <w:szCs w:val="22"/>
          <w:lang w:val="en-US" w:eastAsia="zh-CN"/>
          <w14:textFill>
            <w14:solidFill>
              <w14:schemeClr w14:val="tx1"/>
            </w14:solidFill>
          </w14:textFill>
        </w:rPr>
        <w:t xml:space="preserve">. </w:t>
      </w:r>
      <w:r>
        <w:rPr>
          <w:rFonts w:hint="eastAsia" w:ascii="Times New Roman" w:hAnsi="Times New Roman" w:cs="Times New Roman"/>
          <w:color w:val="000000" w:themeColor="text1"/>
          <w:sz w:val="22"/>
          <w:szCs w:val="22"/>
          <w14:textFill>
            <w14:solidFill>
              <w14:schemeClr w14:val="tx1"/>
            </w14:solidFill>
          </w14:textFill>
        </w:rPr>
        <w:t xml:space="preserve">The merged images were used only to identify pancreatic islets and avoid repeated selection of the same region. The fluorescence channels were then separated, and the mean fluorescence intensity (MFI) of insulin and glucagon was quantified independently in the </w:t>
      </w:r>
      <w:r>
        <w:rPr>
          <w:rFonts w:hint="eastAsia" w:ascii="Times New Roman" w:hAnsi="Times New Roman" w:cs="Times New Roman"/>
          <w:color w:val="000000" w:themeColor="text1"/>
          <w:sz w:val="22"/>
          <w:szCs w:val="22"/>
          <w:lang w:eastAsia="zh-CN"/>
          <w14:textFill>
            <w14:solidFill>
              <w14:schemeClr w14:val="tx1"/>
            </w14:solidFill>
          </w14:textFill>
        </w:rPr>
        <w:t>r</w:t>
      </w:r>
      <w:r>
        <w:rPr>
          <w:rFonts w:hint="eastAsia" w:ascii="Times New Roman" w:hAnsi="Times New Roman" w:cs="Times New Roman"/>
          <w:color w:val="000000" w:themeColor="text1"/>
          <w:sz w:val="22"/>
          <w:szCs w:val="22"/>
          <w:lang w:val="en-US" w:eastAsia="zh-CN"/>
          <w14:textFill>
            <w14:solidFill>
              <w14:schemeClr w14:val="tx1"/>
            </w14:solidFill>
          </w14:textFill>
        </w:rPr>
        <w:t>ed</w:t>
      </w:r>
      <w:r>
        <w:rPr>
          <w:rFonts w:hint="eastAsia" w:ascii="Times New Roman" w:hAnsi="Times New Roman" w:cs="Times New Roman"/>
          <w:color w:val="000000" w:themeColor="text1"/>
          <w:sz w:val="22"/>
          <w:szCs w:val="22"/>
          <w14:textFill>
            <w14:solidFill>
              <w14:schemeClr w14:val="tx1"/>
            </w14:solidFill>
          </w14:textFill>
        </w:rPr>
        <w:t xml:space="preserve"> and </w:t>
      </w:r>
      <w:r>
        <w:rPr>
          <w:rFonts w:hint="eastAsia" w:ascii="Times New Roman" w:hAnsi="Times New Roman" w:cs="Times New Roman"/>
          <w:color w:val="000000" w:themeColor="text1"/>
          <w:sz w:val="22"/>
          <w:szCs w:val="22"/>
          <w:lang w:eastAsia="zh-CN"/>
          <w14:textFill>
            <w14:solidFill>
              <w14:schemeClr w14:val="tx1"/>
            </w14:solidFill>
          </w14:textFill>
        </w:rPr>
        <w:t>g</w:t>
      </w:r>
      <w:r>
        <w:rPr>
          <w:rFonts w:hint="eastAsia" w:ascii="Times New Roman" w:hAnsi="Times New Roman" w:cs="Times New Roman"/>
          <w:color w:val="000000" w:themeColor="text1"/>
          <w:sz w:val="22"/>
          <w:szCs w:val="22"/>
          <w:lang w:val="en-US" w:eastAsia="zh-CN"/>
          <w14:textFill>
            <w14:solidFill>
              <w14:schemeClr w14:val="tx1"/>
            </w14:solidFill>
          </w14:textFill>
        </w:rPr>
        <w:t>reen</w:t>
      </w:r>
      <w:r>
        <w:rPr>
          <w:rFonts w:hint="eastAsia" w:ascii="Times New Roman" w:hAnsi="Times New Roman" w:cs="Times New Roman"/>
          <w:color w:val="000000" w:themeColor="text1"/>
          <w:sz w:val="22"/>
          <w:szCs w:val="22"/>
          <w14:textFill>
            <w14:solidFill>
              <w14:schemeClr w14:val="tx1"/>
            </w14:solidFill>
          </w14:textFill>
        </w:rPr>
        <w:t xml:space="preserve"> channels, respectively. Background fluorescence was measured from adjacent non-islet pancreatic tissue in the corresponding channel and subtracted from the target fluorescence signal. The average MFI values of insulin and glucagon were calculated separately for each animal and used for statistical analysis.</w:t>
      </w:r>
    </w:p>
    <w:p w14:paraId="090A9E0F">
      <w:pPr>
        <w:widowControl/>
        <w:numPr>
          <w:ilvl w:val="1"/>
          <w:numId w:val="1"/>
        </w:numPr>
        <w:spacing w:line="360" w:lineRule="auto"/>
        <w:ind w:left="567" w:hanging="567" w:firstLineChars="0"/>
        <w:rPr>
          <w:rFonts w:hint="default" w:ascii="Times New Roman Italic" w:hAnsi="Times New Roman Italic" w:eastAsia="宋体" w:cs="Times New Roman Italic"/>
          <w:i/>
          <w:iCs/>
          <w:color w:val="000000" w:themeColor="text1"/>
          <w:sz w:val="22"/>
          <w:szCs w:val="22"/>
          <w14:textFill>
            <w14:solidFill>
              <w14:schemeClr w14:val="tx1"/>
            </w14:solidFill>
          </w14:textFill>
        </w:rPr>
      </w:pPr>
      <w:r>
        <w:rPr>
          <w:rFonts w:hint="eastAsia" w:ascii="Times New Roman Italic" w:hAnsi="Times New Roman Italic" w:eastAsia="宋体" w:cs="Times New Roman Italic"/>
          <w:i/>
          <w:iCs/>
          <w:color w:val="000000" w:themeColor="text1"/>
          <w:sz w:val="22"/>
          <w:szCs w:val="22"/>
          <w14:textFill>
            <w14:solidFill>
              <w14:schemeClr w14:val="tx1"/>
            </w14:solidFill>
          </w14:textFill>
        </w:rPr>
        <w:t>Measurement of mean islet area</w:t>
      </w:r>
    </w:p>
    <w:p w14:paraId="5C59DA84">
      <w:pPr>
        <w:pStyle w:val="4"/>
        <w:widowControl/>
        <w:tabs>
          <w:tab w:val="left" w:pos="5460"/>
        </w:tabs>
        <w:spacing w:beforeAutospacing="0" w:afterAutospacing="0" w:line="360" w:lineRule="auto"/>
        <w:ind w:firstLine="440" w:firstLineChars="200"/>
        <w:jc w:val="both"/>
        <w:rPr>
          <w:rFonts w:hint="eastAsia" w:ascii="Times New Roman" w:hAnsi="Times New Roman" w:cs="Times New Roman"/>
          <w:color w:val="000000" w:themeColor="text1"/>
          <w:sz w:val="22"/>
          <w:szCs w:val="22"/>
          <w14:textFill>
            <w14:solidFill>
              <w14:schemeClr w14:val="tx1"/>
            </w14:solidFill>
          </w14:textFill>
        </w:rPr>
      </w:pPr>
      <w:r>
        <w:rPr>
          <w:rFonts w:hint="eastAsia" w:ascii="Times New Roman" w:hAnsi="Times New Roman" w:cs="Times New Roman"/>
          <w:i w:val="0"/>
          <w:iCs w:val="0"/>
          <w:caps w:val="0"/>
          <w:color w:val="000000" w:themeColor="text1"/>
          <w:spacing w:val="0"/>
          <w:kern w:val="2"/>
          <w:sz w:val="22"/>
          <w:szCs w:val="22"/>
          <w:lang w:bidi="ar-SA"/>
          <w14:textFill>
            <w14:solidFill>
              <w14:schemeClr w14:val="tx1"/>
            </w14:solidFill>
          </w14:textFill>
        </w:rPr>
        <w:t>Pancreatic tissues were fixed in 4% paraformaldehyde, embedded in paraffin, and sectioned at a thickness of 5</w:t>
      </w:r>
      <w:r>
        <w:rPr>
          <w:rFonts w:hint="default" w:ascii="Times New Roman Regular" w:hAnsi="Times New Roman Regular" w:cs="Times New Roman Regular"/>
          <w:i w:val="0"/>
          <w:iCs w:val="0"/>
          <w:caps w:val="0"/>
          <w:color w:val="000000" w:themeColor="text1"/>
          <w:spacing w:val="0"/>
          <w:kern w:val="2"/>
          <w:sz w:val="22"/>
          <w:szCs w:val="22"/>
          <w:lang w:bidi="ar-SA"/>
          <w14:textFill>
            <w14:solidFill>
              <w14:schemeClr w14:val="tx1"/>
            </w14:solidFill>
          </w14:textFill>
        </w:rPr>
        <w:t>μm</w:t>
      </w:r>
      <w:r>
        <w:rPr>
          <w:rFonts w:hint="eastAsia" w:ascii="Times New Roman" w:hAnsi="Times New Roman" w:cs="Times New Roman"/>
          <w:i w:val="0"/>
          <w:iCs w:val="0"/>
          <w:caps w:val="0"/>
          <w:color w:val="000000" w:themeColor="text1"/>
          <w:spacing w:val="0"/>
          <w:kern w:val="2"/>
          <w:sz w:val="22"/>
          <w:szCs w:val="22"/>
          <w:lang w:bidi="ar-SA"/>
          <w14:textFill>
            <w14:solidFill>
              <w14:schemeClr w14:val="tx1"/>
            </w14:solidFill>
          </w14:textFill>
        </w:rPr>
        <w:t>. Based on previously described methods for pancreatic islet morphometric analysis</w:t>
      </w:r>
      <w:r>
        <w:rPr>
          <w:rFonts w:hint="eastAsia" w:ascii="Times New Roman" w:hAnsi="Times New Roman" w:cs="Times New Roman"/>
          <w:i w:val="0"/>
          <w:iCs w:val="0"/>
          <w:caps w:val="0"/>
          <w:color w:val="000000" w:themeColor="text1"/>
          <w:spacing w:val="0"/>
          <w:kern w:val="2"/>
          <w:sz w:val="22"/>
          <w:szCs w:val="22"/>
          <w:lang w:val="en-US" w:eastAsia="zh-CN" w:bidi="ar-SA"/>
          <w14:textFill>
            <w14:solidFill>
              <w14:schemeClr w14:val="tx1"/>
            </w14:solidFill>
          </w14:textFill>
        </w:rPr>
        <w:t xml:space="preserve">, </w:t>
      </w:r>
      <w:r>
        <w:rPr>
          <w:rFonts w:hint="eastAsia" w:ascii="Times New Roman" w:hAnsi="Times New Roman" w:cs="Times New Roman"/>
          <w:i w:val="0"/>
          <w:iCs w:val="0"/>
          <w:caps w:val="0"/>
          <w:color w:val="000000" w:themeColor="text1"/>
          <w:spacing w:val="0"/>
          <w:kern w:val="2"/>
          <w:sz w:val="22"/>
          <w:szCs w:val="22"/>
          <w:lang w:bidi="ar-SA"/>
          <w14:textFill>
            <w14:solidFill>
              <w14:schemeClr w14:val="tx1"/>
            </w14:solidFill>
          </w14:textFill>
        </w:rPr>
        <w:t>serial sections were collected at intervals of approximately 100</w:t>
      </w:r>
      <w:r>
        <w:rPr>
          <w:rFonts w:hint="default" w:ascii="Times New Roman Regular" w:hAnsi="Times New Roman Regular" w:cs="Times New Roman Regular"/>
          <w:i w:val="0"/>
          <w:iCs w:val="0"/>
          <w:caps w:val="0"/>
          <w:color w:val="000000" w:themeColor="text1"/>
          <w:spacing w:val="0"/>
          <w:kern w:val="2"/>
          <w:sz w:val="22"/>
          <w:szCs w:val="22"/>
          <w:lang w:bidi="ar-SA"/>
          <w14:textFill>
            <w14:solidFill>
              <w14:schemeClr w14:val="tx1"/>
            </w14:solidFill>
          </w14:textFill>
        </w:rPr>
        <w:t>μm</w:t>
      </w:r>
      <w:r>
        <w:rPr>
          <w:rFonts w:hint="eastAsia" w:ascii="Times New Roman" w:hAnsi="Times New Roman" w:cs="Times New Roman"/>
          <w:i w:val="0"/>
          <w:iCs w:val="0"/>
          <w:caps w:val="0"/>
          <w:color w:val="000000" w:themeColor="text1"/>
          <w:spacing w:val="0"/>
          <w:kern w:val="2"/>
          <w:sz w:val="22"/>
          <w:szCs w:val="22"/>
          <w:lang w:bidi="ar-SA"/>
          <w14:textFill>
            <w14:solidFill>
              <w14:schemeClr w14:val="tx1"/>
            </w14:solidFill>
          </w14:textFill>
        </w:rPr>
        <w:t xml:space="preserve"> to minimize repeated measurement of the same islet. Due to the limited availability of paraffin-embedded pancreatic tissue in the present study, </w:t>
      </w:r>
      <w:r>
        <w:rPr>
          <w:rFonts w:hint="eastAsia" w:ascii="Times New Roman" w:hAnsi="Times New Roman" w:cs="Times New Roman"/>
          <w:i w:val="0"/>
          <w:iCs w:val="0"/>
          <w:caps w:val="0"/>
          <w:color w:val="000000" w:themeColor="text1"/>
          <w:spacing w:val="0"/>
          <w:kern w:val="2"/>
          <w:sz w:val="22"/>
          <w:szCs w:val="22"/>
          <w:lang w:val="en-US" w:eastAsia="zh-CN" w:bidi="ar-SA"/>
          <w14:textFill>
            <w14:solidFill>
              <w14:schemeClr w14:val="tx1"/>
            </w14:solidFill>
          </w14:textFill>
        </w:rPr>
        <w:t>one-</w:t>
      </w:r>
      <w:r>
        <w:rPr>
          <w:rFonts w:hint="eastAsia" w:ascii="Times New Roman" w:hAnsi="Times New Roman" w:cs="Times New Roman"/>
          <w:i w:val="0"/>
          <w:iCs w:val="0"/>
          <w:caps w:val="0"/>
          <w:color w:val="000000" w:themeColor="text1"/>
          <w:spacing w:val="0"/>
          <w:kern w:val="2"/>
          <w:sz w:val="22"/>
          <w:szCs w:val="22"/>
          <w:lang w:bidi="ar-SA"/>
          <w14:textFill>
            <w14:solidFill>
              <w14:schemeClr w14:val="tx1"/>
            </w14:solidFill>
          </w14:textFill>
        </w:rPr>
        <w:t xml:space="preserve">two sections per block were obtained for </w:t>
      </w:r>
      <w:r>
        <w:rPr>
          <w:rFonts w:hint="eastAsia" w:ascii="Times New Roman" w:hAnsi="Times New Roman" w:cs="Times New Roman"/>
          <w:color w:val="000000" w:themeColor="text1"/>
          <w:kern w:val="2"/>
          <w:sz w:val="22"/>
          <w:szCs w:val="22"/>
          <w:lang w:bidi="ar-SA"/>
          <w14:textFill>
            <w14:solidFill>
              <w14:schemeClr w14:val="tx1"/>
            </w14:solidFill>
          </w14:textFill>
        </w:rPr>
        <w:t>preliminary</w:t>
      </w:r>
      <w:r>
        <w:rPr>
          <w:rFonts w:hint="eastAsia" w:ascii="Times New Roman" w:hAnsi="Times New Roman" w:cs="Times New Roman"/>
          <w:i w:val="0"/>
          <w:iCs w:val="0"/>
          <w:caps w:val="0"/>
          <w:color w:val="000000" w:themeColor="text1"/>
          <w:spacing w:val="0"/>
          <w:kern w:val="2"/>
          <w:sz w:val="22"/>
          <w:szCs w:val="22"/>
          <w:lang w:val="en-US" w:eastAsia="zh-CN" w:bidi="ar-SA"/>
          <w14:textFill>
            <w14:solidFill>
              <w14:schemeClr w14:val="tx1"/>
            </w14:solidFill>
          </w14:textFill>
        </w:rPr>
        <w:t xml:space="preserve"> </w:t>
      </w:r>
      <w:r>
        <w:rPr>
          <w:rFonts w:hint="eastAsia" w:ascii="Times New Roman" w:hAnsi="Times New Roman" w:cs="Times New Roman"/>
          <w:i w:val="0"/>
          <w:iCs w:val="0"/>
          <w:caps w:val="0"/>
          <w:color w:val="000000" w:themeColor="text1"/>
          <w:spacing w:val="0"/>
          <w:kern w:val="2"/>
          <w:sz w:val="22"/>
          <w:szCs w:val="22"/>
          <w:lang w:bidi="ar-SA"/>
          <w14:textFill>
            <w14:solidFill>
              <w14:schemeClr w14:val="tx1"/>
            </w14:solidFill>
          </w14:textFill>
        </w:rPr>
        <w:t>morphometric evaluation.</w:t>
      </w:r>
      <w:r>
        <w:rPr>
          <w:rFonts w:hint="eastAsia" w:ascii="Times New Roman" w:hAnsi="Times New Roman" w:cs="Times New Roman"/>
          <w:i w:val="0"/>
          <w:iCs w:val="0"/>
          <w:caps w:val="0"/>
          <w:color w:val="000000" w:themeColor="text1"/>
          <w:spacing w:val="0"/>
          <w:kern w:val="2"/>
          <w:sz w:val="22"/>
          <w:szCs w:val="22"/>
          <w:lang w:val="en-US" w:eastAsia="zh-CN" w:bidi="ar-SA"/>
          <w14:textFill>
            <w14:solidFill>
              <w14:schemeClr w14:val="tx1"/>
            </w14:solidFill>
          </w14:textFill>
        </w:rPr>
        <w:t xml:space="preserve"> </w:t>
      </w:r>
      <w:r>
        <w:rPr>
          <w:rFonts w:hint="eastAsia" w:ascii="Times New Roman" w:hAnsi="Times New Roman" w:cs="Times New Roman"/>
          <w:i w:val="0"/>
          <w:iCs w:val="0"/>
          <w:caps w:val="0"/>
          <w:color w:val="000000" w:themeColor="text1"/>
          <w:spacing w:val="0"/>
          <w:kern w:val="2"/>
          <w:sz w:val="22"/>
          <w:szCs w:val="22"/>
          <w:lang w:bidi="ar-SA"/>
          <w14:textFill>
            <w14:solidFill>
              <w14:schemeClr w14:val="tx1"/>
            </w14:solidFill>
          </w14:textFill>
        </w:rPr>
        <w:t xml:space="preserve">Sections were stained with H&amp;E, </w:t>
      </w:r>
      <w:r>
        <w:rPr>
          <w:rFonts w:hint="eastAsia" w:ascii="Times New Roman" w:hAnsi="Times New Roman" w:cs="Times New Roman"/>
          <w:color w:val="000000" w:themeColor="text1"/>
          <w:kern w:val="2"/>
          <w:sz w:val="22"/>
          <w:szCs w:val="22"/>
          <w:lang w:bidi="ar-SA"/>
          <w14:textFill>
            <w14:solidFill>
              <w14:schemeClr w14:val="tx1"/>
            </w14:solidFill>
          </w14:textFill>
        </w:rPr>
        <w:t xml:space="preserve">and images were acquired using a whole-slide scanner (KFBIO, Ningbo, China). The boundaries of identifiable pancreatic islets were manually outlined by experienced personnel using </w:t>
      </w:r>
      <w:r>
        <w:rPr>
          <w:rFonts w:hint="eastAsia" w:ascii="Times New Roman" w:hAnsi="Times New Roman" w:cs="Times New Roman"/>
          <w:color w:val="000000" w:themeColor="text1"/>
          <w:kern w:val="2"/>
          <w:sz w:val="22"/>
          <w:szCs w:val="22"/>
          <w:lang w:eastAsia="zh-CN" w:bidi="ar-SA"/>
          <w14:textFill>
            <w14:solidFill>
              <w14:schemeClr w14:val="tx1"/>
            </w14:solidFill>
          </w14:textFill>
        </w:rPr>
        <w:t>K</w:t>
      </w:r>
      <w:r>
        <w:rPr>
          <w:rFonts w:hint="eastAsia" w:ascii="Times New Roman" w:hAnsi="Times New Roman" w:cs="Times New Roman"/>
          <w:color w:val="000000" w:themeColor="text1"/>
          <w:kern w:val="2"/>
          <w:sz w:val="22"/>
          <w:szCs w:val="22"/>
          <w:lang w:val="en-US" w:eastAsia="zh-CN" w:bidi="ar-SA"/>
          <w14:textFill>
            <w14:solidFill>
              <w14:schemeClr w14:val="tx1"/>
            </w14:solidFill>
          </w14:textFill>
        </w:rPr>
        <w:t>FSlideOS</w:t>
      </w:r>
      <w:r>
        <w:rPr>
          <w:rFonts w:hint="eastAsia" w:ascii="Times New Roman" w:hAnsi="Times New Roman" w:cs="Times New Roman"/>
          <w:color w:val="000000" w:themeColor="text1"/>
          <w:kern w:val="2"/>
          <w:sz w:val="22"/>
          <w:szCs w:val="22"/>
          <w:lang w:bidi="ar-SA"/>
          <w14:textFill>
            <w14:solidFill>
              <w14:schemeClr w14:val="tx1"/>
            </w14:solidFill>
          </w14:textFill>
        </w:rPr>
        <w:t xml:space="preserve"> software</w:t>
      </w:r>
      <w:r>
        <w:rPr>
          <w:rFonts w:hint="eastAsia" w:ascii="Times New Roman" w:hAnsi="Times New Roman" w:cs="Times New Roman"/>
          <w:color w:val="000000" w:themeColor="text1"/>
          <w:kern w:val="2"/>
          <w:sz w:val="22"/>
          <w:szCs w:val="22"/>
          <w:lang w:val="en-US" w:eastAsia="zh-CN" w:bidi="ar-SA"/>
          <w14:textFill>
            <w14:solidFill>
              <w14:schemeClr w14:val="tx1"/>
            </w14:solidFill>
          </w14:textFill>
        </w:rPr>
        <w:t xml:space="preserve"> (v 1.0.5), and islet area </w:t>
      </w:r>
      <w:r>
        <w:rPr>
          <w:rFonts w:hint="eastAsia" w:ascii="Times New Roman" w:hAnsi="Times New Roman" w:cs="Times New Roman"/>
          <w:color w:val="000000" w:themeColor="text1"/>
          <w:kern w:val="2"/>
          <w:sz w:val="22"/>
          <w:szCs w:val="22"/>
          <w:lang w:bidi="ar-SA"/>
          <w14:textFill>
            <w14:solidFill>
              <w14:schemeClr w14:val="tx1"/>
            </w14:solidFill>
          </w14:textFill>
        </w:rPr>
        <w:t>was calculated within KFSlideOS software based on the annotation contours</w:t>
      </w:r>
      <w:r>
        <w:rPr>
          <w:rFonts w:hint="eastAsia" w:ascii="Times New Roman" w:hAnsi="Times New Roman" w:cs="Times New Roman"/>
          <w:color w:val="000000" w:themeColor="text1"/>
          <w:kern w:val="2"/>
          <w:sz w:val="22"/>
          <w:szCs w:val="22"/>
          <w:lang w:val="en-US" w:eastAsia="zh-CN" w:bidi="ar-SA"/>
          <w14:textFill>
            <w14:solidFill>
              <w14:schemeClr w14:val="tx1"/>
            </w14:solidFill>
          </w14:textFill>
        </w:rPr>
        <w:t xml:space="preserve">. </w:t>
      </w:r>
      <w:r>
        <w:rPr>
          <w:rFonts w:hint="eastAsia" w:ascii="Times New Roman" w:hAnsi="Times New Roman" w:cs="Times New Roman"/>
          <w:i w:val="0"/>
          <w:iCs w:val="0"/>
          <w:caps w:val="0"/>
          <w:color w:val="000000" w:themeColor="text1"/>
          <w:spacing w:val="0"/>
          <w:kern w:val="2"/>
          <w:sz w:val="22"/>
          <w:szCs w:val="22"/>
          <w:lang w:bidi="ar-SA"/>
          <w14:textFill>
            <w14:solidFill>
              <w14:schemeClr w14:val="tx1"/>
            </w14:solidFill>
          </w14:textFill>
        </w:rPr>
        <w:t xml:space="preserve">Only clearly distinguishable islets were included for analysis. </w:t>
      </w:r>
    </w:p>
    <w:p w14:paraId="219219EF">
      <w:pPr>
        <w:spacing w:line="360" w:lineRule="auto"/>
        <w:ind w:firstLine="110" w:firstLineChars="50"/>
        <w:rPr>
          <w:rFonts w:ascii="Times New Roman" w:hAnsi="Times New Roman" w:cs="Times New Roman"/>
          <w:color w:val="000000" w:themeColor="text1"/>
          <w:sz w:val="22"/>
          <w:szCs w:val="22"/>
          <w14:textFill>
            <w14:solidFill>
              <w14:schemeClr w14:val="tx1"/>
            </w14:solidFill>
          </w14:textFill>
        </w:rPr>
      </w:pPr>
    </w:p>
    <w:p w14:paraId="7188B128">
      <w:pPr>
        <w:pStyle w:val="10"/>
        <w:numPr>
          <w:ilvl w:val="0"/>
          <w:numId w:val="1"/>
        </w:numPr>
        <w:spacing w:line="360" w:lineRule="auto"/>
        <w:ind w:left="460" w:leftChars="0" w:hanging="440"/>
        <w:rPr>
          <w:rFonts w:hint="default" w:ascii="Times New Roman Bold" w:hAnsi="Times New Roman Bold" w:cs="Times New Roman Bold"/>
          <w:b/>
          <w:bCs/>
          <w:i w:val="0"/>
          <w:iCs w:val="0"/>
          <w:color w:val="000000" w:themeColor="text1"/>
          <w:sz w:val="22"/>
          <w:szCs w:val="22"/>
          <w14:textFill>
            <w14:solidFill>
              <w14:schemeClr w14:val="tx1"/>
            </w14:solidFill>
          </w14:textFill>
        </w:rPr>
      </w:pPr>
      <w:r>
        <w:rPr>
          <w:rFonts w:hint="default" w:ascii="Times New Roman Bold" w:hAnsi="Times New Roman Bold" w:cs="Times New Roman Bold"/>
          <w:b/>
          <w:bCs/>
          <w:i w:val="0"/>
          <w:iCs w:val="0"/>
          <w:color w:val="000000" w:themeColor="text1"/>
          <w:sz w:val="22"/>
          <w:szCs w:val="22"/>
          <w14:textFill>
            <w14:solidFill>
              <w14:schemeClr w14:val="tx1"/>
            </w14:solidFill>
          </w14:textFill>
        </w:rPr>
        <w:t>Histological staining of kidneys</w:t>
      </w:r>
    </w:p>
    <w:p w14:paraId="0ABC34CD">
      <w:pPr>
        <w:pStyle w:val="10"/>
        <w:numPr>
          <w:ilvl w:val="1"/>
          <w:numId w:val="1"/>
        </w:numPr>
        <w:spacing w:line="360" w:lineRule="auto"/>
        <w:ind w:left="880" w:leftChars="0" w:hanging="440"/>
        <w:rPr>
          <w:rFonts w:ascii="Times New Roman" w:hAnsi="Times New Roman"/>
          <w:i/>
          <w:iCs/>
          <w:color w:val="000000" w:themeColor="text1"/>
          <w:sz w:val="22"/>
          <w:szCs w:val="22"/>
          <w14:textFill>
            <w14:solidFill>
              <w14:schemeClr w14:val="tx1"/>
            </w14:solidFill>
          </w14:textFill>
        </w:rPr>
      </w:pPr>
      <w:r>
        <w:rPr>
          <w:rFonts w:ascii="Times New Roman" w:hAnsi="Times New Roman"/>
          <w:i/>
          <w:iCs/>
          <w:color w:val="000000" w:themeColor="text1"/>
          <w:sz w:val="22"/>
          <w:szCs w:val="22"/>
          <w14:textFill>
            <w14:solidFill>
              <w14:schemeClr w14:val="tx1"/>
            </w14:solidFill>
          </w14:textFill>
        </w:rPr>
        <w:t>Masson's trichrome staining</w:t>
      </w:r>
    </w:p>
    <w:p w14:paraId="7A153FD6">
      <w:pPr>
        <w:spacing w:line="360" w:lineRule="auto"/>
        <w:ind w:firstLine="330" w:firstLineChars="150"/>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Kidney sections were deparaffinized and rehydrated through graded alcohols. After Weigert's iron hematoxylin nuclear staining (5 min), sections were treated with Masson's composite solution (1% acid fuchsin + 1% Ponceau S) for 5 min, differentiated in 1% phosphomolybdic acid (30 sec), and counterstained with 2% aniline blue (5 min). Collagen fibers appeared blue, while muscle fibers and cytoplasm-stained red.</w:t>
      </w:r>
    </w:p>
    <w:p w14:paraId="511A3CA3">
      <w:pPr>
        <w:pStyle w:val="10"/>
        <w:numPr>
          <w:ilvl w:val="1"/>
          <w:numId w:val="1"/>
        </w:numPr>
        <w:spacing w:line="360" w:lineRule="auto"/>
        <w:ind w:left="880" w:leftChars="0" w:hanging="440"/>
        <w:rPr>
          <w:rFonts w:ascii="Times New Roman" w:hAnsi="Times New Roman"/>
          <w:i/>
          <w:iCs/>
          <w:color w:val="000000" w:themeColor="text1"/>
          <w:sz w:val="22"/>
          <w:szCs w:val="22"/>
          <w14:textFill>
            <w14:solidFill>
              <w14:schemeClr w14:val="tx1"/>
            </w14:solidFill>
          </w14:textFill>
        </w:rPr>
      </w:pPr>
      <w:r>
        <w:rPr>
          <w:rFonts w:ascii="Times New Roman" w:hAnsi="Times New Roman"/>
          <w:i/>
          <w:iCs/>
          <w:color w:val="000000" w:themeColor="text1"/>
          <w:sz w:val="22"/>
          <w:szCs w:val="22"/>
          <w14:textFill>
            <w14:solidFill>
              <w14:schemeClr w14:val="tx1"/>
            </w14:solidFill>
          </w14:textFill>
        </w:rPr>
        <w:t>PAS staining</w:t>
      </w:r>
    </w:p>
    <w:p w14:paraId="36B8EE82">
      <w:pPr>
        <w:spacing w:line="360" w:lineRule="auto"/>
        <w:ind w:firstLine="330" w:firstLineChars="150"/>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Deparaffinized sections were oxidized with 1% periodic acid (15 min), incubated with Schiff's reagent (20 min), and counterstained with Mayer's hematoxylin (2 min). Glycogen and basement membranes appeared magenta, while nuclei stained blue.</w:t>
      </w:r>
    </w:p>
    <w:p w14:paraId="71B1A4BF">
      <w:pPr>
        <w:spacing w:line="360" w:lineRule="auto"/>
        <w:ind w:firstLine="110" w:firstLineChars="50"/>
        <w:rPr>
          <w:rFonts w:ascii="Times New Roman" w:hAnsi="Times New Roman" w:cs="Times New Roman"/>
          <w:color w:val="000000" w:themeColor="text1"/>
          <w:sz w:val="22"/>
          <w:szCs w:val="22"/>
          <w14:textFill>
            <w14:solidFill>
              <w14:schemeClr w14:val="tx1"/>
            </w14:solidFill>
          </w14:textFill>
        </w:rPr>
      </w:pPr>
    </w:p>
    <w:p w14:paraId="243BD9B5">
      <w:pPr>
        <w:pStyle w:val="10"/>
        <w:numPr>
          <w:ilvl w:val="0"/>
          <w:numId w:val="1"/>
        </w:numPr>
        <w:spacing w:line="360" w:lineRule="auto"/>
        <w:ind w:left="460" w:leftChars="0" w:hanging="440"/>
        <w:rPr>
          <w:rFonts w:hint="default" w:ascii="Times New Roman Bold" w:hAnsi="Times New Roman Bold" w:cs="Times New Roman Bold"/>
          <w:b/>
          <w:bCs/>
          <w:color w:val="000000" w:themeColor="text1"/>
          <w:sz w:val="22"/>
          <w:szCs w:val="22"/>
          <w14:textFill>
            <w14:solidFill>
              <w14:schemeClr w14:val="tx1"/>
            </w14:solidFill>
          </w14:textFill>
        </w:rPr>
      </w:pPr>
      <w:r>
        <w:rPr>
          <w:rFonts w:hint="default" w:ascii="Times New Roman Bold" w:hAnsi="Times New Roman Bold" w:cs="Times New Roman Bold"/>
          <w:b/>
          <w:bCs/>
          <w:color w:val="000000" w:themeColor="text1"/>
          <w:sz w:val="22"/>
          <w:szCs w:val="22"/>
          <w14:textFill>
            <w14:solidFill>
              <w14:schemeClr w14:val="tx1"/>
            </w14:solidFill>
          </w14:textFill>
        </w:rPr>
        <w:t>Oil red staining of liver tissues</w:t>
      </w:r>
    </w:p>
    <w:p w14:paraId="7835DF84">
      <w:pPr>
        <w:spacing w:line="360" w:lineRule="auto"/>
        <w:ind w:firstLine="440" w:firstLineChars="200"/>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Frozen liver tissues were embedded in OCT and sectioned at 6-10 μm. After fixation (4% PFA, 10 min), sections were rinsed with PBS, treated with 60% isopropanol (30 sec), and stained with filtered Oil Red O solution (15 min). Nuclei were counterstained with hematoxylin (1-2 min), differentiated in 1% HCl-alcohol, and mounted in aqueous medium. Lipid droplets (red) and nuclei (blue) were visualized by bright-field microscopy, with lipid accumulation quantified using ImageJ. Positive (high-fat diet liver) and negative (normal liver) controls were included per standard protocols.</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AppleSystemUIFont">
    <w:altName w:val="苹方-简"/>
    <w:panose1 w:val="020B0604020202020204"/>
    <w:charset w:val="00"/>
    <w:family w:val="roman"/>
    <w:pitch w:val="default"/>
    <w:sig w:usb0="00000000" w:usb1="00000000" w:usb2="00000000" w:usb3="00000000" w:csb0="00000000" w:csb1="00000000"/>
  </w:font>
  <w:font w:name="苹方-简">
    <w:panose1 w:val="020B0400000000000000"/>
    <w:charset w:val="86"/>
    <w:family w:val="auto"/>
    <w:pitch w:val="default"/>
    <w:sig w:usb0="A00002FF" w:usb1="7ACFFDFB" w:usb2="00000017" w:usb3="00000000" w:csb0="00040001" w:csb1="00000000"/>
  </w:font>
  <w:font w:name="Times New Roman Bold">
    <w:panose1 w:val="02020503050405090304"/>
    <w:charset w:val="00"/>
    <w:family w:val="auto"/>
    <w:pitch w:val="default"/>
    <w:sig w:usb0="E0000AFF" w:usb1="00007843" w:usb2="00000001" w:usb3="00000000" w:csb0="400001BF" w:csb1="DFF70000"/>
  </w:font>
  <w:font w:name="Times New Roman Regular">
    <w:panose1 w:val="02020503050405090304"/>
    <w:charset w:val="00"/>
    <w:family w:val="auto"/>
    <w:pitch w:val="default"/>
    <w:sig w:usb0="E0000AFF" w:usb1="00007843" w:usb2="00000001" w:usb3="00000000" w:csb0="400001BF" w:csb1="DFF70000"/>
  </w:font>
  <w:font w:name="Times New Roman Italic">
    <w:panose1 w:val="02020503050405090304"/>
    <w:charset w:val="00"/>
    <w:family w:val="auto"/>
    <w:pitch w:val="default"/>
    <w:sig w:usb0="E0000AFF" w:usb1="00007843" w:usb2="00000001" w:usb3="00000000" w:csb0="400001BF" w:csb1="DFF7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BE2156"/>
    <w:multiLevelType w:val="multilevel"/>
    <w:tmpl w:val="5FBE2156"/>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154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9"/>
  <w:doNotDisplayPageBoundaries w:val="1"/>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Layout" w:val="&lt;ENLayout&gt;&lt;Style&gt;Phytomedicine&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de29909rzttrxedsdrppvfavfs52az9z2rw&quot;&gt;My EndNote Library&lt;record-ids&gt;&lt;item&gt;15808&lt;/item&gt;&lt;item&gt;17082&lt;/item&gt;&lt;item&gt;17103&lt;/item&gt;&lt;item&gt;17114&lt;/item&gt;&lt;item&gt;17154&lt;/item&gt;&lt;item&gt;17197&lt;/item&gt;&lt;item&gt;17301&lt;/item&gt;&lt;item&gt;17586&lt;/item&gt;&lt;item&gt;17588&lt;/item&gt;&lt;/record-ids&gt;&lt;/item&gt;&lt;/Libraries&gt;"/>
  </w:docVars>
  <w:rsids>
    <w:rsidRoot w:val="F76498B8"/>
    <w:rsid w:val="000254AF"/>
    <w:rsid w:val="00042F61"/>
    <w:rsid w:val="00061F79"/>
    <w:rsid w:val="00093F14"/>
    <w:rsid w:val="000E1409"/>
    <w:rsid w:val="001264D5"/>
    <w:rsid w:val="002035BB"/>
    <w:rsid w:val="00207D70"/>
    <w:rsid w:val="002255E1"/>
    <w:rsid w:val="002407BE"/>
    <w:rsid w:val="002F107A"/>
    <w:rsid w:val="00355009"/>
    <w:rsid w:val="00364D2D"/>
    <w:rsid w:val="00431EA2"/>
    <w:rsid w:val="00444F7F"/>
    <w:rsid w:val="00457981"/>
    <w:rsid w:val="00490167"/>
    <w:rsid w:val="004B651A"/>
    <w:rsid w:val="005464EB"/>
    <w:rsid w:val="0064132F"/>
    <w:rsid w:val="006B4DAD"/>
    <w:rsid w:val="006C58FC"/>
    <w:rsid w:val="00727875"/>
    <w:rsid w:val="00744335"/>
    <w:rsid w:val="007B738D"/>
    <w:rsid w:val="008607D0"/>
    <w:rsid w:val="008E2A74"/>
    <w:rsid w:val="009025AB"/>
    <w:rsid w:val="009127A8"/>
    <w:rsid w:val="009C263F"/>
    <w:rsid w:val="00A21E22"/>
    <w:rsid w:val="00A2469A"/>
    <w:rsid w:val="00AD5867"/>
    <w:rsid w:val="00B556B2"/>
    <w:rsid w:val="00B709ED"/>
    <w:rsid w:val="00BF04A5"/>
    <w:rsid w:val="00C575C9"/>
    <w:rsid w:val="00CA37C2"/>
    <w:rsid w:val="00D000F5"/>
    <w:rsid w:val="00DC14B4"/>
    <w:rsid w:val="00DD0381"/>
    <w:rsid w:val="00DD4A46"/>
    <w:rsid w:val="00DE268E"/>
    <w:rsid w:val="00E10EC3"/>
    <w:rsid w:val="00E137E3"/>
    <w:rsid w:val="00E36D91"/>
    <w:rsid w:val="00F42EF0"/>
    <w:rsid w:val="00F834F3"/>
    <w:rsid w:val="00F978D4"/>
    <w:rsid w:val="00FE2D62"/>
    <w:rsid w:val="1AABA7AC"/>
    <w:rsid w:val="1F5E441E"/>
    <w:rsid w:val="30BAF083"/>
    <w:rsid w:val="3D777A67"/>
    <w:rsid w:val="3D7F3583"/>
    <w:rsid w:val="3F5E6F83"/>
    <w:rsid w:val="3F9979B0"/>
    <w:rsid w:val="55F605FD"/>
    <w:rsid w:val="5BDA95EA"/>
    <w:rsid w:val="5EEF6127"/>
    <w:rsid w:val="66FF1A99"/>
    <w:rsid w:val="779FEC9D"/>
    <w:rsid w:val="77BF62A5"/>
    <w:rsid w:val="77FDBE53"/>
    <w:rsid w:val="7BAE0204"/>
    <w:rsid w:val="7E3AB001"/>
    <w:rsid w:val="7F4EF092"/>
    <w:rsid w:val="9CFF0B63"/>
    <w:rsid w:val="AEE6058D"/>
    <w:rsid w:val="AFEDC197"/>
    <w:rsid w:val="BBF2D4B4"/>
    <w:rsid w:val="BDFBCA0F"/>
    <w:rsid w:val="BEEFEF22"/>
    <w:rsid w:val="BFEF7413"/>
    <w:rsid w:val="CD2FD3BF"/>
    <w:rsid w:val="CFFF118B"/>
    <w:rsid w:val="D3FFD9EB"/>
    <w:rsid w:val="DBF5B6B6"/>
    <w:rsid w:val="DE7F8390"/>
    <w:rsid w:val="DEDF7D81"/>
    <w:rsid w:val="DEDFD125"/>
    <w:rsid w:val="EBFB4E23"/>
    <w:rsid w:val="EFA7444A"/>
    <w:rsid w:val="F6FF28B8"/>
    <w:rsid w:val="F76498B8"/>
    <w:rsid w:val="F7BC7816"/>
    <w:rsid w:val="F7FF2B5D"/>
    <w:rsid w:val="F9EFDEBE"/>
    <w:rsid w:val="FA1F95A5"/>
    <w:rsid w:val="FB331DE5"/>
    <w:rsid w:val="FC7F185A"/>
    <w:rsid w:val="FEFB65AF"/>
    <w:rsid w:val="FF4FD721"/>
    <w:rsid w:val="FF9F1258"/>
    <w:rsid w:val="FF9F399A"/>
    <w:rsid w:val="FFD75E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19"/>
    <w:unhideWhenUsed/>
    <w:qFormat/>
    <w:uiPriority w:val="99"/>
    <w:pPr>
      <w:widowControl/>
      <w:jc w:val="left"/>
    </w:pPr>
    <w:rPr>
      <w:rFonts w:ascii="宋体" w:hAnsi="宋体" w:eastAsia="宋体" w:cs="宋体"/>
      <w:kern w:val="0"/>
      <w:sz w:val="20"/>
      <w:szCs w:val="20"/>
    </w:r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Emphasis"/>
    <w:basedOn w:val="6"/>
    <w:qFormat/>
    <w:uiPriority w:val="0"/>
    <w:rPr>
      <w:i/>
    </w:rPr>
  </w:style>
  <w:style w:type="character" w:styleId="9">
    <w:name w:val="annotation reference"/>
    <w:basedOn w:val="6"/>
    <w:unhideWhenUsed/>
    <w:qFormat/>
    <w:uiPriority w:val="99"/>
    <w:rPr>
      <w:sz w:val="16"/>
      <w:szCs w:val="16"/>
    </w:rPr>
  </w:style>
  <w:style w:type="paragraph" w:styleId="10">
    <w:name w:val="List Paragraph"/>
    <w:basedOn w:val="1"/>
    <w:qFormat/>
    <w:uiPriority w:val="34"/>
    <w:pPr>
      <w:ind w:left="720"/>
      <w:contextualSpacing/>
    </w:pPr>
    <w:rPr>
      <w:rFonts w:ascii="Calibri" w:hAnsi="Calibri" w:eastAsia="宋体" w:cs="Times New Roman"/>
      <w:szCs w:val="21"/>
    </w:rPr>
  </w:style>
  <w:style w:type="paragraph" w:customStyle="1" w:styleId="11">
    <w:name w:val="列表段落1"/>
    <w:basedOn w:val="1"/>
    <w:qFormat/>
    <w:uiPriority w:val="0"/>
    <w:pPr>
      <w:ind w:firstLine="420" w:firstLineChars="200"/>
    </w:pPr>
    <w:rPr>
      <w:rFonts w:ascii="Times New Roman" w:hAnsi="Times New Roman" w:eastAsia="宋体" w:cs="Times New Roman"/>
      <w:szCs w:val="21"/>
    </w:rPr>
  </w:style>
  <w:style w:type="paragraph" w:customStyle="1" w:styleId="12">
    <w:name w:val="EndNote Bibliography Title"/>
    <w:basedOn w:val="1"/>
    <w:link w:val="13"/>
    <w:uiPriority w:val="0"/>
    <w:pPr>
      <w:jc w:val="center"/>
    </w:pPr>
    <w:rPr>
      <w:rFonts w:ascii="Calibri" w:hAnsi="Calibri" w:cs="Calibri"/>
      <w:sz w:val="20"/>
    </w:rPr>
  </w:style>
  <w:style w:type="character" w:customStyle="1" w:styleId="13">
    <w:name w:val="EndNote Bibliography Title 字符"/>
    <w:basedOn w:val="6"/>
    <w:link w:val="12"/>
    <w:uiPriority w:val="0"/>
    <w:rPr>
      <w:rFonts w:ascii="Calibri" w:hAnsi="Calibri" w:cs="Calibri"/>
      <w:kern w:val="2"/>
      <w:szCs w:val="24"/>
    </w:rPr>
  </w:style>
  <w:style w:type="paragraph" w:customStyle="1" w:styleId="14">
    <w:name w:val="EndNote Bibliography"/>
    <w:basedOn w:val="1"/>
    <w:link w:val="15"/>
    <w:qFormat/>
    <w:uiPriority w:val="0"/>
    <w:rPr>
      <w:rFonts w:ascii="Calibri" w:hAnsi="Calibri" w:cs="Calibri"/>
      <w:sz w:val="20"/>
    </w:rPr>
  </w:style>
  <w:style w:type="character" w:customStyle="1" w:styleId="15">
    <w:name w:val="EndNote Bibliography 字符"/>
    <w:basedOn w:val="6"/>
    <w:link w:val="14"/>
    <w:uiPriority w:val="0"/>
    <w:rPr>
      <w:rFonts w:ascii="Calibri" w:hAnsi="Calibri" w:cs="Calibri"/>
      <w:kern w:val="2"/>
      <w:szCs w:val="24"/>
    </w:rPr>
  </w:style>
  <w:style w:type="character" w:styleId="16">
    <w:name w:val="Placeholder Text"/>
    <w:basedOn w:val="6"/>
    <w:unhideWhenUsed/>
    <w:uiPriority w:val="99"/>
    <w:rPr>
      <w:color w:val="666666"/>
    </w:rPr>
  </w:style>
  <w:style w:type="paragraph" w:customStyle="1" w:styleId="17">
    <w:name w:val="p1"/>
    <w:basedOn w:val="1"/>
    <w:qFormat/>
    <w:uiPriority w:val="0"/>
    <w:pPr>
      <w:widowControl/>
      <w:jc w:val="left"/>
    </w:pPr>
    <w:rPr>
      <w:rFonts w:ascii=".AppleSystemUIFont" w:hAnsi=".AppleSystemUIFont" w:eastAsia="宋体" w:cs="宋体"/>
      <w:color w:val="0E0E0E"/>
      <w:kern w:val="0"/>
      <w:sz w:val="23"/>
      <w:szCs w:val="23"/>
    </w:rPr>
  </w:style>
  <w:style w:type="paragraph" w:customStyle="1" w:styleId="18">
    <w:name w:val="正文3"/>
    <w:qFormat/>
    <w:uiPriority w:val="0"/>
    <w:pPr>
      <w:jc w:val="both"/>
    </w:pPr>
    <w:rPr>
      <w:rFonts w:ascii="Times New Roman" w:hAnsi="Times New Roman" w:eastAsia="宋体" w:cs="Times New Roman"/>
      <w:kern w:val="2"/>
      <w:sz w:val="21"/>
      <w:szCs w:val="21"/>
      <w:lang w:val="en-US" w:eastAsia="zh-CN" w:bidi="ar-SA"/>
    </w:rPr>
  </w:style>
  <w:style w:type="character" w:customStyle="1" w:styleId="19">
    <w:name w:val="批注文字 字符"/>
    <w:basedOn w:val="6"/>
    <w:link w:val="3"/>
    <w:uiPriority w:val="99"/>
    <w:rPr>
      <w:rFonts w:ascii="宋体" w:hAnsi="宋体" w:eastAsia="宋体" w:cs="宋体"/>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1556</Words>
  <Characters>8871</Characters>
  <Lines>73</Lines>
  <Paragraphs>20</Paragraphs>
  <TotalTime>15</TotalTime>
  <ScaleCrop>false</ScaleCrop>
  <LinksUpToDate>false</LinksUpToDate>
  <CharactersWithSpaces>10407</CharactersWithSpaces>
  <Application>WPS Office_12.1.25205.25205_F1E327BC-269C-435d-A152-05C5408002CA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2025-10-08T17:58:00Z</dcterms:created>
  <dc:creator>Roar</dc:creator>
  <cp:lastModifiedBy>胡蔚桓</cp:lastModifiedBy>
  <dcterms:modified xsi:type="dcterms:W3CDTF">2026-08-26T15:34:02Z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2052-12.1.25205.25205</vt:lpwstr>
  </property>
  <property fmtid="{D5CDD505-2E9C-101B-9397-08002B2CF9AE}" pid="3" name="ICV">
    <vt:lpwstr>6BC50665CD312EF15BA9796A8706A348_43</vt:lpwstr>
  </property>
</Properties>
</file>