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93F79">
      <w:pPr>
        <w:spacing w:line="360" w:lineRule="auto"/>
        <w:jc w:val="center"/>
        <w:rPr>
          <w:rFonts w:ascii="Times New Roman" w:hAnsi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color w:val="000000" w:themeColor="text1"/>
          <w:sz w:val="1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4711700</wp:posOffset>
                </wp:positionH>
                <wp:positionV relativeFrom="paragraph">
                  <wp:posOffset>1736725</wp:posOffset>
                </wp:positionV>
                <wp:extent cx="790575" cy="0"/>
                <wp:effectExtent l="0" t="635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1pt;margin-top:136.75pt;height:0pt;width:62.25pt;z-index:251664384;mso-width-relative:page;mso-height-relative:page;" filled="f" stroked="t" coordsize="21600,21600" o:gfxdata="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cO1XA&#10;2gAAAAsBAAAPAAAAAAAAAAEAIAAAACIAAABkcnMvZG93bnJldi54bWxQSwECFAAUAAAACACHTuJA&#10;+YVWd+YBAACxAwAADgAAAAAAAAABACAAAAApAQAAZHJzL2Uyb0RvYy54bWxQSwUGAAAAAAYABgBZ&#10;AQAAgQUAAAAA&#10;">
                <v:fill on="f" focussize="0,0"/>
                <v:stroke weight="1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000000" w:themeColor="text1"/>
          <w:sz w:val="1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4822825</wp:posOffset>
                </wp:positionH>
                <wp:positionV relativeFrom="paragraph">
                  <wp:posOffset>2851785</wp:posOffset>
                </wp:positionV>
                <wp:extent cx="485140" cy="0"/>
                <wp:effectExtent l="0" t="6350" r="0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737225" y="3994785"/>
                          <a:ext cx="48514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9.75pt;margin-top:224.55pt;height:0pt;width:38.2pt;z-index:251663360;mso-width-relative:page;mso-height-relative:page;" filled="f" stroked="t" coordsize="21600,21600" o:gfxdata="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ey9qq9oAAAALAQAADwAAAAAAAAABACAAAAAiAAAAZHJzL2Rvd25yZXYueG1s&#10;UEsBAhQAFAAAAAgAh07iQL6Dckv2AQAAvQMAAA4AAAAAAAAAAQAgAAAAKQEAAGRycy9lMm9Eb2Mu&#10;eG1sUEsFBgAAAAAGAAYAWQEAAJEFAAAAAA==&#10;">
                <v:fill on="f" focussize="0,0"/>
                <v:stroke weight="1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000000" w:themeColor="text1"/>
          <w:sz w:val="1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4944110</wp:posOffset>
                </wp:positionH>
                <wp:positionV relativeFrom="paragraph">
                  <wp:posOffset>1859915</wp:posOffset>
                </wp:positionV>
                <wp:extent cx="549275" cy="0"/>
                <wp:effectExtent l="0" t="6350" r="0" b="635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858510" y="2988945"/>
                          <a:ext cx="5492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9.3pt;margin-top:146.45pt;height:0pt;width:43.25pt;z-index:251662336;mso-width-relative:page;mso-height-relative:page;" filled="f" stroked="t" coordsize="21600,21600" o:gfxdata="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pcbE3dkAAAALAQAADwAAAAAAAAABACAAAAAiAAAAZHJzL2Rvd25yZXYueG1sUEsB&#10;AhQAFAAAAAgAh07iQCfhEVH0AQAAvQMAAA4AAAAAAAAAAQAgAAAAKAEAAGRycy9lMm9Eb2MueG1s&#10;UEsFBgAAAAAGAAYAWQEAAI4FAAAAAA==&#10;">
                <v:fill on="f" focussize="0,0"/>
                <v:stroke weight="1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000000" w:themeColor="text1"/>
          <w:sz w:val="1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4690110</wp:posOffset>
                </wp:positionH>
                <wp:positionV relativeFrom="paragraph">
                  <wp:posOffset>514350</wp:posOffset>
                </wp:positionV>
                <wp:extent cx="803275" cy="0"/>
                <wp:effectExtent l="0" t="6350" r="0" b="635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32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9.3pt;margin-top:40.5pt;height:0pt;width:63.25pt;z-index:251661312;mso-width-relative:page;mso-height-relative:page;" filled="f" stroked="t" coordsize="21600,21600" o:gfxdata="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xCFBT2AAA&#10;AAkBAAAPAAAAAAAAAAEAIAAAACIAAABkcnMvZG93bnJldi54bWxQSwECFAAUAAAACACHTuJAp60g&#10;suUBAACzAwAADgAAAAAAAAABACAAAAAnAQAAZHJzL2Uyb0RvYy54bWxQSwUGAAAAAAYABgBZAQAA&#10;fgUAAAAA&#10;">
                <v:fill on="f" focussize="0,0"/>
                <v:stroke weight="1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000000" w:themeColor="text1"/>
          <w:sz w:val="1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913130</wp:posOffset>
                </wp:positionH>
                <wp:positionV relativeFrom="paragraph">
                  <wp:posOffset>1867535</wp:posOffset>
                </wp:positionV>
                <wp:extent cx="478155" cy="0"/>
                <wp:effectExtent l="0" t="6350" r="0" b="63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48485" y="3010535"/>
                          <a:ext cx="47815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1.9pt;margin-top:147.05pt;height:0pt;width:37.65pt;z-index:251660288;mso-width-relative:page;mso-height-relative:page;" filled="f" stroked="t" coordsize="21600,21600" o:gfxdata="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JxsezfZAAAACwEAAA8AAAAAAAAAAQAgAAAAIgAAAGRycy9kb3ducmV2LnhtbFBL&#10;AQIUABQAAAAIAIdO4kBGPwRT9QEAAL8DAAAOAAAAAAAAAAEAIAAAACgBAABkcnMvZTJvRG9jLnht&#10;bFBLBQYAAAAABgAGAFkBAACPBQAAAAA=&#10;">
                <v:fill on="f" focussize="0,0"/>
                <v:stroke weight="1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000000" w:themeColor="text1"/>
          <w:sz w:val="1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577850</wp:posOffset>
                </wp:positionH>
                <wp:positionV relativeFrom="paragraph">
                  <wp:posOffset>1204595</wp:posOffset>
                </wp:positionV>
                <wp:extent cx="805815" cy="0"/>
                <wp:effectExtent l="0" t="635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492250" y="2347595"/>
                          <a:ext cx="8058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.5pt;margin-top:94.85pt;height:0pt;width:63.45pt;z-index:251659264;mso-width-relative:page;mso-height-relative:page;" filled="f" stroked="t" coordsize="21600,21600" o:gfxdata="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rsDKx2AAAAAoBAAAPAAAAAAAAAAEAIAAAACIAAABkcnMvZG93bnJldi54bWxQSwEC&#10;FAAUAAAACACHTuJAaEcs6fQBAAC/AwAADgAAAAAAAAABACAAAAAnAQAAZHJzL2Uyb0RvYy54bWxQ&#10;SwUGAAAAAAYABgBZAQAAjQUAAAAA&#10;">
                <v:fill on="f" focussize="0,0"/>
                <v:stroke weight="1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5D420FB">
      <w:pPr>
        <w:spacing w:line="360" w:lineRule="auto"/>
        <w:ind w:firstLine="180" w:firstLineChars="100"/>
        <w:jc w:val="center"/>
        <w:rPr>
          <w:rFonts w:hint="default" w:ascii="Times New Roman" w:hAnsi="Times New Roman" w:eastAsia="宋体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575685" cy="2134235"/>
            <wp:effectExtent l="0" t="0" r="5715" b="24765"/>
            <wp:docPr id="16" name="图片 16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ure S3"/>
                    <pic:cNvPicPr>
                      <a:picLocks noChangeAspect="1"/>
                    </pic:cNvPicPr>
                  </pic:nvPicPr>
                  <pic:blipFill>
                    <a:blip r:embed="rId4"/>
                    <a:srcRect l="29994" t="24969" r="22326" b="41832"/>
                    <a:stretch>
                      <a:fillRect/>
                    </a:stretch>
                  </pic:blipFill>
                  <pic:spPr>
                    <a:xfrm>
                      <a:off x="0" y="0"/>
                      <a:ext cx="3575685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C5D02">
      <w:pPr>
        <w:widowControl/>
        <w:spacing w:line="360" w:lineRule="auto"/>
        <w:jc w:val="center"/>
        <w:rPr>
          <w:rFonts w:hint="eastAsia" w:ascii="Times New Roman" w:hAnsi="Times New Roman" w:eastAsia="宋体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The weight change in the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first-generation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(F1) and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second-generation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(F2)  male offspring of the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polycystic ovary syndrome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(PCOS)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murine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model.</w:t>
      </w:r>
    </w:p>
    <w:p w14:paraId="04E2B842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 Bold" w:hAnsi="Times New Roman Bold" w:cs="Times New Roman Bold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Not</w:t>
      </w:r>
      <w:r>
        <w:rPr>
          <w:rFonts w:hint="eastAsia" w:ascii="Times New Roman" w:hAnsi="Times New Roman" w:eastAsia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es: </w:t>
      </w:r>
      <w:r>
        <w:rPr>
          <w:rFonts w:hint="eastAsia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default" w:ascii="Times New Roman" w:hAnsi="Times New Roman" w:eastAsia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weight of F1 mice in adulthood</w:t>
      </w:r>
      <w:r>
        <w:rPr>
          <w:rFonts w:hint="eastAsia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tatistical analysis was performed using one-way ANOVA followed by Dunnett’s multiple comparisons tes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default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; B.</w:t>
      </w:r>
      <w:r>
        <w:rPr>
          <w:rFonts w:hint="default" w:ascii="Times New Roman" w:hAnsi="Times New Roman" w:eastAsia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The weight of </w:t>
      </w:r>
      <w:r>
        <w:rPr>
          <w:rFonts w:hint="default" w:ascii="Times New Roman" w:hAnsi="Times New Roman" w:eastAsia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F2 mice form 3-10 weeks old</w:t>
      </w:r>
      <w:r>
        <w:rPr>
          <w:rFonts w:hint="eastAsia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two-way repeated-measures ANOVA followed by Dunnett’s multiple comparisons test was used for statistical analysis in F2</w:t>
      </w:r>
      <w:r>
        <w:rPr>
          <w:rFonts w:hint="default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N = 6 per group.</w:t>
      </w:r>
      <w:r>
        <w:rPr>
          <w:rFonts w:hint="eastAsia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Data are presented as mean ± SD. </w:t>
      </w:r>
    </w:p>
    <w:p w14:paraId="43D8230F">
      <w:pPr>
        <w:pStyle w:val="5"/>
        <w:spacing w:line="360" w:lineRule="auto"/>
        <w:jc w:val="center"/>
        <w:rPr>
          <w:rFonts w:hint="default" w:ascii="Times New Roman Bold" w:hAnsi="Times New Roman Bold" w:cs="Times New Roman Bold"/>
          <w:b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Bold" w:hAnsi="Times New Roman Bold" w:cs="Times New Roman Bold"/>
          <w:b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830955" cy="2273300"/>
            <wp:effectExtent l="0" t="0" r="0" b="0"/>
            <wp:docPr id="1" name="图片 1" descr="胰岛面积定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胰岛面积定量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30955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78DB8">
      <w:pPr>
        <w:widowControl/>
        <w:spacing w:line="360" w:lineRule="auto"/>
        <w:jc w:val="center"/>
        <w:rPr>
          <w:rFonts w:hint="eastAsia" w:ascii="Times New Roman" w:hAnsi="Times New Roman" w:eastAsia="宋体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The mean islet area in first-generation (F1) and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second-generation (F2) male offspring of thepolycystic ovary syndrome (PCOS)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murine model.</w:t>
      </w:r>
    </w:p>
    <w:p w14:paraId="69AD7C6F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 Bold" w:hAnsi="Times New Roman Bold" w:cs="Times New Roman Bold"/>
          <w:b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Notes: </w:t>
      </w:r>
      <w:r>
        <w:rPr>
          <w:rFonts w:hint="eastAsia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The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mean islet area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of F1 mice in adulthood</w:t>
      </w:r>
      <w:r>
        <w:rPr>
          <w:rFonts w:hint="default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; B.</w:t>
      </w:r>
      <w:r>
        <w:rPr>
          <w:rFonts w:hint="default" w:ascii="Times New Roman" w:hAnsi="Times New Roman" w:eastAsia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The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mean islet area</w:t>
      </w:r>
      <w:r>
        <w:rPr>
          <w:rFonts w:hint="default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default" w:ascii="Times New Roman" w:hAnsi="Times New Roman" w:eastAsia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F2 mice form 3-10 weeks old</w:t>
      </w:r>
      <w:r>
        <w:rPr>
          <w:rFonts w:hint="default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N = </w:t>
      </w:r>
      <w:r>
        <w:rPr>
          <w:rFonts w:hint="eastAsia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per group.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Data are presented as mean ± SD. Statistical analysis was performed using one-way ANOVA followed by Dunnett’s multiple comparisons test. </w:t>
      </w:r>
    </w:p>
    <w:p w14:paraId="09707296">
      <w:pPr>
        <w:pStyle w:val="5"/>
        <w:spacing w:line="360" w:lineRule="auto"/>
        <w:jc w:val="both"/>
        <w:rPr>
          <w:rFonts w:ascii="Times New Roman" w:hAnsi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864735" cy="4097020"/>
            <wp:effectExtent l="0" t="0" r="12065" b="17780"/>
            <wp:docPr id="5" name="图片 5" descr="BSTJ跨代拼图-更改F1F2_01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STJ跨代拼图-更改F1F2_01(2)"/>
                    <pic:cNvPicPr>
                      <a:picLocks noChangeAspect="1"/>
                    </pic:cNvPicPr>
                  </pic:nvPicPr>
                  <pic:blipFill>
                    <a:blip r:embed="rId6"/>
                    <a:srcRect l="3069" t="2280" r="15811" b="29404"/>
                    <a:stretch>
                      <a:fillRect/>
                    </a:stretch>
                  </pic:blipFill>
                  <pic:spPr>
                    <a:xfrm>
                      <a:off x="0" y="0"/>
                      <a:ext cx="4864735" cy="409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AB4C8">
      <w:pPr>
        <w:pStyle w:val="5"/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. The bioinformatics analysis of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first-generation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(F1)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male offspring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’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s 16S rRNA gene sequencing results.</w:t>
      </w:r>
    </w:p>
    <w:p w14:paraId="423E8502">
      <w:pPr>
        <w:widowControl/>
        <w:spacing w:line="360" w:lineRule="auto"/>
        <w:rPr>
          <w:rFonts w:hint="eastAsia" w:ascii="Times New Roman" w:hAnsi="Times New Roman" w:eastAsia="宋体"/>
          <w:color w:val="000000" w:themeColor="text1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Notes: A-B. The ACE and Chao1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were 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the richness indices in 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alpha diversity analysis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; C-D: The Shannon and Simpson were diversity indices in 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alpha diversity analysis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; E. The unweighted pair group method with arithmetic mean (UPGMA) clustering analysis in beta 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diversity analysis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; F.The nonmetric multidimensional scaling (NMDS) 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analysis in beta 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diversity analysis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; G.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The relative 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bundance (%) of Top10 dominant 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phylum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 in F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 Groups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; H. The ratio of Firmicutes/ Bacteroidetes (F/B) in phylum level among groups in F1 male offspring, without significantly difference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 based on one-way ANOVA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; I. The FAPROTAX functional prediction analysis; J. The relative abundance (%) of Top10 dominant genera, different symbols mean significant difference; K.The relative abundance (%) of Top10 dominant speciese, different symbols mean significant difference; L. The relative richness of Kyoto Encyclopedia of Genes and Genomes (KEGG) pathways in level 3 of Phylogenetic Investigation of Communities by Reconstruction of Unobserved States (PICRUSt2) functional prediction. 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For comparisons among three groups, the Tukey’s HSD tests were used and </w:t>
      </w:r>
      <w:r>
        <w:rPr>
          <w:rFonts w:hint="eastAsia" w:ascii="Times New Roman" w:hAnsi="Times New Roman"/>
          <w:color w:val="000000" w:themeColor="text1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significance </w:t>
      </w:r>
      <w:r>
        <w:rPr>
          <w:rFonts w:hint="eastAsia" w:ascii="Times New Roman" w:hAnsi="Times New Roman"/>
          <w:color w:val="000000" w:themeColor="text1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was </w:t>
      </w:r>
      <w:r>
        <w:rPr>
          <w:rFonts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defined as adjusted P-value &lt; 0.05 (* or different symbols)</w:t>
      </w:r>
      <w:r>
        <w:rPr>
          <w:rFonts w:hint="eastAsia" w:ascii="Times New Roman" w:hAnsi="Times New Roman"/>
          <w:color w:val="000000" w:themeColor="text1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.</w:t>
      </w:r>
    </w:p>
    <w:p w14:paraId="7AE74663">
      <w:pPr>
        <w:pStyle w:val="5"/>
        <w:spacing w:line="360" w:lineRule="auto"/>
        <w:jc w:val="both"/>
        <w:rPr>
          <w:rFonts w:hint="eastAsia" w:ascii="Times New Roman" w:hAnsi="Times New Roman" w:eastAsia="DengXian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DengXian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085080" cy="4452620"/>
            <wp:effectExtent l="0" t="0" r="20320" b="17780"/>
            <wp:docPr id="3" name="图片 3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5"/>
                    <pic:cNvPicPr>
                      <a:picLocks noChangeAspect="1"/>
                    </pic:cNvPicPr>
                  </pic:nvPicPr>
                  <pic:blipFill>
                    <a:blip r:embed="rId7"/>
                    <a:srcRect l="4635" t="2380" r="16450" b="28514"/>
                    <a:stretch>
                      <a:fillRect/>
                    </a:stretch>
                  </pic:blipFill>
                  <pic:spPr>
                    <a:xfrm>
                      <a:off x="0" y="0"/>
                      <a:ext cx="5085080" cy="445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F4086">
      <w:pPr>
        <w:pStyle w:val="5"/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. The bioinformatics analysis of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second-generation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(F2)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male offspring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’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s 16S rRNA gene sequencing results.</w:t>
      </w:r>
    </w:p>
    <w:p w14:paraId="7CDBD40B">
      <w:pPr>
        <w:spacing w:line="360" w:lineRule="auto"/>
        <w:rPr>
          <w:rFonts w:hint="eastAsia" w:ascii="Times New Roman" w:hAnsi="Times New Roman" w:eastAsia="宋体"/>
          <w:color w:val="000000" w:themeColor="text1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Notes: A-B. The ACE and Chao</w:t>
      </w:r>
      <w:r>
        <w:rPr>
          <w:rFonts w:hint="eastAsia" w:ascii="Times New Roman" w:hAnsi="Times New Roman"/>
          <w:color w:val="000000" w:themeColor="text1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were the richness indices in alpha diversity analysis; C-D: The Shannon and Simpson were diversity indices in alpha diversity analysis; E. The unweighted pair group method with arithmetic mean (UPGMA) clustering analysis in beta diversity analysis; F.The nonmetric multidimensional scaling (NMDS) analysis in beta diversity analysis; G.The relative abundance (%) of Top10 dominant phylum in F2 Groups; H. The ratio of Firmicutes/ Bacteroidetes (F/B) in phylum level among groups in F2 male offspring, without significantly difference based on one-way ANOVA; I. The FAPROTAX functional prediction analysis; J. The relative abundance (%) of Top10 dominant genera, different symbols mean significant difference; K.The relative abundance (%) of Top10 dominant speciese, different symbols mean significant difference; L. The relative richness of Kyoto Encyclopedia of Genes and Genomes (KEGG) pathways in level 3 of Phylogenetic Investigation of Communities by Reconstruction of Unobserved States (PICRUSt2) functional prediction. For comparisons among three groups, the Tukey</w:t>
      </w:r>
      <w:r>
        <w:rPr>
          <w:rFonts w:hint="default" w:ascii="Times New Roman" w:hAnsi="Times New Roman"/>
          <w:color w:val="000000" w:themeColor="text1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’</w:t>
      </w:r>
      <w:r>
        <w:rPr>
          <w:rFonts w:hint="eastAsia" w:ascii="Times New Roman" w:hAnsi="Times New Roman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s HSD tests were used and the significance was defined as adjusted P-value &lt; 0.05 (* or different symbols)</w:t>
      </w:r>
      <w:r>
        <w:rPr>
          <w:rFonts w:hint="eastAsia" w:ascii="Times New Roman" w:hAnsi="Times New Roman"/>
          <w:color w:val="000000" w:themeColor="text1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.</w:t>
      </w:r>
    </w:p>
    <w:p w14:paraId="010AAAE0">
      <w:pPr>
        <w:pStyle w:val="5"/>
        <w:spacing w:line="360" w:lineRule="auto"/>
        <w:jc w:val="center"/>
        <w:rPr>
          <w:rFonts w:hint="eastAsia" w:ascii="Times New Roman" w:hAnsi="Times New Roman" w:eastAsia="DengXian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DengXian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925060" cy="1842770"/>
            <wp:effectExtent l="0" t="0" r="2540" b="11430"/>
            <wp:docPr id="17" name="图片 17" descr="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ure S6"/>
                    <pic:cNvPicPr>
                      <a:picLocks noChangeAspect="1"/>
                    </pic:cNvPicPr>
                  </pic:nvPicPr>
                  <pic:blipFill>
                    <a:blip r:embed="rId8"/>
                    <a:srcRect l="15915" t="14570" r="41516" b="66850"/>
                    <a:stretch>
                      <a:fillRect/>
                    </a:stretch>
                  </pic:blipFill>
                  <pic:spPr>
                    <a:xfrm>
                      <a:off x="0" y="0"/>
                      <a:ext cx="4925060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BFF28">
      <w:pPr>
        <w:pStyle w:val="5"/>
        <w:spacing w:line="360" w:lineRule="auto"/>
        <w:jc w:val="center"/>
        <w:rPr>
          <w:rFonts w:hint="default" w:ascii="Times New Roman" w:hAnsi="Times New Roman" w:eastAsia="DengXi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. The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PCA for the hepatic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untargeted metabolomics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first-generation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(F1) and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second-generation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(F2)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male offspring of the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polycystic ovary syndrome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(PCOS) 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urine</w:t>
      </w:r>
      <w:r>
        <w:rPr>
          <w:rFonts w:hint="eastAsia" w:ascii="Times New Roman" w:hAnsi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model.</w:t>
      </w:r>
    </w:p>
    <w:p w14:paraId="7A2BE626">
      <w:pPr>
        <w:keepNext w:val="0"/>
        <w:keepLines w:val="0"/>
        <w:widowControl/>
        <w:suppressLineNumbers w:val="0"/>
        <w:spacing w:line="360" w:lineRule="auto"/>
        <w:jc w:val="left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kern w:val="2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Notes: 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The principal component analysis (PCA) of </w:t>
      </w:r>
      <w:r>
        <w:rPr>
          <w:rFonts w:hint="eastAsia" w:ascii="Times New Roman" w:hAnsi="Times New Roman" w:cs="Times New Roman"/>
          <w:color w:val="000000" w:themeColor="text1"/>
          <w:kern w:val="2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hepatic metabolomics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of three groups in F1 and F2 male mice. </w:t>
      </w:r>
    </w:p>
    <w:p w14:paraId="0AC1733F">
      <w:pPr>
        <w:spacing w:line="360" w:lineRule="auto"/>
        <w:jc w:val="both"/>
        <w:outlineLvl w:val="0"/>
        <w:rPr>
          <w:rFonts w:hint="eastAsia" w:ascii="Times New Roman" w:hAnsi="Times New Roman" w:eastAsia="宋体"/>
          <w:color w:val="000000" w:themeColor="text1"/>
          <w:sz w:val="18"/>
          <w:szCs w:val="18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Cambria Math">
    <w:altName w:val="Kingsoft Math"/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@宋体">
    <w:altName w:val="汉仪书宋二KW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74C0A"/>
    <w:rsid w:val="0058607E"/>
    <w:rsid w:val="00726C23"/>
    <w:rsid w:val="00B02246"/>
    <w:rsid w:val="17BFF3C1"/>
    <w:rsid w:val="2E7F39C2"/>
    <w:rsid w:val="2FC74C0A"/>
    <w:rsid w:val="34CB03A4"/>
    <w:rsid w:val="3B4F7369"/>
    <w:rsid w:val="3BEC3A3F"/>
    <w:rsid w:val="3E2EEEAB"/>
    <w:rsid w:val="3E5754A9"/>
    <w:rsid w:val="3EFB89D1"/>
    <w:rsid w:val="3FFDDFE5"/>
    <w:rsid w:val="439F3F8D"/>
    <w:rsid w:val="4FBFED30"/>
    <w:rsid w:val="52FF1CB6"/>
    <w:rsid w:val="57B7C03D"/>
    <w:rsid w:val="5A7F8093"/>
    <w:rsid w:val="5DFBEF23"/>
    <w:rsid w:val="5E7B17B7"/>
    <w:rsid w:val="5E7F9A68"/>
    <w:rsid w:val="5F6FF233"/>
    <w:rsid w:val="5FEDDB40"/>
    <w:rsid w:val="60673AB4"/>
    <w:rsid w:val="65FFA811"/>
    <w:rsid w:val="6F13709B"/>
    <w:rsid w:val="6F2FC203"/>
    <w:rsid w:val="6FBF1FEA"/>
    <w:rsid w:val="6FDBC945"/>
    <w:rsid w:val="6FEB2F1D"/>
    <w:rsid w:val="6FFFE69D"/>
    <w:rsid w:val="71F628F7"/>
    <w:rsid w:val="73E89630"/>
    <w:rsid w:val="75FF3D1D"/>
    <w:rsid w:val="7707F0C8"/>
    <w:rsid w:val="773DDC0E"/>
    <w:rsid w:val="77F3095E"/>
    <w:rsid w:val="77FECF46"/>
    <w:rsid w:val="77FF0B83"/>
    <w:rsid w:val="78CF778B"/>
    <w:rsid w:val="7A7D3E71"/>
    <w:rsid w:val="7BBE4DFE"/>
    <w:rsid w:val="7BFA9865"/>
    <w:rsid w:val="7CFC3C5A"/>
    <w:rsid w:val="7DDD4BF3"/>
    <w:rsid w:val="7EDB1829"/>
    <w:rsid w:val="7EF95961"/>
    <w:rsid w:val="7EFED015"/>
    <w:rsid w:val="7F6125CE"/>
    <w:rsid w:val="7F7A5274"/>
    <w:rsid w:val="7F7E60FC"/>
    <w:rsid w:val="7FB9BBA9"/>
    <w:rsid w:val="7FED8611"/>
    <w:rsid w:val="7FEF889B"/>
    <w:rsid w:val="87EFE49F"/>
    <w:rsid w:val="8FFDF9F6"/>
    <w:rsid w:val="977A4CB3"/>
    <w:rsid w:val="99E7C3F7"/>
    <w:rsid w:val="AD0B64D8"/>
    <w:rsid w:val="B6F93940"/>
    <w:rsid w:val="B77E875C"/>
    <w:rsid w:val="CF4EC10B"/>
    <w:rsid w:val="D5EF1ABD"/>
    <w:rsid w:val="D6AB65D2"/>
    <w:rsid w:val="D732DF98"/>
    <w:rsid w:val="DADFA94C"/>
    <w:rsid w:val="DCDA5C40"/>
    <w:rsid w:val="DED716FB"/>
    <w:rsid w:val="DEFF4C5E"/>
    <w:rsid w:val="DF6EBB6F"/>
    <w:rsid w:val="DFEFDF90"/>
    <w:rsid w:val="E6FF182B"/>
    <w:rsid w:val="E73E818F"/>
    <w:rsid w:val="EAF77F84"/>
    <w:rsid w:val="EFBC69AC"/>
    <w:rsid w:val="EFDEBCD3"/>
    <w:rsid w:val="EFFE349E"/>
    <w:rsid w:val="EFFFF1E3"/>
    <w:rsid w:val="F3BB6C9C"/>
    <w:rsid w:val="F5FB6D09"/>
    <w:rsid w:val="F6F9F84C"/>
    <w:rsid w:val="F7AFCD5D"/>
    <w:rsid w:val="F7FBB5B1"/>
    <w:rsid w:val="FBE19B60"/>
    <w:rsid w:val="FBFFF707"/>
    <w:rsid w:val="FC7C80EE"/>
    <w:rsid w:val="FD7794D4"/>
    <w:rsid w:val="FE35F340"/>
    <w:rsid w:val="FF7FAD65"/>
    <w:rsid w:val="FFCDAEBC"/>
    <w:rsid w:val="FFCECCBE"/>
    <w:rsid w:val="FFFF5FED"/>
    <w:rsid w:val="FFFFE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customStyle="1" w:styleId="5">
    <w:name w:val="EndNote Bibliography"/>
    <w:basedOn w:val="1"/>
    <w:qFormat/>
    <w:uiPriority w:val="0"/>
    <w:rPr>
      <w:rFonts w:ascii="DengXian" w:hAnsi="DengXian" w:eastAsia="DengXian"/>
      <w:sz w:val="20"/>
    </w:rPr>
  </w:style>
  <w:style w:type="paragraph" w:customStyle="1" w:styleId="6">
    <w:name w:val="Revision"/>
    <w:hidden/>
    <w:unhideWhenUsed/>
    <w:uiPriority w:val="99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tif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974</Words>
  <Characters>5557</Characters>
  <Lines>46</Lines>
  <Paragraphs>13</Paragraphs>
  <TotalTime>1</TotalTime>
  <ScaleCrop>false</ScaleCrop>
  <LinksUpToDate>false</LinksUpToDate>
  <CharactersWithSpaces>6518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2025-07-12T02:21:00Z</dcterms:created>
  <dc:creator>Roar</dc:creator>
  <cp:lastModifiedBy>胡蔚桓</cp:lastModifiedBy>
  <dcterms:modified xsi:type="dcterms:W3CDTF">2026-08-10T18:17:22Z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4D11F91BA1A0D1E532A5796A6D423069_43</vt:lpwstr>
  </property>
</Properties>
</file>