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C6419" w14:textId="0936E4A5" w:rsidR="00B667B3" w:rsidRPr="00B74C65" w:rsidRDefault="00B667B3">
      <w:pPr>
        <w:rPr>
          <w:rFonts w:ascii="Times New Roman" w:hAnsi="Times New Roman" w:cs="Times New Roman"/>
          <w:color w:val="EE0000"/>
          <w:sz w:val="24"/>
          <w:szCs w:val="24"/>
        </w:rPr>
      </w:pPr>
      <w:r w:rsidRPr="00B74C65">
        <w:rPr>
          <w:rFonts w:ascii="Times New Roman" w:hAnsi="Times New Roman" w:cs="Times New Roman"/>
          <w:b/>
          <w:bCs/>
          <w:color w:val="EE0000"/>
          <w:sz w:val="24"/>
          <w:szCs w:val="24"/>
        </w:rPr>
        <w:t>Table S1.</w:t>
      </w:r>
      <w:r w:rsidRPr="00B74C65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B74C65" w:rsidRPr="00B74C65">
        <w:rPr>
          <w:rFonts w:ascii="Times New Roman" w:hAnsi="Times New Roman" w:cs="Times New Roman"/>
          <w:color w:val="EE0000"/>
          <w:sz w:val="24"/>
          <w:szCs w:val="24"/>
        </w:rPr>
        <w:t>Between-group effect estimates for WOMAC and KJROM outcomes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07"/>
        <w:gridCol w:w="1378"/>
        <w:gridCol w:w="2264"/>
        <w:gridCol w:w="1984"/>
        <w:gridCol w:w="1129"/>
      </w:tblGrid>
      <w:tr w:rsidR="00B74C65" w:rsidRPr="00B74C65" w14:paraId="0424E443" w14:textId="3870D765" w:rsidTr="00B74C65">
        <w:tc>
          <w:tcPr>
            <w:tcW w:w="2307" w:type="dxa"/>
            <w:vAlign w:val="center"/>
          </w:tcPr>
          <w:p w14:paraId="54677410" w14:textId="017A92D6" w:rsidR="00B74C65" w:rsidRPr="00B74C65" w:rsidRDefault="00B74C65" w:rsidP="00B667B3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lang w:eastAsia="tr-TR"/>
                <w14:ligatures w14:val="none"/>
              </w:rPr>
              <w:t>Outcome</w:t>
            </w:r>
          </w:p>
        </w:tc>
        <w:tc>
          <w:tcPr>
            <w:tcW w:w="1378" w:type="dxa"/>
            <w:vAlign w:val="center"/>
          </w:tcPr>
          <w:p w14:paraId="1FDC68F9" w14:textId="1B3FF244" w:rsidR="00B74C65" w:rsidRPr="00B74C65" w:rsidRDefault="00B74C65" w:rsidP="00B667B3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lang w:eastAsia="tr-TR"/>
                <w14:ligatures w14:val="none"/>
              </w:rPr>
              <w:t>Comparison</w:t>
            </w:r>
          </w:p>
        </w:tc>
        <w:tc>
          <w:tcPr>
            <w:tcW w:w="2264" w:type="dxa"/>
            <w:vAlign w:val="center"/>
          </w:tcPr>
          <w:p w14:paraId="65B3E628" w14:textId="787E9510" w:rsidR="00B74C65" w:rsidRPr="00B74C65" w:rsidRDefault="00B74C65" w:rsidP="00B667B3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lang w:eastAsia="tr-TR"/>
                <w14:ligatures w14:val="none"/>
              </w:rPr>
              <w:t>Between-group mean difference</w:t>
            </w:r>
          </w:p>
        </w:tc>
        <w:tc>
          <w:tcPr>
            <w:tcW w:w="1984" w:type="dxa"/>
            <w:vAlign w:val="center"/>
          </w:tcPr>
          <w:p w14:paraId="4191743B" w14:textId="0DD9BBBC" w:rsidR="00B74C65" w:rsidRPr="00B74C65" w:rsidRDefault="00B74C65" w:rsidP="00B667B3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lang w:eastAsia="tr-TR"/>
                <w14:ligatures w14:val="none"/>
              </w:rPr>
              <w:t>95% CI</w:t>
            </w:r>
          </w:p>
        </w:tc>
        <w:tc>
          <w:tcPr>
            <w:tcW w:w="1129" w:type="dxa"/>
            <w:vAlign w:val="center"/>
          </w:tcPr>
          <w:p w14:paraId="5C041A74" w14:textId="5B2429A0" w:rsidR="00B74C65" w:rsidRPr="00B74C65" w:rsidRDefault="00B74C65" w:rsidP="00B74C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EE0000"/>
                <w:kern w:val="0"/>
                <w:lang w:eastAsia="tr-TR"/>
                <w14:ligatures w14:val="none"/>
              </w:rPr>
            </w:pPr>
            <w:proofErr w:type="gramStart"/>
            <w:r w:rsidRPr="00B74C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EE0000"/>
                <w:kern w:val="0"/>
                <w:lang w:eastAsia="tr-TR"/>
                <w14:ligatures w14:val="none"/>
              </w:rPr>
              <w:t>p</w:t>
            </w:r>
            <w:proofErr w:type="gramEnd"/>
          </w:p>
        </w:tc>
      </w:tr>
      <w:tr w:rsidR="00B74C65" w:rsidRPr="00B74C65" w14:paraId="0B8D141A" w14:textId="2477A909" w:rsidTr="00B74C65">
        <w:tc>
          <w:tcPr>
            <w:tcW w:w="2307" w:type="dxa"/>
            <w:vAlign w:val="center"/>
          </w:tcPr>
          <w:p w14:paraId="1655963D" w14:textId="65A0A1D5" w:rsidR="00B74C65" w:rsidRPr="00B74C65" w:rsidRDefault="00B74C65" w:rsidP="00B74C65">
            <w:pPr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WOMAC Pain</w:t>
            </w:r>
          </w:p>
        </w:tc>
        <w:tc>
          <w:tcPr>
            <w:tcW w:w="1378" w:type="dxa"/>
            <w:vAlign w:val="center"/>
          </w:tcPr>
          <w:p w14:paraId="6C7168F7" w14:textId="43077D45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1-2</w:t>
            </w:r>
          </w:p>
        </w:tc>
        <w:tc>
          <w:tcPr>
            <w:tcW w:w="2264" w:type="dxa"/>
            <w:vAlign w:val="center"/>
          </w:tcPr>
          <w:p w14:paraId="55D4BE85" w14:textId="4A2532CF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−6.76</w:t>
            </w:r>
          </w:p>
        </w:tc>
        <w:tc>
          <w:tcPr>
            <w:tcW w:w="1984" w:type="dxa"/>
            <w:vAlign w:val="center"/>
          </w:tcPr>
          <w:p w14:paraId="5D9DD8A5" w14:textId="101AF9FB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−10.19 to −3.33</w:t>
            </w:r>
          </w:p>
        </w:tc>
        <w:tc>
          <w:tcPr>
            <w:tcW w:w="1129" w:type="dxa"/>
            <w:vAlign w:val="center"/>
          </w:tcPr>
          <w:p w14:paraId="1D9C9065" w14:textId="75F4D04C" w:rsidR="00B74C65" w:rsidRPr="00B74C65" w:rsidRDefault="00B74C65" w:rsidP="00B74C65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&lt;0.001</w:t>
            </w:r>
          </w:p>
        </w:tc>
      </w:tr>
      <w:tr w:rsidR="00B74C65" w:rsidRPr="00B74C65" w14:paraId="51DDBFC6" w14:textId="1A5C292B" w:rsidTr="00B74C65">
        <w:tc>
          <w:tcPr>
            <w:tcW w:w="2307" w:type="dxa"/>
            <w:vAlign w:val="center"/>
          </w:tcPr>
          <w:p w14:paraId="3E48DAF9" w14:textId="77777777" w:rsidR="00B74C65" w:rsidRPr="00B74C65" w:rsidRDefault="00B74C65" w:rsidP="00B74C65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378" w:type="dxa"/>
            <w:vAlign w:val="center"/>
          </w:tcPr>
          <w:p w14:paraId="0C055EC6" w14:textId="139286CB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1-3</w:t>
            </w:r>
          </w:p>
        </w:tc>
        <w:tc>
          <w:tcPr>
            <w:tcW w:w="2264" w:type="dxa"/>
            <w:vAlign w:val="center"/>
          </w:tcPr>
          <w:p w14:paraId="45117D03" w14:textId="4BE7E3B4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−4.56</w:t>
            </w:r>
          </w:p>
        </w:tc>
        <w:tc>
          <w:tcPr>
            <w:tcW w:w="1984" w:type="dxa"/>
            <w:vAlign w:val="center"/>
          </w:tcPr>
          <w:p w14:paraId="4AF5C6F0" w14:textId="1A17400B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−7.99 to −1.13</w:t>
            </w:r>
          </w:p>
        </w:tc>
        <w:tc>
          <w:tcPr>
            <w:tcW w:w="1129" w:type="dxa"/>
            <w:vAlign w:val="center"/>
          </w:tcPr>
          <w:p w14:paraId="5CA40C1E" w14:textId="09009CB3" w:rsidR="00B74C65" w:rsidRPr="00B74C65" w:rsidRDefault="00B74C65" w:rsidP="00B74C65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0.010</w:t>
            </w:r>
          </w:p>
        </w:tc>
      </w:tr>
      <w:tr w:rsidR="00B74C65" w:rsidRPr="00B74C65" w14:paraId="53A67DDD" w14:textId="24EC6B91" w:rsidTr="00B74C65">
        <w:tc>
          <w:tcPr>
            <w:tcW w:w="2307" w:type="dxa"/>
            <w:vAlign w:val="center"/>
          </w:tcPr>
          <w:p w14:paraId="7722E178" w14:textId="2AFB01E0" w:rsidR="00B74C65" w:rsidRPr="00B74C65" w:rsidRDefault="00B74C65" w:rsidP="00B74C65">
            <w:pPr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WOMAC Stiffness</w:t>
            </w:r>
          </w:p>
        </w:tc>
        <w:tc>
          <w:tcPr>
            <w:tcW w:w="1378" w:type="dxa"/>
            <w:vAlign w:val="center"/>
          </w:tcPr>
          <w:p w14:paraId="1030C34A" w14:textId="04A566C1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hAnsi="Times New Roman" w:cs="Times New Roman"/>
                <w:color w:val="EE0000"/>
              </w:rPr>
              <w:t>1-2</w:t>
            </w:r>
          </w:p>
        </w:tc>
        <w:tc>
          <w:tcPr>
            <w:tcW w:w="2264" w:type="dxa"/>
            <w:vAlign w:val="center"/>
          </w:tcPr>
          <w:p w14:paraId="39C0A9C0" w14:textId="77882311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−3.04</w:t>
            </w:r>
          </w:p>
        </w:tc>
        <w:tc>
          <w:tcPr>
            <w:tcW w:w="1984" w:type="dxa"/>
            <w:vAlign w:val="center"/>
          </w:tcPr>
          <w:p w14:paraId="2F3D099C" w14:textId="3CB62B2D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−4.50 to −1.58</w:t>
            </w:r>
          </w:p>
        </w:tc>
        <w:tc>
          <w:tcPr>
            <w:tcW w:w="1129" w:type="dxa"/>
            <w:vAlign w:val="center"/>
          </w:tcPr>
          <w:p w14:paraId="1CE75313" w14:textId="33A33BAF" w:rsidR="00B74C65" w:rsidRPr="00B74C65" w:rsidRDefault="00B74C65" w:rsidP="00B74C65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&lt;0.001</w:t>
            </w:r>
          </w:p>
        </w:tc>
      </w:tr>
      <w:tr w:rsidR="00B74C65" w:rsidRPr="00B74C65" w14:paraId="49647557" w14:textId="716AB89F" w:rsidTr="00B74C65">
        <w:tc>
          <w:tcPr>
            <w:tcW w:w="2307" w:type="dxa"/>
            <w:vAlign w:val="center"/>
          </w:tcPr>
          <w:p w14:paraId="3537591C" w14:textId="77777777" w:rsidR="00B74C65" w:rsidRPr="00B74C65" w:rsidRDefault="00B74C65" w:rsidP="00B74C65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378" w:type="dxa"/>
            <w:vAlign w:val="center"/>
          </w:tcPr>
          <w:p w14:paraId="27624823" w14:textId="08B7A731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hAnsi="Times New Roman" w:cs="Times New Roman"/>
                <w:color w:val="EE0000"/>
              </w:rPr>
              <w:t>1-3</w:t>
            </w:r>
          </w:p>
        </w:tc>
        <w:tc>
          <w:tcPr>
            <w:tcW w:w="2264" w:type="dxa"/>
            <w:vAlign w:val="center"/>
          </w:tcPr>
          <w:p w14:paraId="00762CB4" w14:textId="1835765A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−2.12</w:t>
            </w:r>
          </w:p>
        </w:tc>
        <w:tc>
          <w:tcPr>
            <w:tcW w:w="1984" w:type="dxa"/>
            <w:vAlign w:val="center"/>
          </w:tcPr>
          <w:p w14:paraId="509D9B87" w14:textId="560A2300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−3.58 to −0.66</w:t>
            </w:r>
          </w:p>
        </w:tc>
        <w:tc>
          <w:tcPr>
            <w:tcW w:w="1129" w:type="dxa"/>
            <w:vAlign w:val="center"/>
          </w:tcPr>
          <w:p w14:paraId="263998DC" w14:textId="5DED9BB4" w:rsidR="00B74C65" w:rsidRPr="00B74C65" w:rsidRDefault="00B74C65" w:rsidP="00B74C65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0.005</w:t>
            </w:r>
          </w:p>
        </w:tc>
      </w:tr>
      <w:tr w:rsidR="00B74C65" w:rsidRPr="00B74C65" w14:paraId="33DB5806" w14:textId="2B37ABB8" w:rsidTr="00B74C65">
        <w:tc>
          <w:tcPr>
            <w:tcW w:w="2307" w:type="dxa"/>
            <w:vAlign w:val="center"/>
          </w:tcPr>
          <w:p w14:paraId="0027BB3F" w14:textId="64AA2B64" w:rsidR="00B74C65" w:rsidRPr="00B74C65" w:rsidRDefault="00B74C65" w:rsidP="00B74C65">
            <w:pPr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WOMAC Physical Function</w:t>
            </w:r>
          </w:p>
        </w:tc>
        <w:tc>
          <w:tcPr>
            <w:tcW w:w="1378" w:type="dxa"/>
            <w:vAlign w:val="center"/>
          </w:tcPr>
          <w:p w14:paraId="0F46FD56" w14:textId="657DD351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hAnsi="Times New Roman" w:cs="Times New Roman"/>
                <w:color w:val="EE0000"/>
              </w:rPr>
              <w:t>1-2</w:t>
            </w:r>
          </w:p>
        </w:tc>
        <w:tc>
          <w:tcPr>
            <w:tcW w:w="2264" w:type="dxa"/>
            <w:vAlign w:val="center"/>
          </w:tcPr>
          <w:p w14:paraId="31718E7B" w14:textId="7F7B2706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−23.88</w:t>
            </w:r>
          </w:p>
        </w:tc>
        <w:tc>
          <w:tcPr>
            <w:tcW w:w="1984" w:type="dxa"/>
            <w:vAlign w:val="center"/>
          </w:tcPr>
          <w:p w14:paraId="6C73DC67" w14:textId="3294FAD4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−35.17 to −12.59</w:t>
            </w:r>
          </w:p>
        </w:tc>
        <w:tc>
          <w:tcPr>
            <w:tcW w:w="1129" w:type="dxa"/>
            <w:vAlign w:val="center"/>
          </w:tcPr>
          <w:p w14:paraId="11C38D42" w14:textId="1867755A" w:rsidR="00B74C65" w:rsidRPr="00B74C65" w:rsidRDefault="00B74C65" w:rsidP="00B74C65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&lt;0.001</w:t>
            </w:r>
          </w:p>
        </w:tc>
      </w:tr>
      <w:tr w:rsidR="00B74C65" w:rsidRPr="00B74C65" w14:paraId="0520E9E4" w14:textId="160EE788" w:rsidTr="00B74C65">
        <w:tc>
          <w:tcPr>
            <w:tcW w:w="2307" w:type="dxa"/>
            <w:vAlign w:val="center"/>
          </w:tcPr>
          <w:p w14:paraId="4671E9AA" w14:textId="77777777" w:rsidR="00B74C65" w:rsidRPr="00B74C65" w:rsidRDefault="00B74C65" w:rsidP="00B74C65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378" w:type="dxa"/>
            <w:vAlign w:val="center"/>
          </w:tcPr>
          <w:p w14:paraId="1B1DEB0A" w14:textId="46E2B587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hAnsi="Times New Roman" w:cs="Times New Roman"/>
                <w:color w:val="EE0000"/>
              </w:rPr>
              <w:t>1-3</w:t>
            </w:r>
          </w:p>
        </w:tc>
        <w:tc>
          <w:tcPr>
            <w:tcW w:w="2264" w:type="dxa"/>
            <w:vAlign w:val="center"/>
          </w:tcPr>
          <w:p w14:paraId="65CE8EA9" w14:textId="540DCB78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−17.32</w:t>
            </w:r>
          </w:p>
        </w:tc>
        <w:tc>
          <w:tcPr>
            <w:tcW w:w="1984" w:type="dxa"/>
            <w:vAlign w:val="center"/>
          </w:tcPr>
          <w:p w14:paraId="4043D3CB" w14:textId="3043A944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−28.61 to −6.03</w:t>
            </w:r>
          </w:p>
        </w:tc>
        <w:tc>
          <w:tcPr>
            <w:tcW w:w="1129" w:type="dxa"/>
            <w:vAlign w:val="center"/>
          </w:tcPr>
          <w:p w14:paraId="54D51BFB" w14:textId="2EC1540B" w:rsidR="00B74C65" w:rsidRPr="00B74C65" w:rsidRDefault="00B74C65" w:rsidP="00B74C65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0.003</w:t>
            </w:r>
          </w:p>
        </w:tc>
      </w:tr>
      <w:tr w:rsidR="00B74C65" w:rsidRPr="00B74C65" w14:paraId="73E3CE02" w14:textId="3A4E470D" w:rsidTr="00B74C65">
        <w:tc>
          <w:tcPr>
            <w:tcW w:w="2307" w:type="dxa"/>
            <w:vAlign w:val="center"/>
          </w:tcPr>
          <w:p w14:paraId="06874D40" w14:textId="39B34519" w:rsidR="00B74C65" w:rsidRPr="00B74C65" w:rsidRDefault="00B74C65" w:rsidP="00B74C65">
            <w:pPr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KJROM (Right Knee)</w:t>
            </w:r>
          </w:p>
        </w:tc>
        <w:tc>
          <w:tcPr>
            <w:tcW w:w="1378" w:type="dxa"/>
            <w:vAlign w:val="center"/>
          </w:tcPr>
          <w:p w14:paraId="0FAB3DBC" w14:textId="7FA5C885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hAnsi="Times New Roman" w:cs="Times New Roman"/>
                <w:color w:val="EE0000"/>
              </w:rPr>
              <w:t>1-2</w:t>
            </w:r>
          </w:p>
        </w:tc>
        <w:tc>
          <w:tcPr>
            <w:tcW w:w="2264" w:type="dxa"/>
            <w:vAlign w:val="center"/>
          </w:tcPr>
          <w:p w14:paraId="376C1297" w14:textId="49C208A1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4.61</w:t>
            </w:r>
          </w:p>
        </w:tc>
        <w:tc>
          <w:tcPr>
            <w:tcW w:w="1984" w:type="dxa"/>
            <w:vAlign w:val="center"/>
          </w:tcPr>
          <w:p w14:paraId="4811F4A9" w14:textId="33D1F223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2.28 to 6.93</w:t>
            </w:r>
          </w:p>
        </w:tc>
        <w:tc>
          <w:tcPr>
            <w:tcW w:w="1129" w:type="dxa"/>
            <w:vAlign w:val="center"/>
          </w:tcPr>
          <w:p w14:paraId="68089F94" w14:textId="184306E7" w:rsidR="00B74C65" w:rsidRPr="00B74C65" w:rsidRDefault="00B74C65" w:rsidP="00B74C65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&lt;0.001</w:t>
            </w:r>
          </w:p>
        </w:tc>
      </w:tr>
      <w:tr w:rsidR="00B74C65" w:rsidRPr="00B74C65" w14:paraId="34215DD0" w14:textId="2DDED326" w:rsidTr="00B74C65">
        <w:tc>
          <w:tcPr>
            <w:tcW w:w="2307" w:type="dxa"/>
            <w:vAlign w:val="center"/>
          </w:tcPr>
          <w:p w14:paraId="281FE74C" w14:textId="77777777" w:rsidR="00B74C65" w:rsidRPr="00B74C65" w:rsidRDefault="00B74C65" w:rsidP="00B74C65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378" w:type="dxa"/>
            <w:vAlign w:val="center"/>
          </w:tcPr>
          <w:p w14:paraId="6AF904EE" w14:textId="12775575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hAnsi="Times New Roman" w:cs="Times New Roman"/>
                <w:color w:val="EE0000"/>
              </w:rPr>
              <w:t>1-3</w:t>
            </w:r>
          </w:p>
        </w:tc>
        <w:tc>
          <w:tcPr>
            <w:tcW w:w="2264" w:type="dxa"/>
            <w:vAlign w:val="center"/>
          </w:tcPr>
          <w:p w14:paraId="6E3F12BF" w14:textId="5E6C8BC1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4.10</w:t>
            </w:r>
          </w:p>
        </w:tc>
        <w:tc>
          <w:tcPr>
            <w:tcW w:w="1984" w:type="dxa"/>
            <w:vAlign w:val="center"/>
          </w:tcPr>
          <w:p w14:paraId="04BF25FF" w14:textId="053A6207" w:rsidR="00B74C65" w:rsidRPr="00B74C65" w:rsidRDefault="00B74C65" w:rsidP="00B74C65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1.83 to 6.36</w:t>
            </w:r>
          </w:p>
        </w:tc>
        <w:tc>
          <w:tcPr>
            <w:tcW w:w="1129" w:type="dxa"/>
            <w:vAlign w:val="center"/>
          </w:tcPr>
          <w:p w14:paraId="58571F3C" w14:textId="2BCF6423" w:rsidR="00B74C65" w:rsidRPr="00B74C65" w:rsidRDefault="00B74C65" w:rsidP="00B74C65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&lt;0.001</w:t>
            </w:r>
          </w:p>
        </w:tc>
      </w:tr>
      <w:tr w:rsidR="00B74C65" w:rsidRPr="00B74C65" w14:paraId="059FCEB0" w14:textId="533BFC4E" w:rsidTr="00B74C65">
        <w:tc>
          <w:tcPr>
            <w:tcW w:w="2307" w:type="dxa"/>
            <w:vAlign w:val="center"/>
          </w:tcPr>
          <w:p w14:paraId="441D11FB" w14:textId="3910199C" w:rsidR="00B74C65" w:rsidRPr="00B74C65" w:rsidRDefault="00B74C65" w:rsidP="00B74C65">
            <w:pPr>
              <w:rPr>
                <w:rFonts w:ascii="Times New Roman" w:hAnsi="Times New Roman" w:cs="Times New Roman"/>
                <w:color w:val="EE0000"/>
              </w:rPr>
            </w:pPr>
            <w:r w:rsidRPr="00B74C65">
              <w:rPr>
                <w:rFonts w:ascii="Times New Roman" w:hAnsi="Times New Roman" w:cs="Times New Roman"/>
                <w:color w:val="EE0000"/>
              </w:rPr>
              <w:t>KJROM (Left Knee)</w:t>
            </w:r>
          </w:p>
        </w:tc>
        <w:tc>
          <w:tcPr>
            <w:tcW w:w="1378" w:type="dxa"/>
            <w:vAlign w:val="center"/>
          </w:tcPr>
          <w:p w14:paraId="2A479DBB" w14:textId="33D963CE" w:rsidR="00B74C65" w:rsidRPr="00B74C65" w:rsidRDefault="00B74C65" w:rsidP="00B74C65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1-2</w:t>
            </w:r>
          </w:p>
        </w:tc>
        <w:tc>
          <w:tcPr>
            <w:tcW w:w="2264" w:type="dxa"/>
            <w:vAlign w:val="center"/>
          </w:tcPr>
          <w:p w14:paraId="187AD6B8" w14:textId="4E415207" w:rsidR="00B74C65" w:rsidRPr="00B74C65" w:rsidRDefault="00B74C65" w:rsidP="00B74C65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6.45</w:t>
            </w:r>
          </w:p>
        </w:tc>
        <w:tc>
          <w:tcPr>
            <w:tcW w:w="1984" w:type="dxa"/>
            <w:vAlign w:val="center"/>
          </w:tcPr>
          <w:p w14:paraId="3B8C04C5" w14:textId="3AF4C30A" w:rsidR="00B74C65" w:rsidRPr="00B74C65" w:rsidRDefault="00B74C65" w:rsidP="00B74C65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4.29 to 8.62</w:t>
            </w:r>
          </w:p>
        </w:tc>
        <w:tc>
          <w:tcPr>
            <w:tcW w:w="1129" w:type="dxa"/>
            <w:vAlign w:val="center"/>
          </w:tcPr>
          <w:p w14:paraId="3F4B25D6" w14:textId="5AEB3112" w:rsidR="00B74C65" w:rsidRPr="00B74C65" w:rsidRDefault="00B74C65" w:rsidP="00B74C65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&lt;0.001</w:t>
            </w:r>
          </w:p>
        </w:tc>
      </w:tr>
      <w:tr w:rsidR="00B74C65" w:rsidRPr="00B74C65" w14:paraId="4B11DC60" w14:textId="40F752FE" w:rsidTr="00B74C65">
        <w:tc>
          <w:tcPr>
            <w:tcW w:w="2307" w:type="dxa"/>
            <w:vAlign w:val="center"/>
          </w:tcPr>
          <w:p w14:paraId="3918952E" w14:textId="77777777" w:rsidR="00B74C65" w:rsidRPr="00B74C65" w:rsidRDefault="00B74C65" w:rsidP="00B74C65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378" w:type="dxa"/>
            <w:vAlign w:val="center"/>
          </w:tcPr>
          <w:p w14:paraId="7F1FE3AB" w14:textId="156A7522" w:rsidR="00B74C65" w:rsidRPr="00B74C65" w:rsidRDefault="00B74C65" w:rsidP="00B74C65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1-3</w:t>
            </w:r>
          </w:p>
        </w:tc>
        <w:tc>
          <w:tcPr>
            <w:tcW w:w="2264" w:type="dxa"/>
            <w:vAlign w:val="center"/>
          </w:tcPr>
          <w:p w14:paraId="056E0EC9" w14:textId="0BC66299" w:rsidR="00B74C65" w:rsidRPr="00B74C65" w:rsidRDefault="00B74C65" w:rsidP="00B74C65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5.84</w:t>
            </w:r>
          </w:p>
        </w:tc>
        <w:tc>
          <w:tcPr>
            <w:tcW w:w="1984" w:type="dxa"/>
            <w:vAlign w:val="center"/>
          </w:tcPr>
          <w:p w14:paraId="6A39EBA4" w14:textId="54C14001" w:rsidR="00B74C65" w:rsidRPr="00B74C65" w:rsidRDefault="00B74C65" w:rsidP="00B74C65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3.73 to 7.94</w:t>
            </w:r>
          </w:p>
        </w:tc>
        <w:tc>
          <w:tcPr>
            <w:tcW w:w="1129" w:type="dxa"/>
            <w:vAlign w:val="center"/>
          </w:tcPr>
          <w:p w14:paraId="6B37A25A" w14:textId="14C13797" w:rsidR="00B74C65" w:rsidRPr="00B74C65" w:rsidRDefault="00B74C65" w:rsidP="00B74C65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B74C65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&lt;0.001</w:t>
            </w:r>
          </w:p>
        </w:tc>
      </w:tr>
    </w:tbl>
    <w:p w14:paraId="6C2A86E1" w14:textId="79FF5EC9" w:rsidR="00B667B3" w:rsidRPr="00B74C65" w:rsidRDefault="00B74C65" w:rsidP="00B74C65">
      <w:pPr>
        <w:jc w:val="both"/>
        <w:rPr>
          <w:rFonts w:ascii="Times New Roman" w:hAnsi="Times New Roman" w:cs="Times New Roman"/>
          <w:color w:val="EE0000"/>
        </w:rPr>
      </w:pPr>
      <w:r w:rsidRPr="00B74C65">
        <w:rPr>
          <w:rFonts w:ascii="Times New Roman" w:hAnsi="Times New Roman" w:cs="Times New Roman"/>
          <w:color w:val="EE0000"/>
          <w:sz w:val="20"/>
          <w:szCs w:val="20"/>
        </w:rPr>
        <w:t xml:space="preserve">1: </w:t>
      </w:r>
      <w:r w:rsidRPr="00F630FA">
        <w:rPr>
          <w:rFonts w:ascii="Times New Roman" w:hAnsi="Times New Roman" w:cs="Times New Roman"/>
          <w:i/>
          <w:iCs/>
          <w:color w:val="EE0000"/>
          <w:sz w:val="20"/>
          <w:szCs w:val="20"/>
        </w:rPr>
        <w:t xml:space="preserve">Nigella </w:t>
      </w:r>
      <w:r w:rsidR="00F630FA" w:rsidRPr="00F630FA">
        <w:rPr>
          <w:rFonts w:ascii="Times New Roman" w:hAnsi="Times New Roman" w:cs="Times New Roman"/>
          <w:i/>
          <w:iCs/>
          <w:color w:val="EE0000"/>
          <w:sz w:val="20"/>
          <w:szCs w:val="20"/>
        </w:rPr>
        <w:t>sativa</w:t>
      </w:r>
      <w:r w:rsidR="00F630FA" w:rsidRPr="00B74C65">
        <w:rPr>
          <w:rFonts w:ascii="Times New Roman" w:hAnsi="Times New Roman" w:cs="Times New Roman"/>
          <w:color w:val="EE0000"/>
          <w:sz w:val="20"/>
          <w:szCs w:val="20"/>
        </w:rPr>
        <w:t xml:space="preserve"> oil</w:t>
      </w:r>
      <w:r w:rsidRPr="00B74C65">
        <w:rPr>
          <w:rFonts w:ascii="Times New Roman" w:hAnsi="Times New Roman" w:cs="Times New Roman"/>
          <w:color w:val="EE0000"/>
          <w:sz w:val="20"/>
          <w:szCs w:val="20"/>
        </w:rPr>
        <w:t xml:space="preserve">; 2: Naproxen and Lidocaine Gel; 3: Vaseline. WOMAC estimates represent between-group differences in changes from baseline to Day 21; negative values favor the </w:t>
      </w:r>
      <w:r w:rsidRPr="005E5921">
        <w:rPr>
          <w:rFonts w:ascii="Times New Roman" w:hAnsi="Times New Roman" w:cs="Times New Roman"/>
          <w:i/>
          <w:iCs/>
          <w:color w:val="EE0000"/>
          <w:sz w:val="20"/>
          <w:szCs w:val="20"/>
        </w:rPr>
        <w:t xml:space="preserve">Nigella </w:t>
      </w:r>
      <w:r w:rsidR="005E5921" w:rsidRPr="005E5921">
        <w:rPr>
          <w:rFonts w:ascii="Times New Roman" w:hAnsi="Times New Roman" w:cs="Times New Roman"/>
          <w:i/>
          <w:iCs/>
          <w:color w:val="EE0000"/>
          <w:sz w:val="20"/>
          <w:szCs w:val="20"/>
        </w:rPr>
        <w:t>sativa</w:t>
      </w:r>
      <w:r w:rsidR="005E5921" w:rsidRPr="00B74C65">
        <w:rPr>
          <w:rFonts w:ascii="Times New Roman" w:hAnsi="Times New Roman" w:cs="Times New Roman"/>
          <w:color w:val="EE0000"/>
          <w:sz w:val="20"/>
          <w:szCs w:val="20"/>
        </w:rPr>
        <w:t xml:space="preserve"> o</w:t>
      </w:r>
      <w:r w:rsidRPr="00B74C65">
        <w:rPr>
          <w:rFonts w:ascii="Times New Roman" w:hAnsi="Times New Roman" w:cs="Times New Roman"/>
          <w:color w:val="EE0000"/>
          <w:sz w:val="20"/>
          <w:szCs w:val="20"/>
        </w:rPr>
        <w:t xml:space="preserve">il group. KJROM estimates represent baseline-adjusted differences in final measurements derived from analysis of covariance; positive values favor the </w:t>
      </w:r>
      <w:r w:rsidRPr="005E5921">
        <w:rPr>
          <w:rFonts w:ascii="Times New Roman" w:hAnsi="Times New Roman" w:cs="Times New Roman"/>
          <w:i/>
          <w:iCs/>
          <w:color w:val="EE0000"/>
          <w:sz w:val="20"/>
          <w:szCs w:val="20"/>
        </w:rPr>
        <w:t xml:space="preserve">Nigella </w:t>
      </w:r>
      <w:r w:rsidR="005E5921" w:rsidRPr="005E5921">
        <w:rPr>
          <w:rFonts w:ascii="Times New Roman" w:hAnsi="Times New Roman" w:cs="Times New Roman"/>
          <w:i/>
          <w:iCs/>
          <w:color w:val="EE0000"/>
          <w:sz w:val="20"/>
          <w:szCs w:val="20"/>
        </w:rPr>
        <w:t>sativ</w:t>
      </w:r>
      <w:r w:rsidR="005E5921" w:rsidRPr="00B74C65">
        <w:rPr>
          <w:rFonts w:ascii="Times New Roman" w:hAnsi="Times New Roman" w:cs="Times New Roman"/>
          <w:color w:val="EE0000"/>
          <w:sz w:val="20"/>
          <w:szCs w:val="20"/>
        </w:rPr>
        <w:t>a oi</w:t>
      </w:r>
      <w:r w:rsidRPr="00B74C65">
        <w:rPr>
          <w:rFonts w:ascii="Times New Roman" w:hAnsi="Times New Roman" w:cs="Times New Roman"/>
          <w:color w:val="EE0000"/>
          <w:sz w:val="20"/>
          <w:szCs w:val="20"/>
        </w:rPr>
        <w:t>l group. The 95% confidence intervals and two-sided p values were unadjusted. CI, confidence interval; KJROM, knee joint range of motion; WOMAC, Western Ontario and McMaster Universities Osteoarthritis Index.</w:t>
      </w:r>
    </w:p>
    <w:sectPr w:rsidR="00B667B3" w:rsidRPr="00B74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08"/>
    <w:rsid w:val="000751C9"/>
    <w:rsid w:val="002D2929"/>
    <w:rsid w:val="00485025"/>
    <w:rsid w:val="005E5921"/>
    <w:rsid w:val="00650EB9"/>
    <w:rsid w:val="00840EFF"/>
    <w:rsid w:val="009D6956"/>
    <w:rsid w:val="00B01A32"/>
    <w:rsid w:val="00B667B3"/>
    <w:rsid w:val="00B74C65"/>
    <w:rsid w:val="00D06208"/>
    <w:rsid w:val="00EF389A"/>
    <w:rsid w:val="00F6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6AF03"/>
  <w15:chartTrackingRefBased/>
  <w15:docId w15:val="{B0E07412-CC49-44AF-9C53-77A4E3DBF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06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06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062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06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062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06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06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06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06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062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062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062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0620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0620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0620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0620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0620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0620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06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06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06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06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06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0620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0620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0620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062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0620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06208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D06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Sultan Çeçen</dc:creator>
  <cp:keywords/>
  <dc:description/>
  <cp:lastModifiedBy>Sultan Çeçen</cp:lastModifiedBy>
  <cp:revision>6</cp:revision>
  <dcterms:created xsi:type="dcterms:W3CDTF">2026-04-10T16:15:00Z</dcterms:created>
  <dcterms:modified xsi:type="dcterms:W3CDTF">2026-08-19T14:27:00Z</dcterms:modified>
</cp:coreProperties>
</file>