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0AF" w:rsidRPr="001B4E51" w:rsidRDefault="003F70AF" w:rsidP="003F70AF">
      <w:pPr>
        <w:pStyle w:val="BodyText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b/>
          <w:bCs/>
          <w:sz w:val="20"/>
          <w:szCs w:val="20"/>
        </w:rPr>
        <w:t>Supplementary Table S1.</w:t>
      </w:r>
      <w:proofErr w:type="gramEnd"/>
      <w: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Within-group and between-group comparisons for all outcomes.</w:t>
      </w:r>
      <w:proofErr w:type="gramEnd"/>
    </w:p>
    <w:tbl>
      <w:tblPr>
        <w:tblStyle w:val="Table"/>
        <w:tblW w:w="4965" w:type="pct"/>
        <w:tblLook w:val="0020" w:firstRow="1" w:lastRow="0" w:firstColumn="0" w:lastColumn="0" w:noHBand="0" w:noVBand="0"/>
      </w:tblPr>
      <w:tblGrid>
        <w:gridCol w:w="2927"/>
        <w:gridCol w:w="1505"/>
        <w:gridCol w:w="1889"/>
        <w:gridCol w:w="3188"/>
      </w:tblGrid>
      <w:tr w:rsidR="003F70AF" w:rsidTr="001F18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8"/>
          <w:tblHeader/>
        </w:trPr>
        <w:tc>
          <w:tcPr>
            <w:tcW w:w="0" w:type="auto"/>
          </w:tcPr>
          <w:p w:rsidR="003F70AF" w:rsidRPr="001B4E51" w:rsidRDefault="003F70AF" w:rsidP="001F18C6">
            <w:pPr>
              <w:pStyle w:val="Compact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en-US"/>
              </w:rPr>
              <w:t>Outcome</w:t>
            </w:r>
          </w:p>
        </w:tc>
        <w:tc>
          <w:tcPr>
            <w:tcW w:w="0" w:type="auto"/>
          </w:tcPr>
          <w:p w:rsidR="003F70AF" w:rsidRPr="001B4E51" w:rsidRDefault="003F70AF" w:rsidP="001F18C6">
            <w:pPr>
              <w:pStyle w:val="Compact"/>
              <w:jc w:val="center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en-US"/>
              </w:rPr>
              <w:t>Within BT, p</w:t>
            </w:r>
          </w:p>
        </w:tc>
        <w:tc>
          <w:tcPr>
            <w:tcW w:w="0" w:type="auto"/>
          </w:tcPr>
          <w:p w:rsidR="003F70AF" w:rsidRPr="001B4E51" w:rsidRDefault="003F70AF" w:rsidP="001F18C6">
            <w:pPr>
              <w:pStyle w:val="Compact"/>
              <w:jc w:val="center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en-US"/>
              </w:rPr>
              <w:t>Within control, p</w:t>
            </w:r>
          </w:p>
        </w:tc>
        <w:tc>
          <w:tcPr>
            <w:tcW w:w="0" w:type="auto"/>
          </w:tcPr>
          <w:p w:rsidR="003F70AF" w:rsidRPr="001B4E51" w:rsidRDefault="003F70AF" w:rsidP="001F18C6">
            <w:pPr>
              <w:pStyle w:val="Compact"/>
              <w:jc w:val="center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en-US"/>
              </w:rPr>
              <w:t>Between groups, p (ANCOVA)</w:t>
            </w:r>
          </w:p>
        </w:tc>
      </w:tr>
      <w:tr w:rsidR="003F70AF" w:rsidTr="001F18C6">
        <w:trPr>
          <w:trHeight w:val="296"/>
        </w:trPr>
        <w:tc>
          <w:tcPr>
            <w:tcW w:w="0" w:type="auto"/>
          </w:tcPr>
          <w:p w:rsidR="003F70AF" w:rsidRPr="001B4E51" w:rsidRDefault="003F70AF" w:rsidP="001F18C6">
            <w:pPr>
              <w:pStyle w:val="Compact"/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  <w:t>NRS mean pain, last 7 days</w:t>
            </w:r>
          </w:p>
        </w:tc>
        <w:tc>
          <w:tcPr>
            <w:tcW w:w="0" w:type="auto"/>
          </w:tcPr>
          <w:p w:rsidR="003F70AF" w:rsidRPr="001B4E51" w:rsidRDefault="003F70AF" w:rsidP="001F18C6">
            <w:pPr>
              <w:pStyle w:val="Comp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  <w:t>0.004</w:t>
            </w:r>
          </w:p>
        </w:tc>
        <w:tc>
          <w:tcPr>
            <w:tcW w:w="0" w:type="auto"/>
          </w:tcPr>
          <w:p w:rsidR="003F70AF" w:rsidRPr="001B4E51" w:rsidRDefault="003F70AF" w:rsidP="001F18C6">
            <w:pPr>
              <w:pStyle w:val="Comp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  <w:t>0.897</w:t>
            </w:r>
          </w:p>
        </w:tc>
        <w:tc>
          <w:tcPr>
            <w:tcW w:w="0" w:type="auto"/>
          </w:tcPr>
          <w:p w:rsidR="003F70AF" w:rsidRPr="001B4E51" w:rsidRDefault="003F70AF" w:rsidP="001F18C6">
            <w:pPr>
              <w:pStyle w:val="Comp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  <w:t>0.028</w:t>
            </w:r>
          </w:p>
        </w:tc>
      </w:tr>
      <w:tr w:rsidR="003F70AF" w:rsidTr="001F18C6">
        <w:trPr>
          <w:trHeight w:val="308"/>
        </w:trPr>
        <w:tc>
          <w:tcPr>
            <w:tcW w:w="0" w:type="auto"/>
          </w:tcPr>
          <w:p w:rsidR="003F70AF" w:rsidRPr="001B4E51" w:rsidRDefault="003F70AF" w:rsidP="001F18C6">
            <w:pPr>
              <w:pStyle w:val="Compact"/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  <w:t>NRS pain at rest</w:t>
            </w:r>
          </w:p>
        </w:tc>
        <w:tc>
          <w:tcPr>
            <w:tcW w:w="0" w:type="auto"/>
          </w:tcPr>
          <w:p w:rsidR="003F70AF" w:rsidRPr="001B4E51" w:rsidRDefault="003F70AF" w:rsidP="001F18C6">
            <w:pPr>
              <w:pStyle w:val="Comp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  <w:t>0.007</w:t>
            </w:r>
          </w:p>
        </w:tc>
        <w:tc>
          <w:tcPr>
            <w:tcW w:w="0" w:type="auto"/>
          </w:tcPr>
          <w:p w:rsidR="003F70AF" w:rsidRPr="001B4E51" w:rsidRDefault="003F70AF" w:rsidP="001F18C6">
            <w:pPr>
              <w:pStyle w:val="Comp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  <w:t>0.912</w:t>
            </w:r>
          </w:p>
        </w:tc>
        <w:tc>
          <w:tcPr>
            <w:tcW w:w="0" w:type="auto"/>
          </w:tcPr>
          <w:p w:rsidR="003F70AF" w:rsidRPr="001B4E51" w:rsidRDefault="003F70AF" w:rsidP="001F18C6">
            <w:pPr>
              <w:pStyle w:val="Comp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  <w:t>0.067</w:t>
            </w:r>
          </w:p>
        </w:tc>
      </w:tr>
      <w:tr w:rsidR="003F70AF" w:rsidTr="001F18C6">
        <w:trPr>
          <w:trHeight w:val="296"/>
        </w:trPr>
        <w:tc>
          <w:tcPr>
            <w:tcW w:w="0" w:type="auto"/>
          </w:tcPr>
          <w:p w:rsidR="003F70AF" w:rsidRPr="001B4E51" w:rsidRDefault="003F70AF" w:rsidP="001F18C6">
            <w:pPr>
              <w:pStyle w:val="Compact"/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  <w:t>NRS pain on movement</w:t>
            </w:r>
          </w:p>
        </w:tc>
        <w:tc>
          <w:tcPr>
            <w:tcW w:w="0" w:type="auto"/>
          </w:tcPr>
          <w:p w:rsidR="003F70AF" w:rsidRPr="001B4E51" w:rsidRDefault="003F70AF" w:rsidP="001F18C6">
            <w:pPr>
              <w:pStyle w:val="Comp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  <w:t>0.020</w:t>
            </w:r>
          </w:p>
        </w:tc>
        <w:tc>
          <w:tcPr>
            <w:tcW w:w="0" w:type="auto"/>
          </w:tcPr>
          <w:p w:rsidR="003F70AF" w:rsidRPr="001B4E51" w:rsidRDefault="003F70AF" w:rsidP="001F18C6">
            <w:pPr>
              <w:pStyle w:val="Comp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  <w:t>0.391</w:t>
            </w:r>
          </w:p>
        </w:tc>
        <w:tc>
          <w:tcPr>
            <w:tcW w:w="0" w:type="auto"/>
          </w:tcPr>
          <w:p w:rsidR="003F70AF" w:rsidRPr="001B4E51" w:rsidRDefault="003F70AF" w:rsidP="001F18C6">
            <w:pPr>
              <w:pStyle w:val="Comp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  <w:t>0.645</w:t>
            </w:r>
          </w:p>
        </w:tc>
      </w:tr>
      <w:tr w:rsidR="003F70AF" w:rsidTr="001F18C6">
        <w:trPr>
          <w:trHeight w:val="308"/>
        </w:trPr>
        <w:tc>
          <w:tcPr>
            <w:tcW w:w="0" w:type="auto"/>
          </w:tcPr>
          <w:p w:rsidR="003F70AF" w:rsidRPr="001B4E51" w:rsidRDefault="003F70AF" w:rsidP="001F18C6">
            <w:pPr>
              <w:pStyle w:val="Compact"/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  <w:t>Oswestry</w:t>
            </w:r>
            <w:proofErr w:type="spellEnd"/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  <w:t xml:space="preserve"> Disability Index</w:t>
            </w:r>
          </w:p>
        </w:tc>
        <w:tc>
          <w:tcPr>
            <w:tcW w:w="0" w:type="auto"/>
          </w:tcPr>
          <w:p w:rsidR="003F70AF" w:rsidRPr="001B4E51" w:rsidRDefault="003F70AF" w:rsidP="001F18C6">
            <w:pPr>
              <w:pStyle w:val="Comp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  <w:t>0.039</w:t>
            </w:r>
          </w:p>
        </w:tc>
        <w:tc>
          <w:tcPr>
            <w:tcW w:w="0" w:type="auto"/>
          </w:tcPr>
          <w:p w:rsidR="003F70AF" w:rsidRPr="001B4E51" w:rsidRDefault="003F70AF" w:rsidP="001F18C6">
            <w:pPr>
              <w:pStyle w:val="Comp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  <w:t>0.820</w:t>
            </w:r>
          </w:p>
        </w:tc>
        <w:tc>
          <w:tcPr>
            <w:tcW w:w="0" w:type="auto"/>
          </w:tcPr>
          <w:p w:rsidR="003F70AF" w:rsidRPr="001B4E51" w:rsidRDefault="003F70AF" w:rsidP="001F18C6">
            <w:pPr>
              <w:pStyle w:val="Comp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  <w:t>0.380</w:t>
            </w:r>
          </w:p>
        </w:tc>
      </w:tr>
      <w:tr w:rsidR="003F70AF" w:rsidTr="001F18C6">
        <w:trPr>
          <w:trHeight w:val="308"/>
        </w:trPr>
        <w:tc>
          <w:tcPr>
            <w:tcW w:w="0" w:type="auto"/>
          </w:tcPr>
          <w:p w:rsidR="003F70AF" w:rsidRPr="001B4E51" w:rsidRDefault="003F70AF" w:rsidP="001F18C6">
            <w:pPr>
              <w:pStyle w:val="Compact"/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  <w:t>Fatigue Assessment Scale</w:t>
            </w:r>
          </w:p>
        </w:tc>
        <w:tc>
          <w:tcPr>
            <w:tcW w:w="0" w:type="auto"/>
          </w:tcPr>
          <w:p w:rsidR="003F70AF" w:rsidRPr="001B4E51" w:rsidRDefault="003F70AF" w:rsidP="001F18C6">
            <w:pPr>
              <w:pStyle w:val="Comp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  <w:t>0.004</w:t>
            </w:r>
          </w:p>
        </w:tc>
        <w:tc>
          <w:tcPr>
            <w:tcW w:w="0" w:type="auto"/>
          </w:tcPr>
          <w:p w:rsidR="003F70AF" w:rsidRPr="001B4E51" w:rsidRDefault="003F70AF" w:rsidP="001F18C6">
            <w:pPr>
              <w:pStyle w:val="Comp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  <w:t>0.094</w:t>
            </w:r>
          </w:p>
        </w:tc>
        <w:tc>
          <w:tcPr>
            <w:tcW w:w="0" w:type="auto"/>
          </w:tcPr>
          <w:p w:rsidR="003F70AF" w:rsidRPr="001B4E51" w:rsidRDefault="003F70AF" w:rsidP="001F18C6">
            <w:pPr>
              <w:pStyle w:val="Comp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  <w:t>0.623</w:t>
            </w:r>
          </w:p>
        </w:tc>
      </w:tr>
      <w:tr w:rsidR="003F70AF" w:rsidTr="001F18C6">
        <w:trPr>
          <w:trHeight w:val="296"/>
        </w:trPr>
        <w:tc>
          <w:tcPr>
            <w:tcW w:w="0" w:type="auto"/>
          </w:tcPr>
          <w:p w:rsidR="003F70AF" w:rsidRPr="001B4E51" w:rsidRDefault="003F70AF" w:rsidP="001F18C6">
            <w:pPr>
              <w:pStyle w:val="Compact"/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  <w:t xml:space="preserve">Modified </w:t>
            </w:r>
            <w:proofErr w:type="spellStart"/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  <w:t>Schober</w:t>
            </w:r>
            <w:proofErr w:type="spellEnd"/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  <w:t xml:space="preserve"> test</w:t>
            </w:r>
          </w:p>
        </w:tc>
        <w:tc>
          <w:tcPr>
            <w:tcW w:w="0" w:type="auto"/>
          </w:tcPr>
          <w:p w:rsidR="003F70AF" w:rsidRPr="001B4E51" w:rsidRDefault="003F70AF" w:rsidP="001F18C6">
            <w:pPr>
              <w:pStyle w:val="Comp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  <w:t>0.041</w:t>
            </w:r>
          </w:p>
        </w:tc>
        <w:tc>
          <w:tcPr>
            <w:tcW w:w="0" w:type="auto"/>
          </w:tcPr>
          <w:p w:rsidR="003F70AF" w:rsidRPr="001B4E51" w:rsidRDefault="003F70AF" w:rsidP="001F18C6">
            <w:pPr>
              <w:pStyle w:val="Comp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  <w:t>0.197</w:t>
            </w:r>
          </w:p>
        </w:tc>
        <w:tc>
          <w:tcPr>
            <w:tcW w:w="0" w:type="auto"/>
          </w:tcPr>
          <w:p w:rsidR="003F70AF" w:rsidRPr="001B4E51" w:rsidRDefault="003F70AF" w:rsidP="001F18C6">
            <w:pPr>
              <w:pStyle w:val="Comp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  <w:t>0.171</w:t>
            </w:r>
          </w:p>
        </w:tc>
      </w:tr>
      <w:tr w:rsidR="003F70AF" w:rsidTr="001F18C6">
        <w:trPr>
          <w:trHeight w:val="308"/>
        </w:trPr>
        <w:tc>
          <w:tcPr>
            <w:tcW w:w="0" w:type="auto"/>
          </w:tcPr>
          <w:p w:rsidR="003F70AF" w:rsidRPr="001B4E51" w:rsidRDefault="003F70AF" w:rsidP="001F18C6">
            <w:pPr>
              <w:pStyle w:val="Compact"/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  <w:t>Fingertip-to-floor distance</w:t>
            </w:r>
          </w:p>
        </w:tc>
        <w:tc>
          <w:tcPr>
            <w:tcW w:w="0" w:type="auto"/>
          </w:tcPr>
          <w:p w:rsidR="003F70AF" w:rsidRPr="001B4E51" w:rsidRDefault="003F70AF" w:rsidP="001F18C6">
            <w:pPr>
              <w:pStyle w:val="Comp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  <w:t>0.059</w:t>
            </w:r>
          </w:p>
        </w:tc>
        <w:tc>
          <w:tcPr>
            <w:tcW w:w="0" w:type="auto"/>
          </w:tcPr>
          <w:p w:rsidR="003F70AF" w:rsidRPr="001B4E51" w:rsidRDefault="003F70AF" w:rsidP="001F18C6">
            <w:pPr>
              <w:pStyle w:val="Comp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  <w:t>0.232</w:t>
            </w:r>
          </w:p>
        </w:tc>
        <w:tc>
          <w:tcPr>
            <w:tcW w:w="0" w:type="auto"/>
          </w:tcPr>
          <w:p w:rsidR="003F70AF" w:rsidRPr="001B4E51" w:rsidRDefault="003F70AF" w:rsidP="001F18C6">
            <w:pPr>
              <w:pStyle w:val="Comp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  <w:t>0.043</w:t>
            </w:r>
          </w:p>
        </w:tc>
      </w:tr>
      <w:tr w:rsidR="003F70AF" w:rsidTr="001F18C6">
        <w:trPr>
          <w:trHeight w:val="296"/>
        </w:trPr>
        <w:tc>
          <w:tcPr>
            <w:tcW w:w="0" w:type="auto"/>
          </w:tcPr>
          <w:p w:rsidR="003F70AF" w:rsidRPr="001B4E51" w:rsidRDefault="003F70AF" w:rsidP="001F18C6">
            <w:pPr>
              <w:pStyle w:val="Compact"/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  <w:t>Pressure pain threshold, mean</w:t>
            </w:r>
          </w:p>
        </w:tc>
        <w:tc>
          <w:tcPr>
            <w:tcW w:w="0" w:type="auto"/>
          </w:tcPr>
          <w:p w:rsidR="003F70AF" w:rsidRPr="001B4E51" w:rsidRDefault="003F70AF" w:rsidP="001F18C6">
            <w:pPr>
              <w:pStyle w:val="Comp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  <w:t>0.353</w:t>
            </w:r>
          </w:p>
        </w:tc>
        <w:tc>
          <w:tcPr>
            <w:tcW w:w="0" w:type="auto"/>
          </w:tcPr>
          <w:p w:rsidR="003F70AF" w:rsidRPr="001B4E51" w:rsidRDefault="003F70AF" w:rsidP="001F18C6">
            <w:pPr>
              <w:pStyle w:val="Comp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  <w:t>0.010</w:t>
            </w:r>
          </w:p>
        </w:tc>
        <w:tc>
          <w:tcPr>
            <w:tcW w:w="0" w:type="auto"/>
          </w:tcPr>
          <w:p w:rsidR="003F70AF" w:rsidRPr="001B4E51" w:rsidRDefault="003F70AF" w:rsidP="001F18C6">
            <w:pPr>
              <w:pStyle w:val="Comp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  <w:t>0.735</w:t>
            </w:r>
          </w:p>
        </w:tc>
      </w:tr>
      <w:tr w:rsidR="003F70AF" w:rsidTr="001F18C6">
        <w:trPr>
          <w:trHeight w:val="308"/>
        </w:trPr>
        <w:tc>
          <w:tcPr>
            <w:tcW w:w="0" w:type="auto"/>
          </w:tcPr>
          <w:p w:rsidR="003F70AF" w:rsidRPr="001B4E51" w:rsidRDefault="003F70AF" w:rsidP="001F18C6">
            <w:pPr>
              <w:pStyle w:val="Compact"/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  <w:t>Mean lumbar temperature</w:t>
            </w:r>
          </w:p>
        </w:tc>
        <w:tc>
          <w:tcPr>
            <w:tcW w:w="0" w:type="auto"/>
          </w:tcPr>
          <w:p w:rsidR="003F70AF" w:rsidRPr="001B4E51" w:rsidRDefault="003F70AF" w:rsidP="001F18C6">
            <w:pPr>
              <w:pStyle w:val="Comp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  <w:t>0.417</w:t>
            </w:r>
          </w:p>
        </w:tc>
        <w:tc>
          <w:tcPr>
            <w:tcW w:w="0" w:type="auto"/>
          </w:tcPr>
          <w:p w:rsidR="003F70AF" w:rsidRPr="001B4E51" w:rsidRDefault="003F70AF" w:rsidP="001F18C6">
            <w:pPr>
              <w:pStyle w:val="Comp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  <w:t>0.266</w:t>
            </w:r>
          </w:p>
        </w:tc>
        <w:tc>
          <w:tcPr>
            <w:tcW w:w="0" w:type="auto"/>
          </w:tcPr>
          <w:p w:rsidR="003F70AF" w:rsidRPr="001B4E51" w:rsidRDefault="003F70AF" w:rsidP="001F18C6">
            <w:pPr>
              <w:pStyle w:val="Comp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  <w:t>0.912</w:t>
            </w:r>
          </w:p>
        </w:tc>
      </w:tr>
    </w:tbl>
    <w:p w:rsidR="003F70AF" w:rsidRPr="00EC0983" w:rsidRDefault="003F70AF" w:rsidP="003F70AF">
      <w:pPr>
        <w:pStyle w:val="BodyText"/>
        <w:spacing w:before="24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Within-group p values from Wilcoxon signed-rank test; between-group p values from analysis of covariance adjusted for baseline. This table is provided to make explicit that within-group significance in the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balneotherapy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arm alongside non-significance in the control arm does not, in itself, indicate a between-group difference.</w:t>
      </w:r>
    </w:p>
    <w:p w:rsidR="00D26639" w:rsidRDefault="00D26639">
      <w:bookmarkStart w:id="0" w:name="_GoBack"/>
      <w:bookmarkEnd w:id="0"/>
    </w:p>
    <w:sectPr w:rsidR="00D266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0AF"/>
    <w:rsid w:val="003F70AF"/>
    <w:rsid w:val="00D26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0A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3F70A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3F70AF"/>
    <w:rPr>
      <w:rFonts w:eastAsiaTheme="minorEastAsia"/>
    </w:rPr>
  </w:style>
  <w:style w:type="paragraph" w:customStyle="1" w:styleId="Compact">
    <w:name w:val="Compact"/>
    <w:basedOn w:val="BodyText"/>
    <w:qFormat/>
    <w:rsid w:val="003F70AF"/>
    <w:pPr>
      <w:spacing w:before="36" w:after="36" w:line="240" w:lineRule="auto"/>
    </w:pPr>
    <w:rPr>
      <w:rFonts w:ascii="Arial" w:eastAsia="Arial" w:hAnsi="Arial" w:cs="Arial"/>
      <w:sz w:val="18"/>
      <w:szCs w:val="18"/>
      <w:lang w:eastAsia="pt-PT"/>
    </w:rPr>
  </w:style>
  <w:style w:type="table" w:customStyle="1" w:styleId="Table">
    <w:name w:val="Table"/>
    <w:semiHidden/>
    <w:unhideWhenUsed/>
    <w:qFormat/>
    <w:rsid w:val="003F70AF"/>
    <w:pPr>
      <w:spacing w:line="240" w:lineRule="auto"/>
    </w:pPr>
    <w:rPr>
      <w:rFonts w:ascii="Arial" w:eastAsia="Arial" w:hAnsi="Arial" w:cs="Arial"/>
      <w:sz w:val="20"/>
      <w:szCs w:val="20"/>
      <w:lang w:eastAsia="pt-PT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0A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3F70A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3F70AF"/>
    <w:rPr>
      <w:rFonts w:eastAsiaTheme="minorEastAsia"/>
    </w:rPr>
  </w:style>
  <w:style w:type="paragraph" w:customStyle="1" w:styleId="Compact">
    <w:name w:val="Compact"/>
    <w:basedOn w:val="BodyText"/>
    <w:qFormat/>
    <w:rsid w:val="003F70AF"/>
    <w:pPr>
      <w:spacing w:before="36" w:after="36" w:line="240" w:lineRule="auto"/>
    </w:pPr>
    <w:rPr>
      <w:rFonts w:ascii="Arial" w:eastAsia="Arial" w:hAnsi="Arial" w:cs="Arial"/>
      <w:sz w:val="18"/>
      <w:szCs w:val="18"/>
      <w:lang w:eastAsia="pt-PT"/>
    </w:rPr>
  </w:style>
  <w:style w:type="table" w:customStyle="1" w:styleId="Table">
    <w:name w:val="Table"/>
    <w:semiHidden/>
    <w:unhideWhenUsed/>
    <w:qFormat/>
    <w:rsid w:val="003F70AF"/>
    <w:pPr>
      <w:spacing w:line="240" w:lineRule="auto"/>
    </w:pPr>
    <w:rPr>
      <w:rFonts w:ascii="Arial" w:eastAsia="Arial" w:hAnsi="Arial" w:cs="Arial"/>
      <w:sz w:val="20"/>
      <w:szCs w:val="20"/>
      <w:lang w:eastAsia="pt-PT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Jenny Cuizon</dc:creator>
  <cp:lastModifiedBy>Jenny Cuizon</cp:lastModifiedBy>
  <cp:revision>1</cp:revision>
  <dcterms:created xsi:type="dcterms:W3CDTF">2026-09-26T01:38:00Z</dcterms:created>
  <dcterms:modified xsi:type="dcterms:W3CDTF">2026-09-26T01:39:00Z</dcterms:modified>
</cp:coreProperties>
</file>