
<file path=[Content_Types].xml><?xml version="1.0" encoding="utf-8"?>
<Types xmlns="http://schemas.openxmlformats.org/package/2006/content-types">
  <Default Extension="jpeg" ContentType="image/jpeg"/>
  <Default Extension="JPG" ContentType="image/.jp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6DC507">
      <w:pP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drawing>
          <wp:inline distT="0" distB="0" distL="114300" distR="114300">
            <wp:extent cx="5481320" cy="4110990"/>
            <wp:effectExtent l="0" t="0" r="5080" b="3810"/>
            <wp:docPr id="3" name="图片 3" descr="Supplementary Fig. Original photographs of the checkerboard ass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ary Fig. Original photographs of the checkerboard assay"/>
                    <pic:cNvPicPr>
                      <a:picLocks noChangeAspect="1"/>
                    </pic:cNvPicPr>
                  </pic:nvPicPr>
                  <pic:blipFill>
                    <a:blip r:embed="rId4"/>
                    <a:stretch>
                      <a:fillRect/>
                    </a:stretch>
                  </pic:blipFill>
                  <pic:spPr>
                    <a:xfrm>
                      <a:off x="0" y="0"/>
                      <a:ext cx="5481320" cy="4110990"/>
                    </a:xfrm>
                    <a:prstGeom prst="rect">
                      <a:avLst/>
                    </a:prstGeom>
                  </pic:spPr>
                </pic:pic>
              </a:graphicData>
            </a:graphic>
          </wp:inline>
        </w:drawing>
      </w:r>
    </w:p>
    <w:p w14:paraId="1539135F">
      <w:pP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 xml:space="preserve">Supplementary Fig. </w:t>
      </w:r>
      <w:r>
        <w:rPr>
          <w:rFonts w:hint="eastAsia" w:ascii="Times New Roman" w:hAnsi="Times New Roman" w:cs="Times New Roman"/>
          <w:sz w:val="24"/>
          <w:szCs w:val="24"/>
          <w:lang w:val="en-US" w:eastAsia="zh-CN"/>
        </w:rPr>
        <w:t>1</w:t>
      </w:r>
      <w:r>
        <w:rPr>
          <w:rFonts w:hint="default" w:ascii="Times New Roman" w:hAnsi="Times New Roman" w:cs="Times New Roman" w:eastAsiaTheme="minorEastAsia"/>
          <w:sz w:val="24"/>
          <w:szCs w:val="24"/>
          <w:lang w:eastAsia="zh-CN"/>
        </w:rPr>
        <w:t xml:space="preserve"> Original photograph of broth microdilution checkerboard synergy assay plate for CZA combined with BCL against CRAB. Vertical axis indicates gradient concentrations of CZA (μg/mL); horizontal axis shows serial two‑fold dilutions of BCL (μg/mL). Turbid wells represent visible bacterial growth; clear wells indicate complete growth inhibition. The four wells in the upper‑right corner serve as positive control (bacteria without drug); the four wells in the bottom‑right corner are negative control (sterile culture medium only).</w:t>
      </w:r>
    </w:p>
    <w:p w14:paraId="41E5A152">
      <w:pPr>
        <w:rPr>
          <w:rFonts w:hint="default" w:ascii="Times New Roman" w:hAnsi="Times New Roman" w:cs="Times New Roman" w:eastAsiaTheme="minorEastAsia"/>
          <w:sz w:val="24"/>
          <w:szCs w:val="24"/>
          <w:lang w:eastAsia="zh-CN"/>
        </w:rPr>
      </w:pPr>
    </w:p>
    <w:p w14:paraId="628105B9">
      <w:pPr>
        <w:rPr>
          <w:rFonts w:hint="default" w:ascii="Times New Roman" w:hAnsi="Times New Roman" w:cs="Times New Roman" w:eastAsiaTheme="minorEastAsia"/>
          <w:sz w:val="24"/>
          <w:szCs w:val="24"/>
          <w:lang w:eastAsia="zh-CN"/>
        </w:rPr>
      </w:pPr>
    </w:p>
    <w:p w14:paraId="4E37AC62">
      <w:pPr>
        <w:rPr>
          <w:rFonts w:hint="default" w:ascii="Times New Roman" w:hAnsi="Times New Roman" w:cs="Times New Roman" w:eastAsiaTheme="minorEastAsia"/>
          <w:sz w:val="24"/>
          <w:szCs w:val="24"/>
          <w:lang w:eastAsia="zh-CN"/>
        </w:rPr>
      </w:pPr>
    </w:p>
    <w:p w14:paraId="6CEF4A37">
      <w:pPr>
        <w:rPr>
          <w:rFonts w:hint="default" w:ascii="Times New Roman" w:hAnsi="Times New Roman" w:cs="Times New Roman" w:eastAsiaTheme="minorEastAsia"/>
          <w:sz w:val="24"/>
          <w:szCs w:val="24"/>
          <w:lang w:eastAsia="zh-CN"/>
        </w:rPr>
      </w:pPr>
    </w:p>
    <w:p w14:paraId="3AE3BFD5">
      <w:pP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drawing>
          <wp:inline distT="0" distB="0" distL="114300" distR="114300">
            <wp:extent cx="4472305" cy="3983355"/>
            <wp:effectExtent l="0" t="0" r="4445" b="17145"/>
            <wp:docPr id="1" name="图片 1" descr="Supplementary 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 Fig. 1"/>
                    <pic:cNvPicPr>
                      <a:picLocks noChangeAspect="1"/>
                    </pic:cNvPicPr>
                  </pic:nvPicPr>
                  <pic:blipFill>
                    <a:blip r:embed="rId5"/>
                    <a:stretch>
                      <a:fillRect/>
                    </a:stretch>
                  </pic:blipFill>
                  <pic:spPr>
                    <a:xfrm>
                      <a:off x="0" y="0"/>
                      <a:ext cx="4472305" cy="3983355"/>
                    </a:xfrm>
                    <a:prstGeom prst="rect">
                      <a:avLst/>
                    </a:prstGeom>
                  </pic:spPr>
                </pic:pic>
              </a:graphicData>
            </a:graphic>
          </wp:inline>
        </w:drawing>
      </w:r>
    </w:p>
    <w:p w14:paraId="144CAA95">
      <w:pPr>
        <w:rPr>
          <w:rFonts w:hint="default" w:ascii="Times New Roman" w:hAnsi="Times New Roman" w:cs="Times New Roman" w:eastAsiaTheme="minorEastAsia"/>
          <w:sz w:val="24"/>
          <w:szCs w:val="24"/>
          <w:lang w:eastAsia="zh-CN"/>
        </w:rPr>
      </w:pPr>
    </w:p>
    <w:p w14:paraId="01C99824">
      <w:pP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Supplementary Fig.</w:t>
      </w:r>
      <w:r>
        <w:rPr>
          <w:rFonts w:hint="eastAsia" w:ascii="Times New Roman" w:hAnsi="Times New Roman" w:cs="Times New Roman"/>
          <w:sz w:val="24"/>
          <w:szCs w:val="24"/>
          <w:lang w:val="en-US" w:eastAsia="zh-CN"/>
        </w:rPr>
        <w:t xml:space="preserve"> 2</w:t>
      </w:r>
      <w:r>
        <w:rPr>
          <w:rFonts w:hint="default" w:ascii="Times New Roman" w:hAnsi="Times New Roman" w:cs="Times New Roman" w:eastAsiaTheme="minorEastAsia"/>
          <w:sz w:val="24"/>
          <w:szCs w:val="24"/>
          <w:lang w:eastAsia="zh-CN"/>
        </w:rPr>
        <w:t xml:space="preserve"> Venn‑diagram showing overlap of differentially expressed genes (DEGs) from four pairwise transcriptome comparisons.</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eastAsia="zh-CN"/>
        </w:rPr>
        <w:t>Venn</w:t>
      </w:r>
      <w:r>
        <w:rPr>
          <w:rFonts w:hint="eastAsia" w:ascii="Times New Roman" w:hAnsi="Times New Roman" w:cs="Times New Roman"/>
          <w:sz w:val="24"/>
          <w:szCs w:val="24"/>
          <w:lang w:val="en-US" w:eastAsia="zh-CN"/>
        </w:rPr>
        <w:t>-</w:t>
      </w:r>
      <w:r>
        <w:rPr>
          <w:rFonts w:hint="default" w:ascii="Times New Roman" w:hAnsi="Times New Roman" w:cs="Times New Roman" w:eastAsiaTheme="minorEastAsia"/>
          <w:sz w:val="24"/>
          <w:szCs w:val="24"/>
          <w:lang w:eastAsia="zh-CN"/>
        </w:rPr>
        <w:t>diagram illustrating the shared and unique differentially expressed genes obtained from four pairwise comparisons: R0‑vs‑R2, R0‑vs‑R3, R1‑vs‑R2, R1‑vs‑R3. A total of 100 common differentially expressed genes were identified at the intersection of the four groups, which were considered candidate genes responsible for the synergistic antibacterial effect of ceftazidime‑avibactam (CZA) combined with baicalein (BCL).</w:t>
      </w:r>
    </w:p>
    <w:p w14:paraId="3F26F1CA">
      <w:pPr>
        <w:rPr>
          <w:rFonts w:hint="default" w:ascii="Times New Roman" w:hAnsi="Times New Roman" w:cs="Times New Roman" w:eastAsiaTheme="minorEastAsia"/>
          <w:sz w:val="24"/>
          <w:szCs w:val="24"/>
          <w:lang w:eastAsia="zh-CN"/>
        </w:rPr>
      </w:pPr>
    </w:p>
    <w:p w14:paraId="099D0CD9">
      <w:pPr>
        <w:rPr>
          <w:rFonts w:hint="default" w:ascii="Times New Roman" w:hAnsi="Times New Roman" w:cs="Times New Roman" w:eastAsiaTheme="minorEastAsia"/>
          <w:sz w:val="24"/>
          <w:szCs w:val="24"/>
          <w:lang w:eastAsia="zh-CN"/>
        </w:rPr>
      </w:pPr>
    </w:p>
    <w:p w14:paraId="69EDA927">
      <w:pP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drawing>
          <wp:inline distT="0" distB="0" distL="114300" distR="114300">
            <wp:extent cx="4900930" cy="4256405"/>
            <wp:effectExtent l="0" t="0" r="13970" b="10795"/>
            <wp:docPr id="2" name="图片 2" descr="Supplementary 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 Fig. 2"/>
                    <pic:cNvPicPr>
                      <a:picLocks noChangeAspect="1"/>
                    </pic:cNvPicPr>
                  </pic:nvPicPr>
                  <pic:blipFill>
                    <a:blip r:embed="rId6"/>
                    <a:stretch>
                      <a:fillRect/>
                    </a:stretch>
                  </pic:blipFill>
                  <pic:spPr>
                    <a:xfrm>
                      <a:off x="0" y="0"/>
                      <a:ext cx="4900930" cy="4256405"/>
                    </a:xfrm>
                    <a:prstGeom prst="rect">
                      <a:avLst/>
                    </a:prstGeom>
                  </pic:spPr>
                </pic:pic>
              </a:graphicData>
            </a:graphic>
          </wp:inline>
        </w:drawing>
      </w:r>
    </w:p>
    <w:p w14:paraId="23840395">
      <w:pPr>
        <w:rPr>
          <w:rFonts w:hint="default" w:ascii="Times New Roman" w:hAnsi="Times New Roman" w:cs="Times New Roman" w:eastAsiaTheme="minorEastAsia"/>
          <w:sz w:val="24"/>
          <w:szCs w:val="24"/>
          <w:lang w:eastAsia="zh-CN"/>
        </w:rPr>
      </w:pPr>
    </w:p>
    <w:p w14:paraId="60FC79C8">
      <w:pP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Supplementary Fig.</w:t>
      </w:r>
      <w:r>
        <w:rPr>
          <w:rFonts w:hint="eastAsia" w:ascii="Times New Roman" w:hAnsi="Times New Roman" w:cs="Times New Roman"/>
          <w:sz w:val="24"/>
          <w:szCs w:val="24"/>
          <w:lang w:val="en-US" w:eastAsia="zh-CN"/>
        </w:rPr>
        <w:t xml:space="preserve"> 3 KEGG pathway enrichment analysis of 100 common differentially expressed genes. Bubble plot of KEGG pathway enrichment for the 100 shared DEGs derived from four pairwise transcriptomic comparisons. The X-axis represents gene ratio (the proportion of DEGs annotated to each pathway among total background genes). The Y-axis lists enriched KEGG pathways. The size of each bubble corresponds to the number of enriched differentially expressed genes; bubble color corresponds to the significance of enrichment. </w:t>
      </w:r>
    </w:p>
    <w:p w14:paraId="770A1E27">
      <w:pPr>
        <w:rPr>
          <w:rFonts w:hint="default" w:ascii="Times New Roman" w:hAnsi="Times New Roman" w:cs="Times New Roman" w:eastAsiaTheme="minorEastAsia"/>
          <w:sz w:val="24"/>
          <w:szCs w:val="24"/>
          <w:lang w:eastAsia="zh-CN"/>
        </w:rPr>
      </w:pPr>
    </w:p>
    <w:p w14:paraId="3049FD70">
      <w:pPr>
        <w:rPr>
          <w:rFonts w:hint="default" w:ascii="Times New Roman" w:hAnsi="Times New Roman" w:cs="Times New Roman" w:eastAsiaTheme="minorEastAsia"/>
          <w:sz w:val="24"/>
          <w:szCs w:val="24"/>
          <w:lang w:eastAsia="zh-CN"/>
        </w:rPr>
      </w:pPr>
    </w:p>
    <w:p w14:paraId="121A995C">
      <w:pPr>
        <w:rPr>
          <w:rFonts w:hint="default" w:ascii="Times New Roman" w:hAnsi="Times New Roman" w:cs="Times New Roman" w:eastAsiaTheme="minorEastAsia"/>
          <w:sz w:val="24"/>
          <w:szCs w:val="24"/>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537D25"/>
    <w:rsid w:val="37EC52EA"/>
    <w:rsid w:val="3AAC1E33"/>
    <w:rsid w:val="733A4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69</Words>
  <Characters>490</Characters>
  <Lines>0</Lines>
  <Paragraphs>0</Paragraphs>
  <TotalTime>0</TotalTime>
  <ScaleCrop>false</ScaleCrop>
  <LinksUpToDate>false</LinksUpToDate>
  <CharactersWithSpaces>558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2026-09-22T03:20:00Z</dcterms:created>
  <dc:creator>smuwe</dc:creator>
  <cp:lastModifiedBy>Will</cp:lastModifiedBy>
  <dcterms:modified xsi:type="dcterms:W3CDTF">2026-09-24T14:08:38Z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eyJoZGlkIjoiZjk4OTc5N2FmZWY1ZDBjNmUxNzQ5M2UzODIyM2FiNjgiLCJ1c2VySWQiOiI0NjEwODA4NzkifQ==</vt:lpwstr>
  </property>
  <property fmtid="{D5CDD505-2E9C-101B-9397-08002B2CF9AE}" pid="4" name="ICV">
    <vt:lpwstr>354389D60E82494C87BF09D00E91D0C1_12</vt:lpwstr>
  </property>
</Properties>
</file>